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3A2F938">
      <w:pPr>
        <w:pStyle w:val="2"/>
        <w:keepNext w:val="0"/>
        <w:keepLines w:val="0"/>
        <w:widowControl/>
        <w:suppressLineNumbers w:val="0"/>
        <w:spacing w:line="12" w:lineRule="atLeast"/>
      </w:pPr>
      <w:r>
        <w:rPr>
          <w:color w:val="1A1A1A"/>
          <w:bdr w:val="none" w:color="auto" w:sz="0" w:space="0"/>
        </w:rPr>
        <w:t>Market Rate for Services</w:t>
      </w:r>
    </w:p>
    <w:p w14:paraId="3066161C">
      <w:pPr>
        <w:pStyle w:val="12"/>
        <w:keepNext w:val="0"/>
        <w:keepLines w:val="0"/>
        <w:widowControl/>
        <w:suppressLineNumbers w:val="0"/>
        <w:spacing w:line="12" w:lineRule="atLeast"/>
      </w:pPr>
      <w:r>
        <w:rPr>
          <w:rFonts w:ascii="Calibri" w:hAnsi="Calibri" w:cs="Calibri"/>
          <w:color w:val="1A1A1A"/>
          <w:bdr w:val="none" w:color="auto" w:sz="0" w:space="0"/>
        </w:rPr>
        <w:t xml:space="preserve">Rates below are in </w:t>
      </w: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SGD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and reflect the Singapore market (SGT). All figures are indicative benchmarks; actual rates depend on scope complexity, timeline, and engagement model (project-based vs. retainer).</w:t>
      </w:r>
    </w:p>
    <w:p w14:paraId="4C7897ED">
      <w:pPr>
        <w:keepNext w:val="0"/>
        <w:keepLines w:val="0"/>
        <w:widowControl/>
        <w:suppressLineNumbers w:val="0"/>
        <w:pBdr>
          <w:top w:val="single" w:color="DDDDDD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12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CBEDE">
      <w:pPr>
        <w:pStyle w:val="3"/>
        <w:keepNext w:val="0"/>
        <w:keepLines w:val="0"/>
        <w:widowControl/>
        <w:suppressLineNumbers w:val="0"/>
        <w:spacing w:line="12" w:lineRule="atLeast"/>
      </w:pPr>
      <w:r>
        <w:rPr>
          <w:color w:val="1A1A1A"/>
          <w:bdr w:val="none" w:color="auto" w:sz="0" w:space="0"/>
        </w:rPr>
        <w:t>1. Full Stack Development</w:t>
      </w:r>
    </w:p>
    <w:p w14:paraId="2614A502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Scale &amp; Scope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1049"/>
        <w:gridCol w:w="6825"/>
      </w:tblGrid>
      <w:tr w14:paraId="576B6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EF887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Scale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36ED1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Duration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E74CA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Description</w:t>
            </w:r>
          </w:p>
        </w:tc>
      </w:tr>
      <w:tr w14:paraId="5FA8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D1378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Small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A302A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2–6 weeks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07FD8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Landing pages, internal dashboards (single module), simple CRUD APIs, static sites with CMS backends.</w:t>
            </w:r>
          </w:p>
        </w:tc>
      </w:tr>
      <w:tr w14:paraId="2A2A3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E204D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Mid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41FBA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2–6 months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416E6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Multi-tenant SaaS modules, admin portals, real-time dashboards, API gateways with auth, mobile-first PWAs.</w:t>
            </w:r>
          </w:p>
        </w:tc>
      </w:tr>
      <w:tr w14:paraId="62209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80E03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Large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3A0F8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6–18 months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BF332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Enterprise platforms (multi-service, role-based access), marketplace/multi-vendor systems, end-to-end digital transformation.</w:t>
            </w:r>
          </w:p>
        </w:tc>
      </w:tr>
    </w:tbl>
    <w:p w14:paraId="7FF30077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Typical Cost by Stack (Mid-Scale Reference)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1"/>
        <w:gridCol w:w="2482"/>
        <w:gridCol w:w="1353"/>
        <w:gridCol w:w="2330"/>
      </w:tblGrid>
      <w:tr w14:paraId="5CDD9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2CEB0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Stack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7F3C3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Technologies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0F259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Indicative Cost (SGD)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2E259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Notes</w:t>
            </w:r>
          </w:p>
        </w:tc>
      </w:tr>
      <w:tr w14:paraId="6F93D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BA02B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React + Node/Express + PostgreSQL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4BC5A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TypeScript, REST/GraphQL, Prisma/Knex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4474F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$50K–$150K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87A7C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Most common startup stack; fast iteration.</w:t>
            </w:r>
          </w:p>
        </w:tc>
      </w:tr>
      <w:tr w14:paraId="0EE62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1A99E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React + Python (FastAPI/Django) + PostgreSQL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10969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TypeScript, Python, Celery, Redis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5A324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$60K–$180K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E6B4C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Better for data-heavy or ML-adjacent apps.</w:t>
            </w:r>
          </w:p>
        </w:tc>
      </w:tr>
      <w:tr w14:paraId="4FDD9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15473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React + .NET (C#) + SQL Server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60237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ASP.NET Core, Entity Framework, Azure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1C2E7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$80K–$220K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29B4D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Enterprise/ gov-facing; higher licensing &amp; hosting overhead.</w:t>
            </w:r>
          </w:p>
        </w:tc>
      </w:tr>
      <w:tr w14:paraId="5BEBB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7983D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React Native / Flutter + Backend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784F8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Cross-platform mobile + any backend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87F07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$70K–$200K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A68E9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Add ~30–50% premium over web-only.</w:t>
            </w:r>
          </w:p>
        </w:tc>
      </w:tr>
      <w:tr w14:paraId="16C6E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11789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Electron + React + Node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A565C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Desktop app (Windows/macOS/Linux)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D58CA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$80K–$250K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07948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Niche skill set; higher testing &amp; distribution complexity.</w:t>
            </w:r>
          </w:p>
        </w:tc>
      </w:tr>
    </w:tbl>
    <w:p w14:paraId="30139D7E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Rate Models</w:t>
      </w:r>
    </w:p>
    <w:p w14:paraId="79E689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Hourly: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$80–$150/hr (senior full stack, Singapore)</w:t>
      </w:r>
    </w:p>
    <w:p w14:paraId="029080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Monthly retainer (full-time equivalent):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$12K–$22K/mo</w:t>
      </w:r>
    </w:p>
    <w:p w14:paraId="5AB923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Fixed-price: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Add 20–30% contingency over time-and-materials estimate</w:t>
      </w:r>
    </w:p>
    <w:p w14:paraId="6B456B00">
      <w:pPr>
        <w:keepNext w:val="0"/>
        <w:keepLines w:val="0"/>
        <w:widowControl/>
        <w:suppressLineNumbers w:val="0"/>
        <w:pBdr>
          <w:top w:val="single" w:color="DDDDDD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12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4FF33">
      <w:pPr>
        <w:pStyle w:val="3"/>
        <w:keepNext w:val="0"/>
        <w:keepLines w:val="0"/>
        <w:widowControl/>
        <w:suppressLineNumbers w:val="0"/>
        <w:spacing w:line="12" w:lineRule="atLeast"/>
      </w:pPr>
      <w:r>
        <w:rPr>
          <w:color w:val="1A1A1A"/>
          <w:bdr w:val="none" w:color="auto" w:sz="0" w:space="0"/>
        </w:rPr>
        <w:t>2. Disruption Routing</w:t>
      </w:r>
    </w:p>
    <w:p w14:paraId="618C9644">
      <w:pPr>
        <w:pStyle w:val="12"/>
        <w:keepNext w:val="0"/>
        <w:keepLines w:val="0"/>
        <w:widowControl/>
        <w:suppressLineNumbers w:val="0"/>
        <w:spacing w:line="12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 xml:space="preserve">Specialised public-transport disruption intelligence service combining </w:t>
      </w: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RAPTOR-based point-to-point routing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with </w:t>
      </w: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LTA DataMall real-time disruption detection</w:t>
      </w:r>
      <w:r>
        <w:rPr>
          <w:rFonts w:hint="default" w:ascii="Calibri" w:hAnsi="Calibri" w:cs="Calibri"/>
          <w:color w:val="1A1A1A"/>
          <w:bdr w:val="none" w:color="auto" w:sz="0" w:space="0"/>
        </w:rPr>
        <w:t>.</w:t>
      </w:r>
    </w:p>
    <w:p w14:paraId="1EF41780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Core Capabilities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6806"/>
      </w:tblGrid>
      <w:tr w14:paraId="588E6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BAFA1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Capability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C4160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Description</w:t>
            </w:r>
          </w:p>
        </w:tc>
      </w:tr>
      <w:tr w14:paraId="2B82D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2FC06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RAPTOR Routing Engine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A3191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Multi-criteria transit routing (time, transfers, walking distance). Supports GTFS-static schedules with dynamic recalculation on disruption events.</w:t>
            </w:r>
          </w:p>
        </w:tc>
      </w:tr>
      <w:tr w14:paraId="683C4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BB63C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LTA DataMall Integration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E2E6D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Real-time bus arrival, train service alerts, carpark availability, traffic images. Polling + webhook-style event processing pipeline.</w:t>
            </w:r>
          </w:p>
        </w:tc>
      </w:tr>
      <w:tr w14:paraId="786E4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42E65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Disruption Detection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8319E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Anomaly detection on ETA drift, missing trips, service status API flags. Configurable thresholds with false-positive suppression.</w:t>
            </w:r>
          </w:p>
        </w:tc>
      </w:tr>
      <w:tr w14:paraId="09E80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79A3C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Alternative Routing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FE2A2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Automatic re-routing on detected disruption. Suggests alternative stations, bus bridging, or mode-shift (MRT ↔ bus).</w:t>
            </w:r>
          </w:p>
        </w:tc>
      </w:tr>
    </w:tbl>
    <w:p w14:paraId="2F6AC48E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Indicative Cost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7"/>
        <w:gridCol w:w="5566"/>
        <w:gridCol w:w="1153"/>
      </w:tblGrid>
      <w:tr w14:paraId="0ED32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A77F8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Engagement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E3CEA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Scope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58DAC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Cost (SGD)</w:t>
            </w:r>
          </w:p>
        </w:tc>
      </w:tr>
      <w:tr w14:paraId="6C359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CFBDF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Proof of Concept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1985D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Single transit line, RAPTOR prototype, DataMall polling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70060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$25K–$45K</w:t>
            </w:r>
          </w:p>
        </w:tc>
      </w:tr>
      <w:tr w14:paraId="702DF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7FB93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Production System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F924F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Full Singapore network (MRT + LRT + bus), real-time disruption pipeline, web/mobile UI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AAF9E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$80K–$180K</w:t>
            </w:r>
          </w:p>
        </w:tc>
      </w:tr>
      <w:tr w14:paraId="5A3B7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7B7F1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Ongoing Maintenance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EE013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GTFS schedule updates, API changes, model retuning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88500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$3K–$6K/mo</w:t>
            </w:r>
          </w:p>
        </w:tc>
      </w:tr>
    </w:tbl>
    <w:p w14:paraId="55384287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Hourly Rate</w:t>
      </w:r>
    </w:p>
    <w:p w14:paraId="66891E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Fonts w:hint="default" w:ascii="Calibri" w:hAnsi="Calibri" w:cs="Calibri"/>
          <w:color w:val="1A1A1A"/>
          <w:bdr w:val="none" w:color="auto" w:sz="0" w:space="0"/>
        </w:rPr>
        <w:t>$100–$180/hr (specialised domain: transit algorithms + real-time data engineering)</w:t>
      </w:r>
    </w:p>
    <w:p w14:paraId="549C48C6">
      <w:pPr>
        <w:keepNext w:val="0"/>
        <w:keepLines w:val="0"/>
        <w:widowControl/>
        <w:suppressLineNumbers w:val="0"/>
        <w:pBdr>
          <w:top w:val="single" w:color="DDDDDD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12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150FE">
      <w:pPr>
        <w:pStyle w:val="3"/>
        <w:keepNext w:val="0"/>
        <w:keepLines w:val="0"/>
        <w:widowControl/>
        <w:suppressLineNumbers w:val="0"/>
        <w:spacing w:line="12" w:lineRule="atLeast"/>
      </w:pPr>
      <w:r>
        <w:rPr>
          <w:color w:val="1A1A1A"/>
          <w:bdr w:val="none" w:color="auto" w:sz="0" w:space="0"/>
        </w:rPr>
        <w:t>3. AI Feature Integration</w:t>
      </w:r>
    </w:p>
    <w:p w14:paraId="6FB2DB37">
      <w:pPr>
        <w:pStyle w:val="12"/>
        <w:keepNext w:val="0"/>
        <w:keepLines w:val="0"/>
        <w:widowControl/>
        <w:suppressLineNumbers w:val="0"/>
        <w:spacing w:line="12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>End-to-end integration of AI/LLM capabilities into existing products — from architecture to production operations.</w:t>
      </w:r>
    </w:p>
    <w:p w14:paraId="351B221A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Skills &amp; Coverage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F64C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02F7F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Skill Area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B41F2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What It Covers</w:t>
            </w:r>
          </w:p>
        </w:tc>
      </w:tr>
      <w:tr w14:paraId="39652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B444D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Harness Engineering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FC862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Multi-agent orchestration, sub-agent delegation, tool-use frameworks, streaming SSE pipelines, agent memory (SQLite/vector DB). Design of parent/child agent architectures with tool access control.</w:t>
            </w:r>
          </w:p>
        </w:tc>
      </w:tr>
      <w:tr w14:paraId="080DB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D7186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Model Selection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7AC43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Evaluate and benchmark LLMs across cost/latency/accuracy trade-offs. Experience with DeepSeek, GPT-4o, Claude, Gemini, open-source models (Llama, Qwen). On-prem vs. cloud deployment analysis.</w:t>
            </w:r>
          </w:p>
        </w:tc>
      </w:tr>
      <w:tr w14:paraId="46614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4F8CE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Prompt Engineering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AF578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System prompt design for constrained tool-use agents. Few-shot structuring, chain-of-thought reasoning patterns, structured output formatting (JSON mode, function-calling schemas). Iterative prompt evaluation and regression testing.</w:t>
            </w:r>
          </w:p>
        </w:tc>
      </w:tr>
      <w:tr w14:paraId="46F2E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55561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RAG &amp; Embeddings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ADEB0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Retrieval-augmented generation pipelines, chunking strategies, hybrid search (semantic + keyword), embedding model selection and fine-tuning.</w:t>
            </w:r>
          </w:p>
        </w:tc>
      </w:tr>
      <w:tr w14:paraId="32DF8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D27D3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AI Safety &amp; Guardrails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62C0B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Output validation, content filtering, rate limiting, token budget enforcement, human-in-the-loop approval workflows.</w:t>
            </w:r>
          </w:p>
        </w:tc>
      </w:tr>
      <w:tr w14:paraId="613CC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D05EE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MLOps / LLMOps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DC145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Model versioning, A/B evaluation, cost monitoring and token usage tracking, automated regression suites for prompt changes.</w:t>
            </w:r>
          </w:p>
        </w:tc>
      </w:tr>
      <w:tr w14:paraId="7AEAE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25B6B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Backend Integration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C8A0D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Streaming endpoints (SSE/WebSocket), tool execution sandboxing, state machine-based agent loops, structured logging for agent audit trails.</w:t>
            </w:r>
          </w:p>
        </w:tc>
      </w:tr>
    </w:tbl>
    <w:p w14:paraId="7886D22D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Indicative Cost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715B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18FC1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Engagement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B0976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Scope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53B82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Cost (SGD)</w:t>
            </w:r>
          </w:p>
        </w:tc>
      </w:tr>
      <w:tr w14:paraId="0F5F5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D06D1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AI Readiness Assessment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21A55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Audit existing product, recommend AI integration points, architecture proposal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AA17B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$8K–$18K</w:t>
            </w:r>
          </w:p>
        </w:tc>
      </w:tr>
      <w:tr w14:paraId="1702C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39D2D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Feature Prototype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2163C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Single AI feature end-to-end (e.g., "AI code review assistant", "chat-with-your-data")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9EB64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$25K–$60K</w:t>
            </w:r>
          </w:p>
        </w:tc>
      </w:tr>
      <w:tr w14:paraId="3592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F504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Full Integration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F5300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Multi-agent system, RAG pipeline, production deployment with monitoring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43B6A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$80K–$200K</w:t>
            </w:r>
          </w:p>
        </w:tc>
      </w:tr>
    </w:tbl>
    <w:p w14:paraId="6785DCEE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Hourly Rate</w:t>
      </w:r>
    </w:p>
    <w:p w14:paraId="084D37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Fonts w:hint="default" w:ascii="Calibri" w:hAnsi="Calibri" w:cs="Calibri"/>
          <w:color w:val="1A1A1A"/>
          <w:bdr w:val="none" w:color="auto" w:sz="0" w:space="0"/>
        </w:rPr>
        <w:t>$120–$200/hr (covers architecture, prompt engineering, agent design, and productionization)</w:t>
      </w:r>
    </w:p>
    <w:p w14:paraId="75147D65">
      <w:pPr>
        <w:keepNext w:val="0"/>
        <w:keepLines w:val="0"/>
        <w:widowControl/>
        <w:suppressLineNumbers w:val="0"/>
        <w:pBdr>
          <w:top w:val="single" w:color="DDDDDD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12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1FDE7">
      <w:pPr>
        <w:pStyle w:val="3"/>
        <w:keepNext w:val="0"/>
        <w:keepLines w:val="0"/>
        <w:widowControl/>
        <w:suppressLineNumbers w:val="0"/>
        <w:spacing w:line="12" w:lineRule="atLeast"/>
      </w:pPr>
      <w:r>
        <w:rPr>
          <w:color w:val="1A1A1A"/>
          <w:bdr w:val="none" w:color="auto" w:sz="0" w:space="0"/>
        </w:rPr>
        <w:t>4. Bug Hunting &amp; Fixing</w:t>
      </w:r>
    </w:p>
    <w:p w14:paraId="377DF278">
      <w:pPr>
        <w:pStyle w:val="12"/>
        <w:keepNext w:val="0"/>
        <w:keepLines w:val="0"/>
        <w:widowControl/>
        <w:suppressLineNumbers w:val="0"/>
        <w:spacing w:line="12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>Systematic debugging of production issues, performance bottlenecks, and edge-case failures.</w:t>
      </w:r>
    </w:p>
    <w:p w14:paraId="04E39D59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Approach</w:t>
      </w:r>
    </w:p>
    <w:p w14:paraId="53D357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Triage &amp; Reproduce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— isolate root cause with minimal reproduction steps.</w:t>
      </w:r>
    </w:p>
    <w:p w14:paraId="691346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Scientific Debugging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— hypothesis → instrumentation → evidence collection → fix → regression test.</w:t>
      </w:r>
    </w:p>
    <w:p w14:paraId="52F8E5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Tooling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— runtime log injection (debug server), browser console/network trace analysis, Electron main+renderer debugging, SQL query profiling, React component re-render analysis.</w:t>
      </w:r>
    </w:p>
    <w:p w14:paraId="354D09C5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Typical Bugs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734A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EA018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A52DE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Examples</w:t>
            </w:r>
          </w:p>
        </w:tc>
      </w:tr>
      <w:tr w14:paraId="25724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43A6A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Logic / State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B25303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Stale closures, race conditions, incorrect state transitions, React re-render loops</w:t>
            </w:r>
          </w:p>
        </w:tc>
      </w:tr>
      <w:tr w14:paraId="34643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B2DBA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Concurrency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0EBF8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SSE stream desync, WebSocket reconnect storms, terminal buffer corruption</w:t>
            </w:r>
          </w:p>
        </w:tc>
      </w:tr>
      <w:tr w14:paraId="01F65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69ABA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Performance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149D6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Memory leaks (Node/Electron), slow SQL queries (missing indices, N+1), large DOM trees</w:t>
            </w:r>
          </w:p>
        </w:tc>
      </w:tr>
      <w:tr w14:paraId="06BD7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70444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Integration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9E85C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API schema mismatches, auth token expiry not handled, CORS/network errors</w:t>
            </w:r>
          </w:p>
        </w:tc>
      </w:tr>
      <w:tr w14:paraId="00725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D2005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Platform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AA8B1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Electron IPC failures, native module compilation, OS-specific path/encoding bugs</w:t>
            </w:r>
          </w:p>
        </w:tc>
      </w:tr>
    </w:tbl>
    <w:p w14:paraId="2336E7B2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Rate Models</w:t>
      </w:r>
    </w:p>
    <w:p w14:paraId="2E3AE8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Hourly (ad-hoc):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$100–$160/hr</w:t>
      </w:r>
    </w:p>
    <w:p w14:paraId="67E36E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Bug Bounty (per fix):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$500–$5,000 depending on severity (P0 critical → P3 cosmetic)</w:t>
      </w:r>
    </w:p>
    <w:p w14:paraId="7369D4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Style w:val="13"/>
          <w:rFonts w:hint="default" w:ascii="Calibri" w:hAnsi="Calibri" w:cs="Calibri"/>
          <w:color w:val="333333"/>
          <w:bdr w:val="none" w:color="auto" w:sz="0" w:space="0"/>
        </w:rPr>
        <w:t>Retainer (dedicated debugging bandwidth):</w:t>
      </w:r>
      <w:r>
        <w:rPr>
          <w:rFonts w:hint="default" w:ascii="Calibri" w:hAnsi="Calibri" w:cs="Calibri"/>
          <w:color w:val="1A1A1A"/>
          <w:bdr w:val="none" w:color="auto" w:sz="0" w:space="0"/>
        </w:rPr>
        <w:t xml:space="preserve"> $6K–$12K/mo for 40–80 hrs</w:t>
      </w:r>
    </w:p>
    <w:p w14:paraId="5C67F7EE">
      <w:pPr>
        <w:keepNext w:val="0"/>
        <w:keepLines w:val="0"/>
        <w:widowControl/>
        <w:suppressLineNumbers w:val="0"/>
        <w:pBdr>
          <w:top w:val="single" w:color="DDDDDD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12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EC4AC">
      <w:pPr>
        <w:pStyle w:val="3"/>
        <w:keepNext w:val="0"/>
        <w:keepLines w:val="0"/>
        <w:widowControl/>
        <w:suppressLineNumbers w:val="0"/>
        <w:spacing w:line="12" w:lineRule="atLeast"/>
      </w:pPr>
      <w:r>
        <w:rPr>
          <w:color w:val="1A1A1A"/>
          <w:bdr w:val="none" w:color="auto" w:sz="0" w:space="0"/>
        </w:rPr>
        <w:t>5. Small Neural Network Training &amp; Inference</w:t>
      </w:r>
    </w:p>
    <w:p w14:paraId="13FEAF56">
      <w:pPr>
        <w:pStyle w:val="12"/>
        <w:keepNext w:val="0"/>
        <w:keepLines w:val="0"/>
        <w:widowControl/>
        <w:suppressLineNumbers w:val="0"/>
        <w:spacing w:line="12" w:lineRule="atLeast"/>
      </w:pPr>
      <w:r>
        <w:rPr>
          <w:rFonts w:hint="default" w:ascii="Calibri" w:hAnsi="Calibri" w:cs="Calibri"/>
          <w:color w:val="1A1A1A"/>
          <w:bdr w:val="none" w:color="auto" w:sz="0" w:space="0"/>
        </w:rPr>
        <w:t>Training and deploying compact neural models for specialised, low-latency use cases.</w:t>
      </w:r>
    </w:p>
    <w:p w14:paraId="20925EAD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Scope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0C6E1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44519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Area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EBDDD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Examples</w:t>
            </w:r>
          </w:p>
        </w:tc>
      </w:tr>
      <w:tr w14:paraId="5BD69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A3942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Tabular / Structured 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0EFA1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ETA prediction, demand forecasting, fraud/anomaly detection on time-series</w:t>
            </w:r>
          </w:p>
        </w:tc>
      </w:tr>
      <w:tr w14:paraId="53DFB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ACD78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NLP (compact)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5502B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Text classification, entity extraction, intent recognition for domain-specific chatbots</w:t>
            </w:r>
          </w:p>
        </w:tc>
      </w:tr>
      <w:tr w14:paraId="4C513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6EC6A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Reinforcement Learning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A0BA5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Small-scale decision optimisation (e.g., routing policy learning)</w:t>
            </w:r>
          </w:p>
        </w:tc>
      </w:tr>
      <w:tr w14:paraId="51C6B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4BE0C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On-Device Inference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2B322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Model quantisation, ONNX/TensorFlow Lite export, edge deployment for latency-sensitive apps</w:t>
            </w:r>
          </w:p>
        </w:tc>
      </w:tr>
    </w:tbl>
    <w:p w14:paraId="703F004D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Indicative Cost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D31F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EA537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Engagement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76C79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Scope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D3856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Cost (SGD)</w:t>
            </w:r>
          </w:p>
        </w:tc>
      </w:tr>
      <w:tr w14:paraId="3462B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DB2E7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Feasibility Study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1DD47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Data audit, baseline model, feasibility report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09C10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$8K–$18K</w:t>
            </w:r>
          </w:p>
        </w:tc>
      </w:tr>
      <w:tr w14:paraId="790EB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42878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Model Development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32B8D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Data prep, architecture selection, training, hyperparameter tuning, evaluation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916F1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$20K–$60K</w:t>
            </w:r>
          </w:p>
        </w:tc>
      </w:tr>
      <w:tr w14:paraId="77F9B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FAB92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3"/>
                <w:rFonts w:hint="default" w:ascii="Calibri" w:hAnsi="Calibri" w:eastAsia="SimSun" w:cs="Calibri"/>
                <w:color w:val="333333"/>
                <w:sz w:val="19"/>
                <w:szCs w:val="19"/>
                <w:bdr w:val="none" w:color="auto" w:sz="0" w:space="0"/>
              </w:rPr>
              <w:t>Production Deployment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437AA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Inference API, model serving, monitoring (drift detection), retraining pipeline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671C0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$15K–$40K</w:t>
            </w:r>
          </w:p>
        </w:tc>
      </w:tr>
    </w:tbl>
    <w:p w14:paraId="220C0EFD">
      <w:pPr>
        <w:pStyle w:val="4"/>
        <w:keepNext w:val="0"/>
        <w:keepLines w:val="0"/>
        <w:widowControl/>
        <w:suppressLineNumbers w:val="0"/>
        <w:spacing w:line="12" w:lineRule="atLeast"/>
      </w:pPr>
      <w:r>
        <w:rPr>
          <w:bdr w:val="none" w:color="auto" w:sz="0" w:space="0"/>
        </w:rPr>
        <w:t>Hourly Rate</w:t>
      </w:r>
    </w:p>
    <w:p w14:paraId="189CB4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2" w:lineRule="atLeast"/>
        <w:ind w:left="720" w:hanging="360"/>
      </w:pPr>
      <w:r>
        <w:rPr>
          <w:rFonts w:hint="default" w:ascii="Calibri" w:hAnsi="Calibri" w:cs="Calibri"/>
          <w:color w:val="1A1A1A"/>
          <w:bdr w:val="none" w:color="auto" w:sz="0" w:space="0"/>
        </w:rPr>
        <w:t>$100–$180/hr</w:t>
      </w:r>
    </w:p>
    <w:p w14:paraId="4A7F1F44">
      <w:pPr>
        <w:keepNext w:val="0"/>
        <w:keepLines w:val="0"/>
        <w:widowControl/>
        <w:suppressLineNumbers w:val="0"/>
        <w:pBdr>
          <w:top w:val="single" w:color="DDDDDD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12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63421">
      <w:pPr>
        <w:pStyle w:val="3"/>
        <w:keepNext w:val="0"/>
        <w:keepLines w:val="0"/>
        <w:widowControl/>
        <w:suppressLineNumbers w:val="0"/>
        <w:spacing w:line="12" w:lineRule="atLeast"/>
      </w:pPr>
      <w:r>
        <w:rPr>
          <w:color w:val="1A1A1A"/>
          <w:bdr w:val="none" w:color="auto" w:sz="0" w:space="0"/>
        </w:rPr>
        <w:t>Rate Summary Table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77C74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F352E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Service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B31DE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Hourly (SGD)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40682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Monthly Retainer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53575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82968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Project Range</w:t>
            </w:r>
          </w:p>
        </w:tc>
      </w:tr>
      <w:tr w14:paraId="27177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EF448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Full Stack Development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CC79B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$80–$150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DEDFA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$12K–$22K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1F304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$20K–$250K</w:t>
            </w:r>
          </w:p>
        </w:tc>
      </w:tr>
      <w:tr w14:paraId="19A40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A6BA7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Disruption Routing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48855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$100–$180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4F290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$3K–$6K (maintenance)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92C66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$25K–$180K</w:t>
            </w:r>
          </w:p>
        </w:tc>
      </w:tr>
      <w:tr w14:paraId="0E32E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E0A14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AI Feature Integration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FB5FE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$120–$200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CAC7A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Negotiable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3CA04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$8K–$200K</w:t>
            </w:r>
          </w:p>
        </w:tc>
      </w:tr>
      <w:tr w14:paraId="0CA06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E24C0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Bug Hunting &amp; Fixing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56674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$100–$160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9F082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$6K–$12K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6FC32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$500–$5K (per fix)</w:t>
            </w:r>
          </w:p>
        </w:tc>
      </w:tr>
      <w:tr w14:paraId="7F572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4B16D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Small Neural Network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CEC02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$100–$180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186CB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Negotiable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4693B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$8K–$100K</w:t>
            </w:r>
          </w:p>
        </w:tc>
      </w:tr>
    </w:tbl>
    <w:p w14:paraId="3C20E965">
      <w:pPr>
        <w:pStyle w:val="12"/>
        <w:keepNext w:val="0"/>
        <w:keepLines w:val="0"/>
        <w:widowControl/>
        <w:suppressLineNumbers w:val="0"/>
        <w:spacing w:line="12" w:lineRule="atLeast"/>
        <w:ind w:left="720" w:right="720"/>
      </w:pPr>
      <w:r>
        <w:rPr>
          <w:rStyle w:val="13"/>
          <w:rFonts w:hint="eastAsia" w:ascii="SimSun" w:hAnsi="SimSun" w:eastAsia="SimSun" w:cs="SimSun"/>
          <w:color w:val="333333"/>
          <w:sz w:val="24"/>
          <w:szCs w:val="24"/>
          <w:bdr w:val="none" w:color="auto" w:sz="0" w:space="0"/>
          <w:shd w:val="clear" w:fill="FAFAFA"/>
        </w:rPr>
        <w:t>Notes: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AFAFA"/>
        </w:rPr>
        <w:t xml:space="preserve"> All rates in Singapore Dollars (SGD). Prices are indicative and assume senior-level delivery. Rush/premium timelines typically add 25–50%. Government/GLC clients may have additional compliance and procurement lead-time considerations.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FF433"/>
    <w:multiLevelType w:val="multilevel"/>
    <w:tmpl w:val="AAFFF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BA2390C"/>
    <w:multiLevelType w:val="multilevel"/>
    <w:tmpl w:val="1BA23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EA64A96"/>
    <w:multiLevelType w:val="multilevel"/>
    <w:tmpl w:val="2EA64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2E8C5B3"/>
    <w:multiLevelType w:val="multilevel"/>
    <w:tmpl w:val="52E8C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5A19A4F"/>
    <w:multiLevelType w:val="multilevel"/>
    <w:tmpl w:val="65A19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DD76D45"/>
    <w:multiLevelType w:val="multilevel"/>
    <w:tmpl w:val="7DD76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B4954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E1251B" w:sz="6" w:space="3"/>
      </w:pBd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44"/>
      <w:sz w:val="37"/>
      <w:szCs w:val="37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AE852D" w:sz="2" w:space="1"/>
      </w:pBd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9"/>
      <w:szCs w:val="29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50" w:beforeAutospacing="0" w:after="0" w:afterAutospacing="1"/>
      <w:jc w:val="left"/>
    </w:pPr>
    <w:rPr>
      <w:rFonts w:hint="eastAsia" w:ascii="SimSun" w:hAnsi="SimSun" w:eastAsia="SimSun" w:cs="SimSun"/>
      <w:b/>
      <w:bCs/>
      <w:color w:val="53575A"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18"/>
      <w:szCs w:val="18"/>
      <w:bdr w:val="none" w:color="auto" w:sz="0" w:space="0"/>
      <w:shd w:val="clear" w:fill="EEEEEE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  <w:color w:val="33333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Office_12.1.0.25180_F1E327BC-269C-435d-A152-05C5408002CA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2026-08-06T09:22:58Z</dcterms:created>
  <cp:lastModifiedBy>lukeyong</cp:lastModifiedBy>
  <dcterms:modified xsi:type="dcterms:W3CDTF">2026-08-06T09:22:59Z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17E08DF75CF54BA59003BD4AD3B256D0_13</vt:lpwstr>
  </property>
</Properties>
</file>