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7CB" w:rsidRDefault="00EE5EE3">
      <w:pPr>
        <w:pStyle w:val="Heading1"/>
        <w:numPr>
          <w:ilvl w:val="0"/>
          <w:numId w:val="0"/>
        </w:numPr>
        <w:spacing w:after="330"/>
        <w:ind w:left="-5"/>
      </w:pPr>
      <w:r>
        <w:t xml:space="preserve">GUIDELINES FOR PREPARING </w:t>
      </w:r>
      <w:r>
        <w:t xml:space="preserve">REPORT </w:t>
      </w:r>
    </w:p>
    <w:p w:rsidR="004B57CB" w:rsidRDefault="00CF3D5A">
      <w:pPr>
        <w:spacing w:after="332" w:line="252" w:lineRule="auto"/>
        <w:ind w:left="-5"/>
        <w:jc w:val="left"/>
      </w:pPr>
      <w:r>
        <w:rPr>
          <w:b/>
          <w:sz w:val="23"/>
        </w:rPr>
        <w:t>Please</w:t>
      </w:r>
      <w:r w:rsidR="00EE5EE3">
        <w:rPr>
          <w:b/>
          <w:sz w:val="23"/>
        </w:rPr>
        <w:t xml:space="preserve"> adhere to </w:t>
      </w:r>
      <w:r w:rsidR="00EE5EE3">
        <w:rPr>
          <w:b/>
          <w:sz w:val="23"/>
        </w:rPr>
        <w:t xml:space="preserve">the guidelines given below. </w:t>
      </w:r>
    </w:p>
    <w:p w:rsidR="004B57CB" w:rsidRDefault="00EE5EE3">
      <w:pPr>
        <w:tabs>
          <w:tab w:val="center" w:pos="1755"/>
        </w:tabs>
        <w:spacing w:after="7" w:line="252" w:lineRule="auto"/>
        <w:ind w:left="-15" w:firstLine="0"/>
        <w:jc w:val="left"/>
      </w:pPr>
      <w:r>
        <w:rPr>
          <w:b/>
          <w:sz w:val="23"/>
        </w:rPr>
        <w:t xml:space="preserve">1. </w:t>
      </w:r>
      <w:r>
        <w:rPr>
          <w:b/>
          <w:sz w:val="23"/>
        </w:rPr>
        <w:tab/>
        <w:t xml:space="preserve">Language and Units  </w:t>
      </w:r>
    </w:p>
    <w:p w:rsidR="004B57CB" w:rsidRDefault="00EE5EE3" w:rsidP="00CF3D5A">
      <w:pPr>
        <w:spacing w:after="3"/>
        <w:ind w:right="440"/>
      </w:pPr>
      <w:r>
        <w:t xml:space="preserve">The report should be written in English in the third person, and SI units should be used. </w:t>
      </w:r>
    </w:p>
    <w:p w:rsidR="00CF3D5A" w:rsidRDefault="00CF3D5A" w:rsidP="00CF3D5A">
      <w:pPr>
        <w:spacing w:after="3"/>
        <w:ind w:right="440"/>
      </w:pPr>
    </w:p>
    <w:p w:rsidR="004B57CB" w:rsidRDefault="00EE5EE3">
      <w:pPr>
        <w:pStyle w:val="Heading1"/>
        <w:ind w:left="662" w:hanging="677"/>
      </w:pPr>
      <w:r>
        <w:t>Page Format,</w:t>
      </w:r>
      <w:r>
        <w:rPr>
          <w:color w:val="0000FF"/>
        </w:rPr>
        <w:t xml:space="preserve"> </w:t>
      </w:r>
      <w:r>
        <w:t xml:space="preserve">Font and Colour </w:t>
      </w:r>
    </w:p>
    <w:p w:rsidR="004B57CB" w:rsidRDefault="00EE5EE3" w:rsidP="00CF3D5A">
      <w:pPr>
        <w:spacing w:after="1"/>
      </w:pPr>
      <w:r>
        <w:t xml:space="preserve">The paper should be A4 size. A margin of 4 cm must be provided on the left hand side, while the other sides should have margins of 3 </w:t>
      </w:r>
      <w:r>
        <w:t xml:space="preserve">cm. Times New Roman, 12 points, or similar font and </w:t>
      </w:r>
      <w:r w:rsidR="00CF3D5A">
        <w:t>1.5 line</w:t>
      </w:r>
      <w:r>
        <w:t xml:space="preserve"> spacing must be used. Font and size of symbols must be the same in equations, text and figures.</w:t>
      </w:r>
    </w:p>
    <w:p w:rsidR="00CF3D5A" w:rsidRDefault="00CF3D5A" w:rsidP="00CF3D5A">
      <w:pPr>
        <w:spacing w:after="1"/>
      </w:pPr>
    </w:p>
    <w:p w:rsidR="004B57CB" w:rsidRDefault="00EE5EE3">
      <w:pPr>
        <w:pStyle w:val="Heading1"/>
        <w:ind w:left="662" w:hanging="677"/>
      </w:pPr>
      <w:r>
        <w:t>Organization of Report</w:t>
      </w:r>
      <w:r>
        <w:rPr>
          <w:rFonts w:ascii="Book Antiqua" w:eastAsia="Book Antiqua" w:hAnsi="Book Antiqua" w:cs="Book Antiqua"/>
          <w:sz w:val="29"/>
          <w:vertAlign w:val="subscript"/>
        </w:rPr>
        <w:t xml:space="preserve"> </w:t>
      </w:r>
    </w:p>
    <w:p w:rsidR="004B57CB" w:rsidRDefault="00EE5EE3">
      <w:pPr>
        <w:spacing w:after="114"/>
      </w:pPr>
      <w:r>
        <w:t xml:space="preserve">Your report should consist of the following parts: </w:t>
      </w:r>
    </w:p>
    <w:p w:rsidR="004B57CB" w:rsidRDefault="00EE5EE3">
      <w:pPr>
        <w:numPr>
          <w:ilvl w:val="0"/>
          <w:numId w:val="1"/>
        </w:numPr>
        <w:ind w:right="440" w:hanging="490"/>
      </w:pPr>
      <w:r>
        <w:t xml:space="preserve">Include a </w:t>
      </w:r>
      <w:r w:rsidRPr="00EE5EE3">
        <w:rPr>
          <w:u w:val="single"/>
        </w:rPr>
        <w:t>title of the article</w:t>
      </w:r>
      <w:r>
        <w:t xml:space="preserve"> at the top in the first page. The </w:t>
      </w:r>
      <w:r w:rsidRPr="00EE5EE3">
        <w:rPr>
          <w:u w:val="single"/>
        </w:rPr>
        <w:t>author’s name</w:t>
      </w:r>
      <w:r>
        <w:t xml:space="preserve"> can be included in the 2</w:t>
      </w:r>
      <w:r w:rsidRPr="00EE5EE3">
        <w:rPr>
          <w:vertAlign w:val="superscript"/>
        </w:rPr>
        <w:t>nd</w:t>
      </w:r>
      <w:r>
        <w:t xml:space="preserve"> line. </w:t>
      </w:r>
    </w:p>
    <w:p w:rsidR="004B57CB" w:rsidRDefault="00EE5EE3">
      <w:pPr>
        <w:numPr>
          <w:ilvl w:val="0"/>
          <w:numId w:val="1"/>
        </w:numPr>
        <w:ind w:right="440" w:hanging="490"/>
      </w:pPr>
      <w:r>
        <w:t xml:space="preserve">An </w:t>
      </w:r>
      <w:r w:rsidRPr="00EE5EE3">
        <w:rPr>
          <w:u w:val="single"/>
        </w:rPr>
        <w:t xml:space="preserve">abstract </w:t>
      </w:r>
      <w:r>
        <w:t xml:space="preserve">should summarize the report </w:t>
      </w:r>
      <w:r>
        <w:t>in preferably one paragraph and with less than 1</w:t>
      </w:r>
      <w:r>
        <w:t xml:space="preserve">00 words. </w:t>
      </w:r>
    </w:p>
    <w:p w:rsidR="004B57CB" w:rsidRDefault="00EE5EE3">
      <w:pPr>
        <w:numPr>
          <w:ilvl w:val="0"/>
          <w:numId w:val="1"/>
        </w:numPr>
        <w:ind w:right="440" w:hanging="490"/>
      </w:pPr>
      <w:r>
        <w:t xml:space="preserve">The main text of the report is to be </w:t>
      </w:r>
      <w:r>
        <w:t xml:space="preserve">organized in </w:t>
      </w:r>
      <w:r>
        <w:t xml:space="preserve">Sections </w:t>
      </w:r>
      <w:r w:rsidR="00CF3D5A">
        <w:t>and Sub</w:t>
      </w:r>
      <w:r>
        <w:t>-</w:t>
      </w:r>
      <w:r w:rsidR="00CF3D5A">
        <w:t>sections</w:t>
      </w:r>
      <w:r>
        <w:t xml:space="preserve">. </w:t>
      </w:r>
      <w:r>
        <w:t xml:space="preserve">Note that all </w:t>
      </w:r>
      <w:r>
        <w:t>Sections must be appropriately numbered, t</w:t>
      </w:r>
      <w:r>
        <w:t xml:space="preserve">itled, and should neither be too long nor too short in length. </w:t>
      </w:r>
    </w:p>
    <w:p w:rsidR="00CF3D5A" w:rsidRDefault="00EE5EE3" w:rsidP="00CF3D5A">
      <w:pPr>
        <w:spacing w:after="0" w:line="290" w:lineRule="auto"/>
        <w:ind w:left="942" w:right="442" w:hanging="488"/>
      </w:pPr>
      <w:r>
        <w:t xml:space="preserve"> The first </w:t>
      </w:r>
      <w:r w:rsidR="00CF3D5A">
        <w:t>Section</w:t>
      </w:r>
      <w:r>
        <w:t xml:space="preserve"> should be introductory in nature and should outline the background of the area of the report</w:t>
      </w:r>
      <w:r>
        <w:t>, the state of the art in industry / technology</w:t>
      </w:r>
      <w:r w:rsidR="00CF3D5A">
        <w:t>, other related works</w:t>
      </w:r>
      <w:r>
        <w:t xml:space="preserve"> </w:t>
      </w:r>
      <w:r>
        <w:t xml:space="preserve">and how the report is organized. </w:t>
      </w:r>
      <w:r>
        <w:t xml:space="preserve">It should not be more than </w:t>
      </w:r>
      <w:r w:rsidR="00CF3D5A">
        <w:t>1</w:t>
      </w:r>
      <w:r>
        <w:t xml:space="preserve"> page</w:t>
      </w:r>
      <w:r>
        <w:t xml:space="preserve"> in length and wherever appropriate, references should be quoted. </w:t>
      </w:r>
    </w:p>
    <w:p w:rsidR="00CF3D5A" w:rsidRDefault="00CF3D5A" w:rsidP="00CF3D5A">
      <w:pPr>
        <w:spacing w:after="0" w:line="290" w:lineRule="auto"/>
        <w:ind w:left="942" w:right="442" w:hanging="488"/>
      </w:pPr>
    </w:p>
    <w:p w:rsidR="004B57CB" w:rsidRDefault="00EE5EE3" w:rsidP="00CF3D5A">
      <w:pPr>
        <w:spacing w:after="0" w:line="290" w:lineRule="auto"/>
        <w:ind w:left="942" w:right="442" w:hanging="488"/>
      </w:pPr>
      <w:r>
        <w:t xml:space="preserve">The last </w:t>
      </w:r>
      <w:r w:rsidR="00CF3D5A">
        <w:t xml:space="preserve">Section </w:t>
      </w:r>
      <w:r>
        <w:t>should be conclu</w:t>
      </w:r>
      <w:r>
        <w:t>ding in nature and should summarize the</w:t>
      </w:r>
      <w:r w:rsidR="00CF3D5A">
        <w:t xml:space="preserve"> discussions </w:t>
      </w:r>
      <w:r>
        <w:t xml:space="preserve">as well as some suggestions </w:t>
      </w:r>
      <w:r>
        <w:t>if any</w:t>
      </w:r>
      <w:r>
        <w:t xml:space="preserve">. </w:t>
      </w:r>
      <w:r>
        <w:t xml:space="preserve">The other </w:t>
      </w:r>
      <w:r w:rsidR="00CF3D5A">
        <w:t xml:space="preserve">Sections </w:t>
      </w:r>
      <w:r>
        <w:t xml:space="preserve">should form the body of your report and they are for you to </w:t>
      </w:r>
      <w:r w:rsidR="00CF3D5A">
        <w:t xml:space="preserve">share the state of the art in the area, current issues and what way Industry 4.0 can be utilized to address the issues leading to improvements in productivity. </w:t>
      </w:r>
      <w:r>
        <w:t xml:space="preserve">Avoid abrupt changes in contents from section to section and maintain a lucid flow throughout the thesis.  </w:t>
      </w:r>
    </w:p>
    <w:p w:rsidR="00CF3D5A" w:rsidRDefault="00CF3D5A" w:rsidP="00CF3D5A">
      <w:pPr>
        <w:spacing w:after="0" w:line="290" w:lineRule="auto"/>
        <w:ind w:left="942" w:right="442" w:hanging="488"/>
      </w:pPr>
    </w:p>
    <w:p w:rsidR="004B57CB" w:rsidRPr="00EE5EE3" w:rsidRDefault="00EE5EE3" w:rsidP="00CF3D5A">
      <w:pPr>
        <w:numPr>
          <w:ilvl w:val="0"/>
          <w:numId w:val="2"/>
        </w:numPr>
        <w:spacing w:after="0" w:line="290" w:lineRule="auto"/>
        <w:ind w:left="942" w:right="442" w:hanging="488"/>
      </w:pPr>
      <w:r>
        <w:t>A list of references can be included toward the end (see examples in Page 2)</w:t>
      </w:r>
      <w:r>
        <w:t xml:space="preserve">. </w:t>
      </w:r>
      <w:r>
        <w:t xml:space="preserve">Note and follow the format used in listing down each reference item. </w:t>
      </w:r>
      <w:r>
        <w:t xml:space="preserve">Also, remember that this list should only contain references which have been quoted and that the cited publications </w:t>
      </w:r>
      <w:r w:rsidRPr="00CF3D5A">
        <w:rPr>
          <w:u w:val="single" w:color="000000"/>
        </w:rPr>
        <w:t>must be listed in the</w:t>
      </w:r>
      <w:r>
        <w:t xml:space="preserve"> </w:t>
      </w:r>
      <w:r w:rsidRPr="00CF3D5A">
        <w:rPr>
          <w:u w:val="single" w:color="000000"/>
        </w:rPr>
        <w:t>same order as they appear in the report.</w:t>
      </w:r>
      <w:r>
        <w:t xml:space="preserve"> </w:t>
      </w:r>
      <w:r w:rsidRPr="00CF3D5A">
        <w:rPr>
          <w:color w:val="0000FF"/>
        </w:rPr>
        <w:t xml:space="preserve"> </w:t>
      </w:r>
      <w:r w:rsidRPr="00CF3D5A">
        <w:rPr>
          <w:b/>
        </w:rPr>
        <w:t>Th</w:t>
      </w:r>
      <w:r w:rsidRPr="00CF3D5A">
        <w:rPr>
          <w:b/>
        </w:rPr>
        <w:t xml:space="preserve">e figure caption of any copied figure and title of any copied table </w:t>
      </w:r>
      <w:r w:rsidRPr="00CF3D5A">
        <w:rPr>
          <w:b/>
        </w:rPr>
        <w:t>must cite the reference.</w:t>
      </w:r>
    </w:p>
    <w:p w:rsidR="00EE5EE3" w:rsidRDefault="00EE5EE3" w:rsidP="00EE5EE3">
      <w:pPr>
        <w:spacing w:after="0" w:line="290" w:lineRule="auto"/>
        <w:ind w:right="442"/>
      </w:pPr>
    </w:p>
    <w:p w:rsidR="00EE5EE3" w:rsidRDefault="00EE5EE3" w:rsidP="00EE5EE3">
      <w:pPr>
        <w:spacing w:after="0" w:line="290" w:lineRule="auto"/>
        <w:ind w:right="442"/>
      </w:pPr>
    </w:p>
    <w:p w:rsidR="00EE5EE3" w:rsidRDefault="00EE5EE3">
      <w:pPr>
        <w:spacing w:after="160" w:line="259" w:lineRule="auto"/>
        <w:ind w:left="0" w:firstLine="0"/>
        <w:jc w:val="left"/>
      </w:pPr>
      <w:r>
        <w:br w:type="page"/>
      </w:r>
    </w:p>
    <w:p w:rsidR="00EE5EE3" w:rsidRPr="00EE5EE3" w:rsidRDefault="00EE5EE3" w:rsidP="00EE5EE3">
      <w:pPr>
        <w:spacing w:after="0" w:line="290" w:lineRule="auto"/>
        <w:ind w:right="442"/>
        <w:rPr>
          <w:u w:val="single"/>
        </w:rPr>
      </w:pPr>
      <w:r w:rsidRPr="00EE5EE3">
        <w:rPr>
          <w:u w:val="single"/>
        </w:rPr>
        <w:lastRenderedPageBreak/>
        <w:t>In-text Citing</w:t>
      </w:r>
    </w:p>
    <w:p w:rsidR="00EE5EE3" w:rsidRDefault="00EE5EE3" w:rsidP="00EE5EE3">
      <w:pPr>
        <w:spacing w:after="0" w:line="290" w:lineRule="auto"/>
        <w:ind w:right="442"/>
      </w:pPr>
      <w:r w:rsidRPr="00EE5EE3">
        <w:t>It is not necessary to mention an author's name, pages used, or date of publication in the in-text citation. Instead, refer to the source with a number in a square bracket, e.g. [1], that will then correspond to the full citation in your reference list.</w:t>
      </w:r>
    </w:p>
    <w:p w:rsidR="00EE5EE3" w:rsidRDefault="00EE5EE3" w:rsidP="00EE5EE3">
      <w:pPr>
        <w:spacing w:after="0" w:line="290" w:lineRule="auto"/>
        <w:ind w:right="442"/>
      </w:pPr>
    </w:p>
    <w:p w:rsidR="00EE5EE3" w:rsidRDefault="00EE5EE3" w:rsidP="00EE5EE3">
      <w:pPr>
        <w:pStyle w:val="ListParagraph"/>
        <w:numPr>
          <w:ilvl w:val="0"/>
          <w:numId w:val="4"/>
        </w:numPr>
        <w:spacing w:after="0" w:line="290" w:lineRule="auto"/>
        <w:ind w:right="442"/>
      </w:pPr>
      <w:r>
        <w:t>Place bracketed citations within the line of text, before any punctuation, with a space before the first bracket.</w:t>
      </w:r>
    </w:p>
    <w:p w:rsidR="00EE5EE3" w:rsidRDefault="00EE5EE3" w:rsidP="00EE5EE3">
      <w:pPr>
        <w:pStyle w:val="ListParagraph"/>
        <w:numPr>
          <w:ilvl w:val="0"/>
          <w:numId w:val="4"/>
        </w:numPr>
        <w:spacing w:after="0" w:line="290" w:lineRule="auto"/>
        <w:ind w:right="442"/>
      </w:pPr>
      <w:r>
        <w:t xml:space="preserve">Number your sources as you cite them in the </w:t>
      </w:r>
      <w:r>
        <w:t>report</w:t>
      </w:r>
      <w:r>
        <w:t>. Once you have referred to a source and given it a number, continue to use that number as you cite that source throughout the paper.</w:t>
      </w:r>
    </w:p>
    <w:p w:rsidR="00EE5EE3" w:rsidRDefault="00EE5EE3" w:rsidP="00EE5EE3">
      <w:pPr>
        <w:pStyle w:val="ListParagraph"/>
        <w:numPr>
          <w:ilvl w:val="0"/>
          <w:numId w:val="4"/>
        </w:numPr>
        <w:spacing w:after="0" w:line="290" w:lineRule="auto"/>
        <w:ind w:right="442"/>
      </w:pPr>
      <w:r>
        <w:t xml:space="preserve">When citing multiple sources at once, the preferred method is to list each number separately, in its own brackets, using a comma or dash </w:t>
      </w:r>
      <w:r>
        <w:t>between</w:t>
      </w:r>
      <w:bookmarkStart w:id="0" w:name="_GoBack"/>
      <w:bookmarkEnd w:id="0"/>
      <w:r>
        <w:t xml:space="preserve"> numbers, as such: [1], [3], [5] or [1] - [5].</w:t>
      </w:r>
    </w:p>
    <w:p w:rsidR="00EE5EE3" w:rsidRDefault="00EE5EE3" w:rsidP="00EE5EE3">
      <w:pPr>
        <w:spacing w:after="0" w:line="290" w:lineRule="auto"/>
        <w:ind w:right="442"/>
      </w:pPr>
    </w:p>
    <w:p w:rsidR="00EE5EE3" w:rsidRPr="00EE5EE3" w:rsidRDefault="00EE5EE3" w:rsidP="00EE5EE3">
      <w:pPr>
        <w:shd w:val="clear" w:color="auto" w:fill="FFFFFF"/>
        <w:spacing w:after="150" w:line="240" w:lineRule="auto"/>
        <w:ind w:left="0" w:firstLine="0"/>
        <w:jc w:val="left"/>
        <w:rPr>
          <w:rFonts w:eastAsia="Times New Roman"/>
          <w:color w:val="333333"/>
          <w:sz w:val="21"/>
          <w:szCs w:val="21"/>
        </w:rPr>
      </w:pPr>
      <w:r w:rsidRPr="00EE5EE3">
        <w:rPr>
          <w:rFonts w:eastAsia="Times New Roman"/>
          <w:i/>
          <w:iCs/>
          <w:sz w:val="21"/>
          <w:szCs w:val="21"/>
        </w:rPr>
        <w:t>Examples of citations for different materials:</w:t>
      </w:r>
    </w:p>
    <w:tbl>
      <w:tblPr>
        <w:tblW w:w="73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340"/>
        <w:gridCol w:w="5055"/>
      </w:tblGrid>
      <w:tr w:rsidR="00EE5EE3" w:rsidRPr="00EE5EE3" w:rsidTr="00EE5EE3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center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>Material Type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center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>Works Cited</w:t>
            </w:r>
          </w:p>
        </w:tc>
      </w:tr>
      <w:tr w:rsidR="00EE5EE3" w:rsidRPr="00EE5EE3" w:rsidTr="00EE5EE3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>Book in print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color w:val="333333"/>
                <w:sz w:val="21"/>
                <w:szCs w:val="21"/>
              </w:rPr>
              <w:t>[1] B. Klaus and P. Horn, </w:t>
            </w:r>
            <w:r w:rsidRPr="00EE5EE3">
              <w:rPr>
                <w:rFonts w:eastAsia="Times New Roman"/>
                <w:i/>
                <w:iCs/>
                <w:color w:val="333333"/>
                <w:sz w:val="21"/>
                <w:szCs w:val="21"/>
              </w:rPr>
              <w:t>Robot Vision</w:t>
            </w:r>
            <w:r w:rsidRPr="00EE5EE3">
              <w:rPr>
                <w:rFonts w:eastAsia="Times New Roman"/>
                <w:color w:val="333333"/>
                <w:sz w:val="21"/>
                <w:szCs w:val="21"/>
              </w:rPr>
              <w:t>. Cambridge, MA: MIT Press, 1986.</w:t>
            </w:r>
          </w:p>
        </w:tc>
      </w:tr>
      <w:tr w:rsidR="00EE5EE3" w:rsidRPr="00EE5EE3" w:rsidTr="00EE5EE3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>Chapter in book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color w:val="333333"/>
                <w:sz w:val="21"/>
                <w:szCs w:val="21"/>
              </w:rPr>
              <w:t>[2] L. Stein, “Random patterns,” in </w:t>
            </w:r>
            <w:r w:rsidRPr="00EE5EE3">
              <w:rPr>
                <w:rFonts w:eastAsia="Times New Roman"/>
                <w:i/>
                <w:iCs/>
                <w:color w:val="333333"/>
                <w:sz w:val="21"/>
                <w:szCs w:val="21"/>
              </w:rPr>
              <w:t>Computers and You</w:t>
            </w:r>
            <w:r w:rsidRPr="00EE5EE3">
              <w:rPr>
                <w:rFonts w:eastAsia="Times New Roman"/>
                <w:color w:val="333333"/>
                <w:sz w:val="21"/>
                <w:szCs w:val="21"/>
              </w:rPr>
              <w:t>, J. S. Brake, Ed. New York: Wiley, 1994, pp. 55-70.</w:t>
            </w:r>
          </w:p>
        </w:tc>
      </w:tr>
      <w:tr w:rsidR="00EE5EE3" w:rsidRPr="00EE5EE3" w:rsidTr="00EE5EE3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>eBook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color w:val="333333"/>
                <w:sz w:val="21"/>
                <w:szCs w:val="21"/>
              </w:rPr>
              <w:t xml:space="preserve">[3] L. Bass, P. Clements, and R. </w:t>
            </w:r>
            <w:proofErr w:type="spellStart"/>
            <w:r w:rsidRPr="00EE5EE3">
              <w:rPr>
                <w:rFonts w:eastAsia="Times New Roman"/>
                <w:color w:val="333333"/>
                <w:sz w:val="21"/>
                <w:szCs w:val="21"/>
              </w:rPr>
              <w:t>Kazman</w:t>
            </w:r>
            <w:proofErr w:type="spellEnd"/>
            <w:r w:rsidRPr="00EE5EE3">
              <w:rPr>
                <w:rFonts w:eastAsia="Times New Roman"/>
                <w:color w:val="333333"/>
                <w:sz w:val="21"/>
                <w:szCs w:val="21"/>
              </w:rPr>
              <w:t>, </w:t>
            </w:r>
            <w:r w:rsidRPr="00EE5EE3">
              <w:rPr>
                <w:rFonts w:eastAsia="Times New Roman"/>
                <w:i/>
                <w:iCs/>
                <w:color w:val="333333"/>
                <w:sz w:val="21"/>
                <w:szCs w:val="21"/>
              </w:rPr>
              <w:t>Software Architecture in Practice</w:t>
            </w:r>
            <w:r w:rsidRPr="00EE5EE3">
              <w:rPr>
                <w:rFonts w:eastAsia="Times New Roman"/>
                <w:color w:val="333333"/>
                <w:sz w:val="21"/>
                <w:szCs w:val="21"/>
              </w:rPr>
              <w:t>, 2nd ed. Reading, MA: Addison Wesley, 2003. [E-book] Available: Safari e-book.</w:t>
            </w:r>
          </w:p>
        </w:tc>
      </w:tr>
      <w:tr w:rsidR="00EE5EE3" w:rsidRPr="00EE5EE3" w:rsidTr="00EE5EE3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>Journal article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color w:val="333333"/>
                <w:sz w:val="21"/>
                <w:szCs w:val="21"/>
              </w:rPr>
              <w:t xml:space="preserve">[4] J. U. </w:t>
            </w:r>
            <w:proofErr w:type="spellStart"/>
            <w:r w:rsidRPr="00EE5EE3">
              <w:rPr>
                <w:rFonts w:eastAsia="Times New Roman"/>
                <w:color w:val="333333"/>
                <w:sz w:val="21"/>
                <w:szCs w:val="21"/>
              </w:rPr>
              <w:t>Duncombe</w:t>
            </w:r>
            <w:proofErr w:type="spellEnd"/>
            <w:r w:rsidRPr="00EE5EE3">
              <w:rPr>
                <w:rFonts w:eastAsia="Times New Roman"/>
                <w:color w:val="333333"/>
                <w:sz w:val="21"/>
                <w:szCs w:val="21"/>
              </w:rPr>
              <w:t xml:space="preserve">, "Infrared navigation - Part I: An assessment of </w:t>
            </w:r>
            <w:proofErr w:type="spellStart"/>
            <w:r w:rsidRPr="00EE5EE3">
              <w:rPr>
                <w:rFonts w:eastAsia="Times New Roman"/>
                <w:color w:val="333333"/>
                <w:sz w:val="21"/>
                <w:szCs w:val="21"/>
              </w:rPr>
              <w:t>feasability</w:t>
            </w:r>
            <w:proofErr w:type="spellEnd"/>
            <w:r w:rsidRPr="00EE5EE3">
              <w:rPr>
                <w:rFonts w:eastAsia="Times New Roman"/>
                <w:color w:val="333333"/>
                <w:sz w:val="21"/>
                <w:szCs w:val="21"/>
              </w:rPr>
              <w:t>," </w:t>
            </w:r>
            <w:r w:rsidRPr="00EE5EE3">
              <w:rPr>
                <w:rFonts w:eastAsia="Times New Roman"/>
                <w:i/>
                <w:iCs/>
                <w:color w:val="333333"/>
                <w:sz w:val="21"/>
                <w:szCs w:val="21"/>
              </w:rPr>
              <w:t>IEEE Trans. Electron. Devices</w:t>
            </w:r>
            <w:r w:rsidRPr="00EE5EE3">
              <w:rPr>
                <w:rFonts w:eastAsia="Times New Roman"/>
                <w:color w:val="333333"/>
                <w:sz w:val="21"/>
                <w:szCs w:val="21"/>
              </w:rPr>
              <w:t>, vol. ED-11, pp. 34-39, Jan. 1959.</w:t>
            </w:r>
          </w:p>
        </w:tc>
      </w:tr>
      <w:tr w:rsidR="00EE5EE3" w:rsidRPr="00EE5EE3" w:rsidTr="00EE5EE3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EE5EE3"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>eJournal</w:t>
            </w:r>
            <w:proofErr w:type="spellEnd"/>
            <w:r w:rsidRPr="00EE5EE3"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 xml:space="preserve"> (from database)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color w:val="333333"/>
                <w:sz w:val="21"/>
                <w:szCs w:val="21"/>
              </w:rPr>
              <w:t>[5] H. K. Edwards and V. Sridhar, "Analysis of software requirements engineering exercises in a global virtual team setup," </w:t>
            </w:r>
            <w:r w:rsidRPr="00EE5EE3">
              <w:rPr>
                <w:rFonts w:eastAsia="Times New Roman"/>
                <w:i/>
                <w:iCs/>
                <w:color w:val="333333"/>
                <w:sz w:val="21"/>
                <w:szCs w:val="21"/>
              </w:rPr>
              <w:t>Journal of Global Information Management</w:t>
            </w:r>
            <w:r w:rsidRPr="00EE5EE3">
              <w:rPr>
                <w:rFonts w:eastAsia="Times New Roman"/>
                <w:color w:val="333333"/>
                <w:sz w:val="21"/>
                <w:szCs w:val="21"/>
              </w:rPr>
              <w:t>, vol. 13, no. 2, p. 21+, April-June 2005. [Online]. Available: Academic OneFile, http://find.galegroup.com. [Accessed May 31, 2005].</w:t>
            </w:r>
          </w:p>
        </w:tc>
      </w:tr>
      <w:tr w:rsidR="00EE5EE3" w:rsidRPr="00EE5EE3" w:rsidTr="00EE5EE3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proofErr w:type="spellStart"/>
            <w:r w:rsidRPr="00EE5EE3"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>eJournal</w:t>
            </w:r>
            <w:proofErr w:type="spellEnd"/>
            <w:r w:rsidRPr="00EE5EE3"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 xml:space="preserve"> (from internet)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color w:val="333333"/>
                <w:sz w:val="21"/>
                <w:szCs w:val="21"/>
              </w:rPr>
              <w:t xml:space="preserve">[6] A. </w:t>
            </w:r>
            <w:proofErr w:type="spellStart"/>
            <w:r w:rsidRPr="00EE5EE3">
              <w:rPr>
                <w:rFonts w:eastAsia="Times New Roman"/>
                <w:color w:val="333333"/>
                <w:sz w:val="21"/>
                <w:szCs w:val="21"/>
              </w:rPr>
              <w:t>Altun</w:t>
            </w:r>
            <w:proofErr w:type="spellEnd"/>
            <w:r w:rsidRPr="00EE5EE3">
              <w:rPr>
                <w:rFonts w:eastAsia="Times New Roman"/>
                <w:color w:val="333333"/>
                <w:sz w:val="21"/>
                <w:szCs w:val="21"/>
              </w:rPr>
              <w:t>, "Understanding hypertext in the context of reading on the web: Language learners' experience," </w:t>
            </w:r>
            <w:r w:rsidRPr="00EE5EE3">
              <w:rPr>
                <w:rFonts w:eastAsia="Times New Roman"/>
                <w:i/>
                <w:iCs/>
                <w:color w:val="333333"/>
                <w:sz w:val="21"/>
                <w:szCs w:val="21"/>
              </w:rPr>
              <w:t>Current Issues in Education</w:t>
            </w:r>
            <w:r w:rsidRPr="00EE5EE3">
              <w:rPr>
                <w:rFonts w:eastAsia="Times New Roman"/>
                <w:color w:val="333333"/>
                <w:sz w:val="21"/>
                <w:szCs w:val="21"/>
              </w:rPr>
              <w:t>, vol. 6, no. 12, July 2003. [Online]. Available: http://cie.ed.asu.edu/volume6/number12/. [Accessed Dec. 2, 2004].</w:t>
            </w:r>
          </w:p>
        </w:tc>
      </w:tr>
      <w:tr w:rsidR="00EE5EE3" w:rsidRPr="00EE5EE3" w:rsidTr="00EE5EE3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>Conference paper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color w:val="333333"/>
                <w:sz w:val="21"/>
                <w:szCs w:val="21"/>
              </w:rPr>
              <w:t>[7] L. Liu and H. Miao, "A specification based approach to testing polymorphic attributes," in </w:t>
            </w:r>
            <w:r w:rsidRPr="00EE5EE3">
              <w:rPr>
                <w:rFonts w:eastAsia="Times New Roman"/>
                <w:i/>
                <w:iCs/>
                <w:color w:val="333333"/>
                <w:sz w:val="21"/>
                <w:szCs w:val="21"/>
              </w:rPr>
              <w:t>Formal Methods and Software Engineering: Proceedings of the 6th International Conference on Formal Engineering Methods, ICFEM 2004, Seattle, WA, USA, November 8-12, 2004</w:t>
            </w:r>
            <w:r w:rsidRPr="00EE5EE3">
              <w:rPr>
                <w:rFonts w:eastAsia="Times New Roman"/>
                <w:color w:val="333333"/>
                <w:sz w:val="21"/>
                <w:szCs w:val="21"/>
              </w:rPr>
              <w:t>, J. Davies, W. Schulte, M. Barnett, Eds. Berlin: Springer, 2004. pp. 306-19.</w:t>
            </w:r>
          </w:p>
        </w:tc>
      </w:tr>
      <w:tr w:rsidR="00EE5EE3" w:rsidRPr="00EE5EE3" w:rsidTr="00EE5EE3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>Conference proceedings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color w:val="333333"/>
                <w:sz w:val="21"/>
                <w:szCs w:val="21"/>
              </w:rPr>
              <w:t xml:space="preserve">[8] T. J. van </w:t>
            </w:r>
            <w:proofErr w:type="spellStart"/>
            <w:r w:rsidRPr="00EE5EE3">
              <w:rPr>
                <w:rFonts w:eastAsia="Times New Roman"/>
                <w:color w:val="333333"/>
                <w:sz w:val="21"/>
                <w:szCs w:val="21"/>
              </w:rPr>
              <w:t>Weert</w:t>
            </w:r>
            <w:proofErr w:type="spellEnd"/>
            <w:r w:rsidRPr="00EE5EE3">
              <w:rPr>
                <w:rFonts w:eastAsia="Times New Roman"/>
                <w:color w:val="333333"/>
                <w:sz w:val="21"/>
                <w:szCs w:val="21"/>
              </w:rPr>
              <w:t xml:space="preserve"> and R. K. Munro, Eds., </w:t>
            </w:r>
            <w:r w:rsidRPr="00EE5EE3">
              <w:rPr>
                <w:rFonts w:eastAsia="Times New Roman"/>
                <w:i/>
                <w:iCs/>
                <w:color w:val="333333"/>
                <w:sz w:val="21"/>
                <w:szCs w:val="21"/>
              </w:rPr>
              <w:t>Informatics and the Digital Society: Social, ethical and cognitive issues</w:t>
            </w:r>
            <w:r w:rsidRPr="00EE5EE3">
              <w:rPr>
                <w:rFonts w:eastAsia="Times New Roman"/>
                <w:color w:val="333333"/>
                <w:sz w:val="21"/>
                <w:szCs w:val="21"/>
              </w:rPr>
              <w:t xml:space="preserve">: IFIP TC3/WG3.1&amp;3.2 Open Conference on </w:t>
            </w:r>
            <w:r w:rsidRPr="00EE5EE3">
              <w:rPr>
                <w:rFonts w:eastAsia="Times New Roman"/>
                <w:color w:val="333333"/>
                <w:sz w:val="21"/>
                <w:szCs w:val="21"/>
              </w:rPr>
              <w:lastRenderedPageBreak/>
              <w:t>Social, Ethical and Cognitive Issues of Informatics and ICT, July 22-26, 2002, Dortmund, Germany. Boston: Kluwer Academic, 2003.</w:t>
            </w:r>
          </w:p>
        </w:tc>
      </w:tr>
      <w:tr w:rsidR="00EE5EE3" w:rsidRPr="00EE5EE3" w:rsidTr="00EE5EE3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lastRenderedPageBreak/>
              <w:t>Newspaper article (from database)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color w:val="333333"/>
                <w:sz w:val="21"/>
                <w:szCs w:val="21"/>
              </w:rPr>
              <w:t>[9] J. Riley, "Call for new look at skilled migrants," </w:t>
            </w:r>
            <w:r w:rsidRPr="00EE5EE3">
              <w:rPr>
                <w:rFonts w:eastAsia="Times New Roman"/>
                <w:i/>
                <w:iCs/>
                <w:color w:val="333333"/>
                <w:sz w:val="21"/>
                <w:szCs w:val="21"/>
              </w:rPr>
              <w:t>The Australian</w:t>
            </w:r>
            <w:r w:rsidRPr="00EE5EE3">
              <w:rPr>
                <w:rFonts w:eastAsia="Times New Roman"/>
                <w:color w:val="333333"/>
                <w:sz w:val="21"/>
                <w:szCs w:val="21"/>
              </w:rPr>
              <w:t>, p. 35, May 31, 2005. [Online]. Available: Factiva, http://global.factiva.com. [Accessed May 31, 2005].</w:t>
            </w:r>
          </w:p>
        </w:tc>
      </w:tr>
      <w:tr w:rsidR="00EE5EE3" w:rsidRPr="00EE5EE3" w:rsidTr="00EE5EE3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>Technical report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color w:val="333333"/>
                <w:sz w:val="21"/>
                <w:szCs w:val="21"/>
              </w:rPr>
              <w:t xml:space="preserve">[10] J. H. Davis and J. R. </w:t>
            </w:r>
            <w:proofErr w:type="spellStart"/>
            <w:r w:rsidRPr="00EE5EE3">
              <w:rPr>
                <w:rFonts w:eastAsia="Times New Roman"/>
                <w:color w:val="333333"/>
                <w:sz w:val="21"/>
                <w:szCs w:val="21"/>
              </w:rPr>
              <w:t>Cogdell</w:t>
            </w:r>
            <w:proofErr w:type="spellEnd"/>
            <w:r w:rsidRPr="00EE5EE3">
              <w:rPr>
                <w:rFonts w:eastAsia="Times New Roman"/>
                <w:color w:val="333333"/>
                <w:sz w:val="21"/>
                <w:szCs w:val="21"/>
              </w:rPr>
              <w:t>, “Calibration program for the 16-foot antenna,” Elect. Eng. Res. Lab., Univ. Texas</w:t>
            </w:r>
            <w:proofErr w:type="gramStart"/>
            <w:r w:rsidRPr="00EE5EE3">
              <w:rPr>
                <w:rFonts w:eastAsia="Times New Roman"/>
                <w:color w:val="333333"/>
                <w:sz w:val="21"/>
                <w:szCs w:val="21"/>
              </w:rPr>
              <w:t>,</w:t>
            </w:r>
            <w:proofErr w:type="gramEnd"/>
            <w:r w:rsidRPr="00EE5EE3">
              <w:rPr>
                <w:rFonts w:eastAsia="Times New Roman"/>
                <w:color w:val="333333"/>
                <w:sz w:val="21"/>
                <w:szCs w:val="21"/>
              </w:rPr>
              <w:br/>
              <w:t>Austin, Tech. Memo. NGL-006-69-3, Nov. 15, 1987.</w:t>
            </w:r>
          </w:p>
        </w:tc>
      </w:tr>
      <w:tr w:rsidR="00EE5EE3" w:rsidRPr="00EE5EE3" w:rsidTr="00EE5EE3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>Patent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color w:val="333333"/>
                <w:sz w:val="21"/>
                <w:szCs w:val="21"/>
              </w:rPr>
              <w:t>[11] J. P. Wilkinson, “Nonlinear resonant circuit devices,” U.S. Patent 3 624 125, July 16, 1990.</w:t>
            </w:r>
          </w:p>
        </w:tc>
      </w:tr>
      <w:tr w:rsidR="00EE5EE3" w:rsidRPr="00EE5EE3" w:rsidTr="00EE5EE3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>Standard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color w:val="333333"/>
                <w:sz w:val="21"/>
                <w:szCs w:val="21"/>
              </w:rPr>
              <w:t>[12] </w:t>
            </w:r>
            <w:r w:rsidRPr="00EE5EE3">
              <w:rPr>
                <w:rFonts w:eastAsia="Times New Roman"/>
                <w:i/>
                <w:iCs/>
                <w:color w:val="333333"/>
                <w:sz w:val="21"/>
                <w:szCs w:val="21"/>
              </w:rPr>
              <w:t>IEEE Criteria for Class IE Electric Systems</w:t>
            </w:r>
            <w:r w:rsidRPr="00EE5EE3">
              <w:rPr>
                <w:rFonts w:eastAsia="Times New Roman"/>
                <w:color w:val="333333"/>
                <w:sz w:val="21"/>
                <w:szCs w:val="21"/>
              </w:rPr>
              <w:t>, IEEE Standard 308, 1969.</w:t>
            </w:r>
          </w:p>
        </w:tc>
      </w:tr>
      <w:tr w:rsidR="00EE5EE3" w:rsidRPr="00EE5EE3" w:rsidTr="00EE5EE3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b/>
                <w:bCs/>
                <w:color w:val="333333"/>
                <w:sz w:val="21"/>
                <w:szCs w:val="21"/>
              </w:rPr>
              <w:t>Thesis/Dissertation</w:t>
            </w:r>
          </w:p>
        </w:tc>
        <w:tc>
          <w:tcPr>
            <w:tcW w:w="5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EE3" w:rsidRPr="00EE5EE3" w:rsidRDefault="00EE5EE3" w:rsidP="00EE5EE3">
            <w:pPr>
              <w:spacing w:after="150" w:line="240" w:lineRule="auto"/>
              <w:ind w:left="0" w:firstLine="0"/>
              <w:jc w:val="left"/>
              <w:rPr>
                <w:rFonts w:eastAsia="Times New Roman"/>
                <w:color w:val="333333"/>
                <w:sz w:val="21"/>
                <w:szCs w:val="21"/>
              </w:rPr>
            </w:pPr>
            <w:r w:rsidRPr="00EE5EE3">
              <w:rPr>
                <w:rFonts w:eastAsia="Times New Roman"/>
                <w:color w:val="333333"/>
                <w:sz w:val="21"/>
                <w:szCs w:val="21"/>
              </w:rPr>
              <w:t xml:space="preserve">[1] J. O. Williams, “Narrow-band </w:t>
            </w:r>
            <w:proofErr w:type="spellStart"/>
            <w:r w:rsidRPr="00EE5EE3">
              <w:rPr>
                <w:rFonts w:eastAsia="Times New Roman"/>
                <w:color w:val="333333"/>
                <w:sz w:val="21"/>
                <w:szCs w:val="21"/>
              </w:rPr>
              <w:t>analyzer</w:t>
            </w:r>
            <w:proofErr w:type="spellEnd"/>
            <w:r w:rsidRPr="00EE5EE3">
              <w:rPr>
                <w:rFonts w:eastAsia="Times New Roman"/>
                <w:color w:val="333333"/>
                <w:sz w:val="21"/>
                <w:szCs w:val="21"/>
              </w:rPr>
              <w:t>,” Ph.D. dissertation, Dept. Elect. Eng., Harvard Univ., Cambridge, MA, 1993.</w:t>
            </w:r>
          </w:p>
        </w:tc>
      </w:tr>
    </w:tbl>
    <w:p w:rsidR="00EE5EE3" w:rsidRDefault="00EE5EE3" w:rsidP="00EE5EE3">
      <w:pPr>
        <w:spacing w:after="0" w:line="290" w:lineRule="auto"/>
        <w:ind w:right="442"/>
      </w:pPr>
    </w:p>
    <w:sectPr w:rsidR="00EE5EE3">
      <w:pgSz w:w="12240" w:h="15840"/>
      <w:pgMar w:top="1196" w:right="1706" w:bottom="676" w:left="17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2864"/>
    <w:multiLevelType w:val="hybridMultilevel"/>
    <w:tmpl w:val="7D1297A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57CBA"/>
    <w:multiLevelType w:val="hybridMultilevel"/>
    <w:tmpl w:val="7C16E1CE"/>
    <w:lvl w:ilvl="0" w:tplc="19924F8C">
      <w:start w:val="1"/>
      <w:numFmt w:val="lowerLetter"/>
      <w:lvlText w:val="(%1)"/>
      <w:lvlJc w:val="left"/>
      <w:pPr>
        <w:ind w:left="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6FCC1BE">
      <w:start w:val="1"/>
      <w:numFmt w:val="lowerLetter"/>
      <w:lvlText w:val="%2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9C0339A">
      <w:start w:val="1"/>
      <w:numFmt w:val="lowerRoman"/>
      <w:lvlText w:val="%3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E4CFBDA">
      <w:start w:val="1"/>
      <w:numFmt w:val="decimal"/>
      <w:lvlText w:val="%4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E0421F0">
      <w:start w:val="1"/>
      <w:numFmt w:val="lowerLetter"/>
      <w:lvlText w:val="%5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A823FE">
      <w:start w:val="1"/>
      <w:numFmt w:val="lowerRoman"/>
      <w:lvlText w:val="%6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33A1832">
      <w:start w:val="1"/>
      <w:numFmt w:val="decimal"/>
      <w:lvlText w:val="%7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3045910">
      <w:start w:val="1"/>
      <w:numFmt w:val="lowerLetter"/>
      <w:lvlText w:val="%8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5CE5CEA">
      <w:start w:val="1"/>
      <w:numFmt w:val="lowerRoman"/>
      <w:lvlText w:val="%9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7E194C"/>
    <w:multiLevelType w:val="hybridMultilevel"/>
    <w:tmpl w:val="53F8B7A4"/>
    <w:lvl w:ilvl="0" w:tplc="A17C951A">
      <w:start w:val="2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EFE1D1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92699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F68F6B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EF0DB0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2B0DE6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07458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2ED1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01ABA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071B97"/>
    <w:multiLevelType w:val="hybridMultilevel"/>
    <w:tmpl w:val="3E48D6FA"/>
    <w:lvl w:ilvl="0" w:tplc="D5A6CC0C">
      <w:start w:val="9"/>
      <w:numFmt w:val="lowerLetter"/>
      <w:lvlText w:val="(%1)"/>
      <w:lvlJc w:val="left"/>
      <w:pPr>
        <w:ind w:left="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282A37A">
      <w:start w:val="1"/>
      <w:numFmt w:val="lowerLetter"/>
      <w:lvlText w:val="%2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24C5CBE">
      <w:start w:val="1"/>
      <w:numFmt w:val="lowerRoman"/>
      <w:lvlText w:val="%3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D763076">
      <w:start w:val="1"/>
      <w:numFmt w:val="decimal"/>
      <w:lvlText w:val="%4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208129C">
      <w:start w:val="1"/>
      <w:numFmt w:val="lowerLetter"/>
      <w:lvlText w:val="%5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F026550">
      <w:start w:val="1"/>
      <w:numFmt w:val="lowerRoman"/>
      <w:lvlText w:val="%6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F286A30">
      <w:start w:val="1"/>
      <w:numFmt w:val="decimal"/>
      <w:lvlText w:val="%7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9D8C25A">
      <w:start w:val="1"/>
      <w:numFmt w:val="lowerLetter"/>
      <w:lvlText w:val="%8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ACA47F8">
      <w:start w:val="1"/>
      <w:numFmt w:val="lowerRoman"/>
      <w:lvlText w:val="%9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CB"/>
    <w:rsid w:val="004B57CB"/>
    <w:rsid w:val="00CF3D5A"/>
    <w:rsid w:val="00EE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1C2D"/>
  <w15:docId w15:val="{65C0CE5B-687F-482D-856F-651B44DB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0" w:line="291" w:lineRule="auto"/>
      <w:ind w:left="10" w:hanging="10"/>
      <w:jc w:val="both"/>
    </w:pPr>
    <w:rPr>
      <w:rFonts w:ascii="Arial" w:eastAsia="Arial" w:hAnsi="Arial" w:cs="Arial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7" w:line="252" w:lineRule="auto"/>
      <w:ind w:left="10" w:hanging="10"/>
      <w:outlineLvl w:val="0"/>
    </w:pPr>
    <w:rPr>
      <w:rFonts w:ascii="Arial" w:eastAsia="Arial" w:hAnsi="Arial" w:cs="Arial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3"/>
    </w:rPr>
  </w:style>
  <w:style w:type="paragraph" w:styleId="NormalWeb">
    <w:name w:val="Normal (Web)"/>
    <w:basedOn w:val="Normal"/>
    <w:uiPriority w:val="99"/>
    <w:semiHidden/>
    <w:unhideWhenUsed/>
    <w:rsid w:val="00EE5EE3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5EE3"/>
    <w:rPr>
      <w:i/>
      <w:iCs/>
    </w:rPr>
  </w:style>
  <w:style w:type="character" w:styleId="Strong">
    <w:name w:val="Strong"/>
    <w:basedOn w:val="DefaultParagraphFont"/>
    <w:uiPriority w:val="22"/>
    <w:qFormat/>
    <w:rsid w:val="00EE5EE3"/>
    <w:rPr>
      <w:b/>
      <w:bCs/>
    </w:rPr>
  </w:style>
  <w:style w:type="paragraph" w:styleId="ListParagraph">
    <w:name w:val="List Paragraph"/>
    <w:basedOn w:val="Normal"/>
    <w:uiPriority w:val="34"/>
    <w:qFormat/>
    <w:rsid w:val="00EE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1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Prahlad Vadakkepat (Master, PGP House)</dc:creator>
  <cp:keywords/>
  <cp:lastModifiedBy>Prahlad Vadakkepat (Master, PGP House)</cp:lastModifiedBy>
  <cp:revision>2</cp:revision>
  <dcterms:created xsi:type="dcterms:W3CDTF">2019-09-05T09:44:00Z</dcterms:created>
  <dcterms:modified xsi:type="dcterms:W3CDTF">2019-09-05T09:44:00Z</dcterms:modified>
</cp:coreProperties>
</file>