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1257" w14:textId="77777777" w:rsidR="000C013D" w:rsidRPr="00143B41" w:rsidRDefault="000C013D" w:rsidP="00444603">
      <w:pPr>
        <w:spacing w:before="240" w:after="240" w:line="384" w:lineRule="auto"/>
        <w:jc w:val="center"/>
        <w:rPr>
          <w:rFonts w:ascii="Times New Roman" w:hAnsi="Times New Roman" w:cs="Times New Roman"/>
          <w:b/>
          <w:color w:val="000000" w:themeColor="text1"/>
          <w:sz w:val="28"/>
          <w:szCs w:val="28"/>
        </w:rPr>
      </w:pPr>
      <w:r w:rsidRPr="00143B41">
        <w:rPr>
          <w:rFonts w:ascii="Times New Roman" w:hAnsi="Times New Roman" w:cs="Times New Roman"/>
          <w:b/>
          <w:color w:val="000000" w:themeColor="text1"/>
          <w:sz w:val="28"/>
          <w:szCs w:val="28"/>
        </w:rPr>
        <w:t>CHAPTER- I</w:t>
      </w:r>
    </w:p>
    <w:p w14:paraId="119F9E3A" w14:textId="77777777" w:rsidR="000C013D" w:rsidRPr="00143B41" w:rsidRDefault="000C013D" w:rsidP="00444603">
      <w:pPr>
        <w:spacing w:before="240" w:after="240" w:line="384" w:lineRule="auto"/>
        <w:jc w:val="center"/>
        <w:rPr>
          <w:rFonts w:ascii="Times New Roman" w:hAnsi="Times New Roman" w:cs="Times New Roman"/>
          <w:b/>
          <w:color w:val="000000" w:themeColor="text1"/>
          <w:sz w:val="28"/>
          <w:szCs w:val="28"/>
        </w:rPr>
      </w:pPr>
      <w:r w:rsidRPr="00143B41">
        <w:rPr>
          <w:rFonts w:ascii="Times New Roman" w:hAnsi="Times New Roman" w:cs="Times New Roman"/>
          <w:b/>
          <w:color w:val="000000" w:themeColor="text1"/>
          <w:sz w:val="28"/>
          <w:szCs w:val="28"/>
        </w:rPr>
        <w:t>INTRODUCTION</w:t>
      </w:r>
    </w:p>
    <w:p w14:paraId="3385CC0C" w14:textId="77777777" w:rsidR="000C013D" w:rsidRPr="00143B41" w:rsidRDefault="000C013D" w:rsidP="00444603">
      <w:pPr>
        <w:pStyle w:val="ListParagraph"/>
        <w:numPr>
          <w:ilvl w:val="1"/>
          <w:numId w:val="1"/>
        </w:numPr>
        <w:spacing w:before="240" w:after="240" w:line="384" w:lineRule="auto"/>
        <w:jc w:val="both"/>
        <w:rPr>
          <w:rFonts w:ascii="Times New Roman" w:hAnsi="Times New Roman" w:cs="Times New Roman"/>
          <w:b/>
          <w:color w:val="000000" w:themeColor="text1"/>
          <w:sz w:val="28"/>
          <w:szCs w:val="28"/>
        </w:rPr>
      </w:pPr>
      <w:r w:rsidRPr="00143B41">
        <w:rPr>
          <w:rFonts w:ascii="Times New Roman" w:hAnsi="Times New Roman" w:cs="Times New Roman"/>
          <w:b/>
          <w:color w:val="000000" w:themeColor="text1"/>
          <w:sz w:val="28"/>
          <w:szCs w:val="28"/>
        </w:rPr>
        <w:t>Background of the Study</w:t>
      </w:r>
    </w:p>
    <w:p w14:paraId="2EF1ABF2"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stock market plays an important role in economic development by promoting capital formation and raising economic growth. Trading of securities in this market facilitates savers and users of capital by fund pooling, risk sharing, and transferring wealth. Economic activities can be created by flow of reserves to the most productive investment. Investors take decisions to invest in particular shares of companies, keeping in view their share prices. Equity markets enhance corporate efficiency, spur innovation, and provide a valuable source of capital for long-term economic development. They also provide a useful mechanism for governments to raise capital through the sale of state-owned enterprises. Moreover, equity-market investments constitute an important element of individuals’ assets, particularly as governments shift their pension    systems toward the private sector. In short, it is clear that equities constitute an increasingly important capital market in the world economy (Mosley &amp; Singer, 2018).</w:t>
      </w:r>
    </w:p>
    <w:p w14:paraId="085E369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One of the major avenues of investment that has the potential of yielding considerable returns to investors is the investment in equity shares. It is also a source of finance for the capital requirements of firms. Returns from such equity investments are however subject to vary, depending upon the performance of the particular stock and movement in stock price. Fluctuation in stock prices may occur due to the supply and demand forces but there is no proof or perfect system that indicates the exact movement of stock prices. The factors behind the increase or decrease in the demand and supply of stock prices can be categorized into three main types: technical factors, fundamental factors and market sentiments. However, knowledge of such factors and their possible impact on share prices </w:t>
      </w:r>
      <w:r w:rsidRPr="00143B41">
        <w:rPr>
          <w:rFonts w:ascii="Times New Roman" w:hAnsi="Times New Roman" w:cs="Times New Roman"/>
          <w:color w:val="000000" w:themeColor="text1"/>
          <w:sz w:val="24"/>
          <w:szCs w:val="24"/>
        </w:rPr>
        <w:lastRenderedPageBreak/>
        <w:t>is highly appreciable as it would help investors make wise investment decisions and enable firms to enhance their market value (Bhattarai, 2014).</w:t>
      </w:r>
    </w:p>
    <w:p w14:paraId="2161D46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Security prices are influenced by number of factors some are company specific, sector specific while some belong to the environment in which the company is operating. Movements of stock prices are seen to depend on macroeconomic factors; domestic and international economic, social or political events; market sentiments / expectations about future economic growth trajectory, monetary and fiscal policy announcements etc. The stock market capitalizes the present and future values of growth opportunities while evaluating the growth of all sectors in the economy. In a sense stock market can really be regarded as the pulse of the economy as they reflect every action taken by the economic and political agents almost instantly. Moreover, economic theory suggests that stock prices should reflect expectations about future corporate performance, and corporate profits generally reflect the level of economic activities. If stock prices accurately reflect the underlying fundamentals, then the stock prices should be employed as leading indicators of future economic activities, and not the other way around. Therefore, the causal relations among macroeconomic variables and stock prices are important in the formulation of the nation’s macroeconomic policy (Dharmendra Singh, 2010).</w:t>
      </w:r>
    </w:p>
    <w:p w14:paraId="411DD26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history of stock market is not long in Nepal. Securities Exchange Centre (SEC) was established in 1976 with an objective of facilitating and promoting the growth of capital market (Gurung, 2004). However, it opened its floor for secondary trading of shares only in 1981, which was only for government bonds (NRB, 1996). With enactment of Securities Exchange Act 1984, SEC opened its floor for corporate share trading also, but it was very limited. The organized and fully fledged stock market began with the conversion of Securities Exchange Centre into Nepal Stock Exchange (NEPSE) Limited in 1993. The NEPSE opened its trading floor in the beginning of 1994. Till now, it is the only stock exchange in Nepal. Hence, the stock market in Nepal is still in evolving stage but of special interest as it has grown significantly since its establishment. It was </w:t>
      </w:r>
      <w:r w:rsidRPr="00143B41">
        <w:rPr>
          <w:rFonts w:ascii="Times New Roman" w:hAnsi="Times New Roman" w:cs="Times New Roman"/>
          <w:color w:val="000000" w:themeColor="text1"/>
          <w:sz w:val="24"/>
          <w:szCs w:val="24"/>
        </w:rPr>
        <w:lastRenderedPageBreak/>
        <w:t xml:space="preserve">established in order to mobilize capital alternative to traditional banking sector for promoting economic growth and development in the country. </w:t>
      </w:r>
    </w:p>
    <w:p w14:paraId="301C82BE"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Normally, the stock market index is taken as a barometer of an economy. Growth in stock index is normally considered as a good sign since it implies the investors are confident about the future prospect of the economy. It helps promote investment in the economy. However, a rapid increase in the stock market index is always a matter of concern. If the increase in the index is not justified by the fundamentals, such a rise cannot be sustained and eventually the index will plummet endangering the economic and financial stability. Hence, it is essential that the policymakers keep eyes on the stock market development and be ready to take appropriate measures, if needs arise, to prevent the buildup of bubbles and collapse in the market. For this, it is necessary to understand the relationship between the stock market index and the factors that influence it. Several factors may affect the stock market. Any factors that have an effect on cash flows of firms or discount rate will have impact on the stock market. However, which factors affect to what degree will vary from country to country, depending on the size, type and other characteristics of the economy and the market. In this context, this paper aims to analyze the relationship between the performance of NEPSE index and major macroeconomic variables in Nepal using monthly data that span from mid-August 2000 to mid-July 2014. In addition to main variables, this paper also assesses the impact of changes in politics and Nepal </w:t>
      </w:r>
      <w:proofErr w:type="spellStart"/>
      <w:r w:rsidRPr="00143B41">
        <w:rPr>
          <w:rFonts w:ascii="Times New Roman" w:hAnsi="Times New Roman" w:cs="Times New Roman"/>
          <w:color w:val="000000" w:themeColor="text1"/>
          <w:sz w:val="24"/>
          <w:szCs w:val="24"/>
        </w:rPr>
        <w:t>Rastra</w:t>
      </w:r>
      <w:proofErr w:type="spellEnd"/>
      <w:r w:rsidRPr="00143B41">
        <w:rPr>
          <w:rFonts w:ascii="Times New Roman" w:hAnsi="Times New Roman" w:cs="Times New Roman"/>
          <w:color w:val="000000" w:themeColor="text1"/>
          <w:sz w:val="24"/>
          <w:szCs w:val="24"/>
        </w:rPr>
        <w:t xml:space="preserve"> Bank's policy on lending against share collateral. It is expected that the findings of this study would provide some meaningful insights to understand the determinants behind the performance of Nepalese stock market, useful for both policymakers and investors (Shrestha &amp;</w:t>
      </w:r>
      <w:proofErr w:type="spellStart"/>
      <w:r w:rsidRPr="00143B41">
        <w:rPr>
          <w:rFonts w:ascii="Times New Roman" w:hAnsi="Times New Roman" w:cs="Times New Roman"/>
          <w:color w:val="000000" w:themeColor="text1"/>
          <w:sz w:val="24"/>
          <w:szCs w:val="24"/>
        </w:rPr>
        <w:t>Subedi</w:t>
      </w:r>
      <w:proofErr w:type="spellEnd"/>
      <w:r w:rsidRPr="00143B41">
        <w:rPr>
          <w:rFonts w:ascii="Times New Roman" w:hAnsi="Times New Roman" w:cs="Times New Roman"/>
          <w:color w:val="000000" w:themeColor="text1"/>
          <w:sz w:val="24"/>
          <w:szCs w:val="24"/>
        </w:rPr>
        <w:t xml:space="preserve"> 2014).</w:t>
      </w:r>
    </w:p>
    <w:p w14:paraId="50D09302" w14:textId="0B1B959A"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major sources for establishment of company and financial institution are to collect from the issuance of share called common share. Common stock is an ownership share in a corporation. Common stock is the recipient of the residual income of a corporation. The common stock holders hold the voting right and have a legal control over the corporation. </w:t>
      </w:r>
      <w:r w:rsidRPr="00143B41">
        <w:rPr>
          <w:rFonts w:ascii="Times New Roman" w:hAnsi="Times New Roman" w:cs="Times New Roman"/>
          <w:color w:val="000000" w:themeColor="text1"/>
          <w:sz w:val="24"/>
          <w:szCs w:val="24"/>
        </w:rPr>
        <w:lastRenderedPageBreak/>
        <w:t>The common stock of most large corporation can be bought and sold freely on one or more stock exchanges. The returns of common stock investments comes either of two sources-the periodic receipts of dividends and capital gain (Thapa</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&amp;</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 xml:space="preserve">Rana, 2013). </w:t>
      </w:r>
    </w:p>
    <w:p w14:paraId="6CA4815A" w14:textId="6C867048"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Bhattarai (2016</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 xml:space="preserve">stated that the shares of commercial </w:t>
      </w:r>
      <w:r w:rsidR="00BF00F8" w:rsidRPr="00143B41">
        <w:rPr>
          <w:rFonts w:ascii="Times New Roman" w:hAnsi="Times New Roman" w:cs="Times New Roman"/>
          <w:color w:val="000000" w:themeColor="text1"/>
          <w:sz w:val="24"/>
          <w:szCs w:val="24"/>
        </w:rPr>
        <w:t>banks offer</w:t>
      </w:r>
      <w:r w:rsidRPr="00143B41">
        <w:rPr>
          <w:rFonts w:ascii="Times New Roman" w:hAnsi="Times New Roman" w:cs="Times New Roman"/>
          <w:color w:val="000000" w:themeColor="text1"/>
          <w:sz w:val="24"/>
          <w:szCs w:val="24"/>
        </w:rPr>
        <w:t xml:space="preserve"> the investment opportunities to Nepalese investors because these shares </w:t>
      </w:r>
      <w:r w:rsidR="00BF00F8" w:rsidRPr="00143B41">
        <w:rPr>
          <w:rFonts w:ascii="Times New Roman" w:hAnsi="Times New Roman" w:cs="Times New Roman"/>
          <w:color w:val="000000" w:themeColor="text1"/>
          <w:sz w:val="24"/>
          <w:szCs w:val="24"/>
        </w:rPr>
        <w:t>are more</w:t>
      </w:r>
      <w:r w:rsidRPr="00143B41">
        <w:rPr>
          <w:rFonts w:ascii="Times New Roman" w:hAnsi="Times New Roman" w:cs="Times New Roman"/>
          <w:color w:val="000000" w:themeColor="text1"/>
          <w:sz w:val="24"/>
          <w:szCs w:val="24"/>
        </w:rPr>
        <w:t xml:space="preserve"> frequently traded in the market than as compared to others in Nepalese </w:t>
      </w:r>
      <w:r w:rsidR="00BF00F8" w:rsidRPr="00143B41">
        <w:rPr>
          <w:rFonts w:ascii="Times New Roman" w:hAnsi="Times New Roman" w:cs="Times New Roman"/>
          <w:color w:val="000000" w:themeColor="text1"/>
          <w:sz w:val="24"/>
          <w:szCs w:val="24"/>
        </w:rPr>
        <w:t>context. Specifically</w:t>
      </w:r>
      <w:r w:rsidRPr="00143B41">
        <w:rPr>
          <w:rFonts w:ascii="Times New Roman" w:hAnsi="Times New Roman" w:cs="Times New Roman"/>
          <w:color w:val="000000" w:themeColor="text1"/>
          <w:sz w:val="24"/>
          <w:szCs w:val="24"/>
        </w:rPr>
        <w:t xml:space="preserve">, this study examined the effects of dividend payout ratio, dividend </w:t>
      </w:r>
      <w:r w:rsidR="00BF00F8" w:rsidRPr="00143B41">
        <w:rPr>
          <w:rFonts w:ascii="Times New Roman" w:hAnsi="Times New Roman" w:cs="Times New Roman"/>
          <w:color w:val="000000" w:themeColor="text1"/>
          <w:sz w:val="24"/>
          <w:szCs w:val="24"/>
        </w:rPr>
        <w:t>yield, earning</w:t>
      </w:r>
      <w:r w:rsidRPr="00143B41">
        <w:rPr>
          <w:rFonts w:ascii="Times New Roman" w:hAnsi="Times New Roman" w:cs="Times New Roman"/>
          <w:color w:val="000000" w:themeColor="text1"/>
          <w:sz w:val="24"/>
          <w:szCs w:val="24"/>
        </w:rPr>
        <w:t xml:space="preserve"> per share, price- earnings ratio and size on the share price of banks listed on</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Nepal stock exchange Limited. He also argues earning per share</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and price-earnings ratio have the significant positive association with share price</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while dividend yield showed the significant inverse association with the share price</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of the banks. The study concludes that dividend yield, earnings per share and price</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earnings</w:t>
      </w:r>
      <w:r w:rsidR="00BF00F8">
        <w:rPr>
          <w:rFonts w:ascii="Times New Roman" w:hAnsi="Times New Roman" w:cs="Times New Roman"/>
          <w:color w:val="000000" w:themeColor="text1"/>
          <w:sz w:val="24"/>
          <w:szCs w:val="24"/>
        </w:rPr>
        <w:t xml:space="preserve"> </w:t>
      </w:r>
      <w:r w:rsidRPr="00143B41">
        <w:rPr>
          <w:rFonts w:ascii="Times New Roman" w:hAnsi="Times New Roman" w:cs="Times New Roman"/>
          <w:color w:val="000000" w:themeColor="text1"/>
          <w:sz w:val="24"/>
          <w:szCs w:val="24"/>
        </w:rPr>
        <w:t>ratio are the major determinants of share price of Nepalese commercial banks.</w:t>
      </w:r>
    </w:p>
    <w:p w14:paraId="7E033A6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purpose of the study is to investigate the relationship between the firm specific variables as determinants and market price per share in Nepal’s banking sector. Specially, it examines the impact of earning per share, dividend per share, price earnings ratio, book value per share and return on assets on market price per share.</w:t>
      </w:r>
    </w:p>
    <w:p w14:paraId="5CE5549E"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b/>
          <w:bCs/>
          <w:color w:val="000000" w:themeColor="text1"/>
          <w:sz w:val="28"/>
          <w:szCs w:val="28"/>
        </w:rPr>
        <w:t>1.2</w:t>
      </w:r>
      <w:r w:rsidR="00444603" w:rsidRPr="00143B41">
        <w:rPr>
          <w:rFonts w:ascii="Times New Roman" w:hAnsi="Times New Roman" w:cs="Times New Roman"/>
          <w:b/>
          <w:bCs/>
          <w:color w:val="000000" w:themeColor="text1"/>
          <w:sz w:val="28"/>
          <w:szCs w:val="28"/>
        </w:rPr>
        <w:t xml:space="preserve"> </w:t>
      </w:r>
      <w:r w:rsidRPr="00143B41">
        <w:rPr>
          <w:rFonts w:ascii="Times New Roman" w:hAnsi="Times New Roman" w:cs="Times New Roman"/>
          <w:b/>
          <w:bCs/>
          <w:color w:val="000000" w:themeColor="text1"/>
          <w:sz w:val="28"/>
          <w:szCs w:val="28"/>
        </w:rPr>
        <w:t>Statement of Problem</w:t>
      </w:r>
    </w:p>
    <w:p w14:paraId="64EC165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A number of studies have been carried out focusing on what factors affect the prices of stock in the market. Researcher proposed many different theories about the factors that influence a firm’s stock prices. Some theories, explain about the performance factor of the firms and some used to study about macroeconomic variables to predict the stock prices. Meanwhile, other researchers have developed and empirically tested different models proposed to explain stock price behavior.</w:t>
      </w:r>
    </w:p>
    <w:p w14:paraId="502161B1"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Pradhan (2016) studied about the microeconomic and macroeconomic factors to influence the stock prices of Nepalese commercial banks and concluded that an investor should consider the bank specific variable and other macroeconomic variable while making an investment decision. Similarly, Bhattarai (2016) concluded in his study that, there are positive relations between earnings, dividend payout ratio EPS and price earnings ratio.</w:t>
      </w:r>
    </w:p>
    <w:p w14:paraId="2BADA09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Despite of numerous studies in the area of stock prices, there is no consensus on the results. Though, several studies were carried out to find out the factors affecting share prices, it is </w:t>
      </w:r>
      <w:proofErr w:type="gramStart"/>
      <w:r w:rsidRPr="00143B41">
        <w:rPr>
          <w:rFonts w:ascii="Times New Roman" w:hAnsi="Times New Roman" w:cs="Times New Roman"/>
          <w:color w:val="000000" w:themeColor="text1"/>
          <w:sz w:val="24"/>
          <w:szCs w:val="24"/>
        </w:rPr>
        <w:t>remains</w:t>
      </w:r>
      <w:proofErr w:type="gramEnd"/>
      <w:r w:rsidRPr="00143B41">
        <w:rPr>
          <w:rFonts w:ascii="Times New Roman" w:hAnsi="Times New Roman" w:cs="Times New Roman"/>
          <w:color w:val="000000" w:themeColor="text1"/>
          <w:sz w:val="24"/>
          <w:szCs w:val="24"/>
        </w:rPr>
        <w:t xml:space="preserve"> a subject of controversy for many finance academicians and practitioners. As such, this study investigates possible factors that could affect share prices of Nepalese commercial banks. Therefore, this study deals with the following issues:  </w:t>
      </w:r>
    </w:p>
    <w:p w14:paraId="3EF679CD" w14:textId="7CB1BE83" w:rsidR="000C013D" w:rsidRPr="00143B41" w:rsidRDefault="000C013D" w:rsidP="00444603">
      <w:pPr>
        <w:pStyle w:val="ListParagraph"/>
        <w:numPr>
          <w:ilvl w:val="0"/>
          <w:numId w:val="2"/>
        </w:num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Is there any</w:t>
      </w:r>
      <w:r w:rsidR="00BF00F8">
        <w:rPr>
          <w:rFonts w:ascii="Times New Roman" w:eastAsia="Century Schoolbook" w:hAnsi="Times New Roman" w:cs="Times New Roman"/>
          <w:color w:val="000000" w:themeColor="text1"/>
          <w:sz w:val="24"/>
          <w:szCs w:val="24"/>
          <w:lang w:bidi="en-US"/>
        </w:rPr>
        <w:t xml:space="preserve"> </w:t>
      </w:r>
      <w:r w:rsidRPr="00143B41">
        <w:rPr>
          <w:rFonts w:ascii="Times New Roman" w:eastAsia="Century Schoolbook" w:hAnsi="Times New Roman" w:cs="Times New Roman"/>
          <w:color w:val="000000" w:themeColor="text1"/>
          <w:sz w:val="24"/>
          <w:szCs w:val="24"/>
          <w:lang w:bidi="en-US"/>
        </w:rPr>
        <w:t>relationship between</w:t>
      </w:r>
      <w:r w:rsidR="00BF00F8">
        <w:rPr>
          <w:rFonts w:ascii="Times New Roman" w:eastAsia="Century Schoolbook" w:hAnsi="Times New Roman" w:cs="Times New Roman"/>
          <w:color w:val="000000" w:themeColor="text1"/>
          <w:sz w:val="24"/>
          <w:szCs w:val="24"/>
          <w:lang w:bidi="en-US"/>
        </w:rPr>
        <w:t xml:space="preserve"> </w:t>
      </w:r>
      <w:r w:rsidRPr="00143B41">
        <w:rPr>
          <w:rFonts w:ascii="Times New Roman" w:eastAsia="Century Schoolbook" w:hAnsi="Times New Roman" w:cs="Times New Roman"/>
          <w:color w:val="000000" w:themeColor="text1"/>
          <w:sz w:val="24"/>
          <w:szCs w:val="24"/>
          <w:lang w:bidi="en-US"/>
        </w:rPr>
        <w:t xml:space="preserve">EPS, DPS, P/E ratio, BVPS, ROA and MPS? </w:t>
      </w:r>
    </w:p>
    <w:p w14:paraId="10AB891D" w14:textId="77777777" w:rsidR="000C013D" w:rsidRPr="00143B41" w:rsidRDefault="000C013D" w:rsidP="00444603">
      <w:pPr>
        <w:pStyle w:val="ListParagraph"/>
        <w:numPr>
          <w:ilvl w:val="0"/>
          <w:numId w:val="2"/>
        </w:num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Do the EPS, DPS, P/E Ratio, BVPS and ROA affect the MPS?</w:t>
      </w:r>
    </w:p>
    <w:p w14:paraId="1FB7D6A2" w14:textId="77777777" w:rsidR="000C013D" w:rsidRPr="00143B41" w:rsidRDefault="000C013D" w:rsidP="00444603">
      <w:pPr>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8"/>
          <w:szCs w:val="28"/>
          <w:lang w:bidi="en-US"/>
        </w:rPr>
      </w:pPr>
      <w:r w:rsidRPr="00143B41">
        <w:rPr>
          <w:rFonts w:ascii="Times New Roman" w:eastAsia="Century Schoolbook" w:hAnsi="Times New Roman" w:cs="Times New Roman"/>
          <w:b/>
          <w:bCs/>
          <w:color w:val="000000" w:themeColor="text1"/>
          <w:sz w:val="28"/>
          <w:szCs w:val="28"/>
          <w:lang w:bidi="en-US"/>
        </w:rPr>
        <w:t>1.3</w:t>
      </w:r>
      <w:r w:rsidR="00444603" w:rsidRPr="00143B41">
        <w:rPr>
          <w:rFonts w:ascii="Times New Roman" w:eastAsia="Century Schoolbook" w:hAnsi="Times New Roman" w:cs="Times New Roman"/>
          <w:b/>
          <w:bCs/>
          <w:color w:val="000000" w:themeColor="text1"/>
          <w:sz w:val="28"/>
          <w:szCs w:val="28"/>
          <w:lang w:bidi="en-US"/>
        </w:rPr>
        <w:t xml:space="preserve"> </w:t>
      </w:r>
      <w:r w:rsidRPr="00143B41">
        <w:rPr>
          <w:rFonts w:ascii="Times New Roman" w:eastAsia="Century Schoolbook" w:hAnsi="Times New Roman" w:cs="Times New Roman"/>
          <w:b/>
          <w:bCs/>
          <w:color w:val="000000" w:themeColor="text1"/>
          <w:sz w:val="28"/>
          <w:szCs w:val="28"/>
          <w:lang w:bidi="en-US"/>
        </w:rPr>
        <w:t>Objectives of the Study</w:t>
      </w:r>
    </w:p>
    <w:p w14:paraId="6AB1C80F" w14:textId="77777777" w:rsidR="000C013D" w:rsidRPr="00143B41" w:rsidRDefault="000C013D" w:rsidP="00444603">
      <w:p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 xml:space="preserve">The major objective of this study is to examine the factors affecting the share prices of Nepalese commercial banks. The specific objectives of this study are: </w:t>
      </w:r>
    </w:p>
    <w:p w14:paraId="4154E507" w14:textId="77777777" w:rsidR="000C013D" w:rsidRPr="00143B41" w:rsidRDefault="000C013D" w:rsidP="00444603">
      <w:pPr>
        <w:pStyle w:val="ListParagraph"/>
        <w:numPr>
          <w:ilvl w:val="0"/>
          <w:numId w:val="3"/>
        </w:num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To investigate the relationship between EPS, DPS, P/E ratio, BVPS, ROA and MPS.</w:t>
      </w:r>
    </w:p>
    <w:p w14:paraId="70E327DD" w14:textId="77777777" w:rsidR="000C013D" w:rsidRPr="00143B41" w:rsidRDefault="000C013D" w:rsidP="00444603">
      <w:pPr>
        <w:pStyle w:val="ListParagraph"/>
        <w:numPr>
          <w:ilvl w:val="0"/>
          <w:numId w:val="3"/>
        </w:num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To examine the effect of EPS, DPS, P/E Ratio, BVPS and ROA on MPS.</w:t>
      </w:r>
    </w:p>
    <w:p w14:paraId="472C8278" w14:textId="77777777" w:rsidR="009533C5" w:rsidRDefault="009533C5" w:rsidP="00444603">
      <w:pPr>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8"/>
          <w:szCs w:val="28"/>
          <w:lang w:bidi="en-US"/>
        </w:rPr>
      </w:pPr>
    </w:p>
    <w:p w14:paraId="4556816F" w14:textId="77777777" w:rsidR="009533C5" w:rsidRDefault="009533C5" w:rsidP="00444603">
      <w:pPr>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8"/>
          <w:szCs w:val="28"/>
          <w:lang w:bidi="en-US"/>
        </w:rPr>
      </w:pPr>
    </w:p>
    <w:p w14:paraId="557D3FD2" w14:textId="119612A8" w:rsidR="000C013D" w:rsidRPr="00143B41" w:rsidRDefault="000C013D" w:rsidP="00444603">
      <w:pPr>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8"/>
          <w:szCs w:val="28"/>
          <w:lang w:bidi="en-US"/>
        </w:rPr>
      </w:pPr>
      <w:r w:rsidRPr="00143B41">
        <w:rPr>
          <w:rFonts w:ascii="Times New Roman" w:eastAsia="Century Schoolbook" w:hAnsi="Times New Roman" w:cs="Times New Roman"/>
          <w:b/>
          <w:bCs/>
          <w:color w:val="000000" w:themeColor="text1"/>
          <w:sz w:val="28"/>
          <w:szCs w:val="28"/>
          <w:lang w:bidi="en-US"/>
        </w:rPr>
        <w:lastRenderedPageBreak/>
        <w:t>1.4 Significance of the Study</w:t>
      </w:r>
    </w:p>
    <w:p w14:paraId="410642EA" w14:textId="77777777" w:rsidR="000C013D" w:rsidRPr="00143B41" w:rsidRDefault="000C013D" w:rsidP="00444603">
      <w:p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This study is significant to fulfill the gap in understanding of the factors affecting the share prices of commercial banks. Hence, it will serve as reference for financial managers to equip them with applied knowledge of the potential problems in share markets and to make an optimal investment decision for any investor.  In addition, it will serve as a base for policy makers such as Nepal stock exchange, small investor, bankers and other BFIS for policy formation and decision making. The study provides the understanding of the specific impacts of variables on share prices, so that investor can predict and make their investment decision to maximize their wealth. Similarly, analysis of the performance factor of banks might be helpful to compare the banks performance among the banks of same industry. Moreover, it provides the guidelines for further researcher who is willing to discover more on the related topic.</w:t>
      </w:r>
    </w:p>
    <w:p w14:paraId="2841ECDE" w14:textId="77777777" w:rsidR="000C013D" w:rsidRPr="00143B41" w:rsidRDefault="000C013D" w:rsidP="00444603">
      <w:p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b/>
          <w:bCs/>
          <w:color w:val="000000" w:themeColor="text1"/>
          <w:sz w:val="28"/>
          <w:szCs w:val="28"/>
          <w:lang w:bidi="en-US"/>
        </w:rPr>
        <w:t>1.5   Theoretical Framework</w:t>
      </w:r>
    </w:p>
    <w:p w14:paraId="0428BCAC" w14:textId="77777777" w:rsidR="000C013D" w:rsidRPr="00143B41" w:rsidRDefault="000C013D" w:rsidP="00444603">
      <w:pPr>
        <w:autoSpaceDE w:val="0"/>
        <w:autoSpaceDN w:val="0"/>
        <w:adjustRightInd w:val="0"/>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 xml:space="preserve">A theoretical framework is described as a set of broad ideas and principles taken from relevant fields of enquiry and used to structure a subsequent presentation. When clearly articulated, a theoretical framework has potential usefulness as a tool to scaffold research and, therefore, to assist a researcher to make meaning of subsequent findings. A description of this framework contributes to a research report in two ways: it identifies research variables, and clarifies relationships among the variables. Linked to the statement of problem, the conceptual framework sets the stage for presentation of the specific research question that drives the investigation being reported. The conceptual framework in this study consists of one dependent variable along with the other independent variables which are to be tested through the statistical tools. The theoretical framework shown below in figure 1.1 elaborates the relationship among dependent variables and independent variables. The dependent variables of this study are Market </w:t>
      </w:r>
      <w:r w:rsidRPr="00143B41">
        <w:rPr>
          <w:rFonts w:ascii="Times New Roman" w:eastAsia="Century Schoolbook" w:hAnsi="Times New Roman" w:cs="Times New Roman"/>
          <w:color w:val="000000" w:themeColor="text1"/>
          <w:sz w:val="24"/>
          <w:szCs w:val="24"/>
          <w:lang w:bidi="en-US"/>
        </w:rPr>
        <w:lastRenderedPageBreak/>
        <w:t>price per share and the independent variables of the study are Earnings per share, Dividend per share</w:t>
      </w:r>
      <w:r w:rsidR="00F77C91">
        <w:rPr>
          <w:rFonts w:ascii="Times New Roman" w:eastAsia="Century Schoolbook" w:hAnsi="Times New Roman" w:cs="Times New Roman"/>
          <w:noProof/>
          <w:color w:val="000000" w:themeColor="text1"/>
          <w:sz w:val="24"/>
          <w:szCs w:val="24"/>
          <w:lang w:bidi="en-US"/>
        </w:rPr>
        <w:pict w14:anchorId="1802DEB2">
          <v:line id="Straight Connector 11" o:spid="_x0000_s1026" style="position:absolute;left:0;text-align:left;z-index:251660288;visibility:visible;mso-position-horizontal-relative:text;mso-position-vertical-relative:text" from="166.25pt,255.75pt" to="166.25pt,2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" strokecolor="#4472c4 [3204]" strokeweight=".5pt">
            <v:stroke joinstyle="miter"/>
          </v:line>
        </w:pict>
      </w:r>
      <w:r w:rsidRPr="00143B41">
        <w:rPr>
          <w:rFonts w:ascii="Times New Roman" w:eastAsia="Century Schoolbook" w:hAnsi="Times New Roman" w:cs="Times New Roman"/>
          <w:color w:val="000000" w:themeColor="text1"/>
          <w:sz w:val="24"/>
          <w:szCs w:val="24"/>
          <w:lang w:bidi="en-US"/>
        </w:rPr>
        <w:t xml:space="preserve">, Price to Earnings Ratio, Book value per share and </w:t>
      </w:r>
      <w:proofErr w:type="gramStart"/>
      <w:r w:rsidRPr="00143B41">
        <w:rPr>
          <w:rFonts w:ascii="Times New Roman" w:eastAsia="Century Schoolbook" w:hAnsi="Times New Roman" w:cs="Times New Roman"/>
          <w:color w:val="000000" w:themeColor="text1"/>
          <w:sz w:val="24"/>
          <w:szCs w:val="24"/>
          <w:lang w:bidi="en-US"/>
        </w:rPr>
        <w:t>Return</w:t>
      </w:r>
      <w:proofErr w:type="gramEnd"/>
      <w:r w:rsidRPr="00143B41">
        <w:rPr>
          <w:rFonts w:ascii="Times New Roman" w:eastAsia="Century Schoolbook" w:hAnsi="Times New Roman" w:cs="Times New Roman"/>
          <w:color w:val="000000" w:themeColor="text1"/>
          <w:sz w:val="24"/>
          <w:szCs w:val="24"/>
          <w:lang w:bidi="en-US"/>
        </w:rPr>
        <w:t xml:space="preserve"> on assets.</w:t>
      </w:r>
    </w:p>
    <w:p w14:paraId="669C01F6" w14:textId="1A6D5613" w:rsidR="00FF79C7" w:rsidRPr="00143B41" w:rsidRDefault="009533C5" w:rsidP="009533C5">
      <w:pPr>
        <w:rPr>
          <w:rFonts w:ascii="Times New Roman" w:eastAsia="Century Schoolbook" w:hAnsi="Times New Roman" w:cs="Times New Roman"/>
          <w:b/>
          <w:bCs/>
          <w:color w:val="000000" w:themeColor="text1"/>
          <w:sz w:val="24"/>
          <w:szCs w:val="24"/>
          <w:lang w:bidi="en-US"/>
        </w:rPr>
      </w:pPr>
      <w:r>
        <w:rPr>
          <w:rFonts w:ascii="Times New Roman" w:eastAsia="Century Schoolbook" w:hAnsi="Times New Roman" w:cs="Times New Roman"/>
          <w:b/>
          <w:bCs/>
          <w:color w:val="000000" w:themeColor="text1"/>
          <w:sz w:val="24"/>
          <w:szCs w:val="24"/>
          <w:lang w:bidi="en-US"/>
        </w:rPr>
        <w:t xml:space="preserve">            </w:t>
      </w:r>
      <w:r w:rsidR="00BF00F8">
        <w:rPr>
          <w:rFonts w:ascii="Times New Roman" w:eastAsia="Century Schoolbook" w:hAnsi="Times New Roman" w:cs="Times New Roman"/>
          <w:b/>
          <w:bCs/>
          <w:color w:val="000000" w:themeColor="text1"/>
          <w:sz w:val="24"/>
          <w:szCs w:val="24"/>
          <w:lang w:bidi="en-US"/>
        </w:rPr>
        <w:t xml:space="preserve"> </w:t>
      </w:r>
      <w:r w:rsidR="000C013D" w:rsidRPr="00143B41">
        <w:rPr>
          <w:rFonts w:ascii="Times New Roman" w:eastAsia="Century Schoolbook" w:hAnsi="Times New Roman" w:cs="Times New Roman"/>
          <w:b/>
          <w:bCs/>
          <w:color w:val="000000" w:themeColor="text1"/>
          <w:sz w:val="24"/>
          <w:szCs w:val="24"/>
          <w:lang w:bidi="en-US"/>
        </w:rPr>
        <w:t xml:space="preserve">Independent Variable                                      </w:t>
      </w:r>
      <w:r w:rsidR="00922FFF">
        <w:rPr>
          <w:rFonts w:ascii="Times New Roman" w:eastAsia="Century Schoolbook" w:hAnsi="Times New Roman" w:cs="Times New Roman"/>
          <w:b/>
          <w:bCs/>
          <w:color w:val="000000" w:themeColor="text1"/>
          <w:sz w:val="24"/>
          <w:szCs w:val="24"/>
          <w:lang w:bidi="en-US"/>
        </w:rPr>
        <w:t xml:space="preserve">      </w:t>
      </w:r>
      <w:r w:rsidR="00B70B24">
        <w:rPr>
          <w:rFonts w:ascii="Times New Roman" w:eastAsia="Century Schoolbook" w:hAnsi="Times New Roman" w:cs="Times New Roman"/>
          <w:b/>
          <w:bCs/>
          <w:color w:val="000000" w:themeColor="text1"/>
          <w:sz w:val="24"/>
          <w:szCs w:val="24"/>
          <w:lang w:bidi="en-US"/>
        </w:rPr>
        <w:t xml:space="preserve">  </w:t>
      </w:r>
      <w:r w:rsidR="000C013D" w:rsidRPr="00143B41">
        <w:rPr>
          <w:rFonts w:ascii="Times New Roman" w:eastAsia="Century Schoolbook" w:hAnsi="Times New Roman" w:cs="Times New Roman"/>
          <w:b/>
          <w:bCs/>
          <w:color w:val="000000" w:themeColor="text1"/>
          <w:sz w:val="24"/>
          <w:szCs w:val="24"/>
          <w:lang w:bidi="en-US"/>
        </w:rPr>
        <w:t>Dependent Variable</w:t>
      </w:r>
      <w:r w:rsidR="00F77C91">
        <w:rPr>
          <w:rFonts w:ascii="Times New Roman" w:eastAsia="Century Schoolbook" w:hAnsi="Times New Roman" w:cs="Times New Roman"/>
          <w:b/>
          <w:bCs/>
          <w:noProof/>
          <w:color w:val="000000" w:themeColor="text1"/>
          <w:sz w:val="24"/>
          <w:szCs w:val="24"/>
          <w:lang w:bidi="ne-NP"/>
        </w:rPr>
        <w:pict w14:anchorId="41261ABF">
          <v:rect id="_x0000_s1040" style="position:absolute;margin-left:34.35pt;margin-top:76.9pt;width:118.85pt;height:45.2pt;z-index:251673600;mso-position-horizontal-relative:text;mso-position-vertical-relative:text">
            <v:textbox style="mso-next-textbox:#_x0000_s1040">
              <w:txbxContent>
                <w:p w14:paraId="407F2E9C" w14:textId="77777777" w:rsidR="0027546B" w:rsidRPr="00FF79C7" w:rsidRDefault="0027546B" w:rsidP="00033295">
                  <w:pPr>
                    <w:jc w:val="center"/>
                  </w:pPr>
                  <w:r>
                    <w:rPr>
                      <w:rFonts w:ascii="Times New Roman" w:eastAsia="Century Schoolbook" w:hAnsi="Times New Roman" w:cs="Times New Roman"/>
                      <w:sz w:val="24"/>
                      <w:szCs w:val="24"/>
                      <w:lang w:bidi="en-US"/>
                    </w:rPr>
                    <w:t>Dividend per share (DPS)</w:t>
                  </w:r>
                </w:p>
              </w:txbxContent>
            </v:textbox>
          </v:rect>
        </w:pict>
      </w:r>
      <w:r w:rsidR="00F77C91">
        <w:rPr>
          <w:rFonts w:ascii="Times New Roman" w:eastAsia="Century Schoolbook" w:hAnsi="Times New Roman" w:cs="Times New Roman"/>
          <w:b/>
          <w:bCs/>
          <w:noProof/>
          <w:color w:val="000000" w:themeColor="text1"/>
          <w:sz w:val="24"/>
          <w:szCs w:val="24"/>
          <w:lang w:bidi="ne-NP"/>
        </w:rPr>
        <w:pict w14:anchorId="6DDCE12F">
          <v:rect id="_x0000_s1039" style="position:absolute;margin-left:34.35pt;margin-top:21.65pt;width:118.85pt;height:45.2pt;z-index:251672576;mso-position-horizontal-relative:text;mso-position-vertical-relative:text">
            <v:textbox style="mso-next-textbox:#_x0000_s1039">
              <w:txbxContent>
                <w:p w14:paraId="31F60BED" w14:textId="77777777" w:rsidR="0027546B" w:rsidRDefault="0027546B" w:rsidP="00033295">
                  <w:pPr>
                    <w:jc w:val="center"/>
                  </w:pPr>
                  <w:r>
                    <w:rPr>
                      <w:rFonts w:ascii="Times New Roman" w:eastAsia="Century Schoolbook" w:hAnsi="Times New Roman" w:cs="Times New Roman"/>
                      <w:sz w:val="24"/>
                      <w:szCs w:val="24"/>
                      <w:lang w:bidi="en-US"/>
                    </w:rPr>
                    <w:t>Earnings per share (EPS)</w:t>
                  </w:r>
                </w:p>
              </w:txbxContent>
            </v:textbox>
          </v:rect>
        </w:pict>
      </w:r>
      <w:r w:rsidR="00F77C91">
        <w:rPr>
          <w:rFonts w:ascii="Times New Roman" w:eastAsia="Century Schoolbook" w:hAnsi="Times New Roman" w:cs="Times New Roman"/>
          <w:b/>
          <w:bCs/>
          <w:noProof/>
          <w:color w:val="000000" w:themeColor="text1"/>
          <w:sz w:val="24"/>
          <w:szCs w:val="24"/>
          <w:lang w:bidi="ne-NP"/>
        </w:rPr>
        <w:pict w14:anchorId="4DB7B312">
          <v:rect id="_x0000_s1038" style="position:absolute;margin-left:34.35pt;margin-top:21.65pt;width:118.85pt;height:45.2pt;z-index:251671552;mso-position-horizontal-relative:text;mso-position-vertical-relative:text"/>
        </w:pict>
      </w:r>
    </w:p>
    <w:p w14:paraId="0A0430FB" w14:textId="5258E89C" w:rsidR="00FF79C7" w:rsidRPr="00143B41" w:rsidRDefault="00F77C91" w:rsidP="00033295">
      <w:pPr>
        <w:tabs>
          <w:tab w:val="left" w:pos="4946"/>
        </w:tabs>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4"/>
          <w:szCs w:val="24"/>
          <w:lang w:bidi="en-US"/>
        </w:rPr>
      </w:pPr>
      <w:r>
        <w:rPr>
          <w:rFonts w:ascii="Times New Roman" w:eastAsia="Century Schoolbook" w:hAnsi="Times New Roman" w:cs="Times New Roman"/>
          <w:b/>
          <w:bCs/>
          <w:noProof/>
          <w:color w:val="000000" w:themeColor="text1"/>
          <w:sz w:val="24"/>
          <w:szCs w:val="24"/>
          <w:lang w:bidi="ne-NP"/>
        </w:rPr>
        <w:pict w14:anchorId="1B5DA211">
          <v:shapetype id="_x0000_t32" coordsize="21600,21600" o:spt="32" o:oned="t" path="m,l21600,21600e" filled="f">
            <v:path arrowok="t" fillok="f" o:connecttype="none"/>
            <o:lock v:ext="edit" shapetype="t"/>
          </v:shapetype>
          <v:shape id="_x0000_s1045" type="#_x0000_t32" style="position:absolute;left:0;text-align:left;margin-left:153.2pt;margin-top:8.55pt;width:127.75pt;height:107.15pt;z-index:251678720" o:connectortype="straight">
            <v:stroke endarrow="block"/>
          </v:shape>
        </w:pict>
      </w:r>
      <w:r w:rsidR="00033295">
        <w:rPr>
          <w:rFonts w:ascii="Times New Roman" w:eastAsia="Century Schoolbook" w:hAnsi="Times New Roman" w:cs="Times New Roman"/>
          <w:b/>
          <w:bCs/>
          <w:color w:val="000000" w:themeColor="text1"/>
          <w:sz w:val="24"/>
          <w:szCs w:val="24"/>
          <w:lang w:bidi="en-US"/>
        </w:rPr>
        <w:tab/>
      </w:r>
    </w:p>
    <w:p w14:paraId="5DD7D543" w14:textId="77777777" w:rsidR="00FF79C7" w:rsidRPr="00143B41" w:rsidRDefault="00FF79C7" w:rsidP="00444603">
      <w:pPr>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4"/>
          <w:szCs w:val="24"/>
          <w:lang w:bidi="en-US"/>
        </w:rPr>
      </w:pPr>
    </w:p>
    <w:p w14:paraId="3C1D6181" w14:textId="77777777" w:rsidR="00FF79C7" w:rsidRPr="00143B41" w:rsidRDefault="00F77C91" w:rsidP="00444603">
      <w:pPr>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4"/>
          <w:szCs w:val="24"/>
          <w:lang w:bidi="en-US"/>
        </w:rPr>
      </w:pPr>
      <w:r>
        <w:rPr>
          <w:rFonts w:ascii="Times New Roman" w:eastAsia="Century Schoolbook" w:hAnsi="Times New Roman" w:cs="Times New Roman"/>
          <w:b/>
          <w:bCs/>
          <w:noProof/>
          <w:color w:val="000000" w:themeColor="text1"/>
          <w:sz w:val="24"/>
          <w:szCs w:val="24"/>
          <w:lang w:bidi="ne-NP"/>
        </w:rPr>
        <w:pict w14:anchorId="721F288F">
          <v:shape id="_x0000_s1046" type="#_x0000_t32" style="position:absolute;left:0;text-align:left;margin-left:153.2pt;margin-top:-.15pt;width:127.75pt;height:47.7pt;z-index:251679744" o:connectortype="straight">
            <v:stroke endarrow="block"/>
          </v:shape>
        </w:pict>
      </w:r>
      <w:r>
        <w:rPr>
          <w:rFonts w:ascii="Times New Roman" w:eastAsia="Century Schoolbook" w:hAnsi="Times New Roman" w:cs="Times New Roman"/>
          <w:b/>
          <w:bCs/>
          <w:noProof/>
          <w:color w:val="000000" w:themeColor="text1"/>
          <w:sz w:val="24"/>
          <w:szCs w:val="24"/>
          <w:lang w:bidi="ne-NP"/>
        </w:rPr>
        <w:pict w14:anchorId="3063F39B">
          <v:rect id="_x0000_s1044" style="position:absolute;left:0;text-align:left;margin-left:280.95pt;margin-top:27.45pt;width:118.85pt;height:45.2pt;z-index:251677696">
            <v:textbox>
              <w:txbxContent>
                <w:p w14:paraId="3FEF4893" w14:textId="77777777" w:rsidR="0027546B" w:rsidRPr="00FF79C7" w:rsidRDefault="0027546B" w:rsidP="00033295">
                  <w:pPr>
                    <w:jc w:val="center"/>
                  </w:pPr>
                  <w:r>
                    <w:rPr>
                      <w:rFonts w:ascii="Times New Roman" w:eastAsia="Century Schoolbook" w:hAnsi="Times New Roman" w:cs="Times New Roman"/>
                      <w:sz w:val="24"/>
                      <w:szCs w:val="24"/>
                      <w:lang w:bidi="en-US"/>
                    </w:rPr>
                    <w:t>Market price per share (MPS)</w:t>
                  </w:r>
                </w:p>
              </w:txbxContent>
            </v:textbox>
          </v:rect>
        </w:pict>
      </w:r>
      <w:r>
        <w:rPr>
          <w:rFonts w:ascii="Times New Roman" w:eastAsia="Century Schoolbook" w:hAnsi="Times New Roman" w:cs="Times New Roman"/>
          <w:b/>
          <w:bCs/>
          <w:noProof/>
          <w:color w:val="000000" w:themeColor="text1"/>
          <w:sz w:val="24"/>
          <w:szCs w:val="24"/>
          <w:lang w:bidi="ne-NP"/>
        </w:rPr>
        <w:pict w14:anchorId="05854C51">
          <v:rect id="_x0000_s1042" style="position:absolute;left:0;text-align:left;margin-left:34.35pt;margin-top:83.55pt;width:118.85pt;height:45.2pt;z-index:251675648">
            <v:textbox>
              <w:txbxContent>
                <w:p w14:paraId="35F04F8D" w14:textId="77777777" w:rsidR="0027546B" w:rsidRDefault="0027546B" w:rsidP="00033295">
                  <w:pPr>
                    <w:tabs>
                      <w:tab w:val="left" w:pos="1080"/>
                      <w:tab w:val="left" w:pos="1415"/>
                    </w:tabs>
                    <w:spacing w:after="0" w:line="384" w:lineRule="auto"/>
                    <w:jc w:val="center"/>
                    <w:rPr>
                      <w:rFonts w:ascii="Times New Roman" w:eastAsia="Century Schoolbook" w:hAnsi="Times New Roman" w:cs="Times New Roman"/>
                      <w:sz w:val="24"/>
                      <w:szCs w:val="24"/>
                      <w:lang w:bidi="en-US"/>
                    </w:rPr>
                  </w:pPr>
                  <w:r>
                    <w:rPr>
                      <w:rFonts w:ascii="Times New Roman" w:eastAsia="Century Schoolbook" w:hAnsi="Times New Roman" w:cs="Times New Roman"/>
                      <w:sz w:val="24"/>
                      <w:szCs w:val="24"/>
                      <w:lang w:bidi="en-US"/>
                    </w:rPr>
                    <w:t>Return on assets</w:t>
                  </w:r>
                </w:p>
                <w:p w14:paraId="5F28AAB0" w14:textId="77777777" w:rsidR="0027546B" w:rsidRPr="00FF79C7" w:rsidRDefault="0027546B" w:rsidP="00033295">
                  <w:pPr>
                    <w:jc w:val="center"/>
                  </w:pPr>
                  <w:r>
                    <w:rPr>
                      <w:rFonts w:ascii="Times New Roman" w:eastAsia="Century Schoolbook" w:hAnsi="Times New Roman" w:cs="Times New Roman"/>
                      <w:sz w:val="24"/>
                      <w:szCs w:val="24"/>
                      <w:lang w:bidi="en-US"/>
                    </w:rPr>
                    <w:t>(ROA)</w:t>
                  </w:r>
                </w:p>
              </w:txbxContent>
            </v:textbox>
          </v:rect>
        </w:pict>
      </w:r>
      <w:r>
        <w:rPr>
          <w:rFonts w:ascii="Times New Roman" w:eastAsia="Century Schoolbook" w:hAnsi="Times New Roman" w:cs="Times New Roman"/>
          <w:b/>
          <w:bCs/>
          <w:noProof/>
          <w:color w:val="000000" w:themeColor="text1"/>
          <w:sz w:val="24"/>
          <w:szCs w:val="24"/>
          <w:lang w:bidi="ne-NP"/>
        </w:rPr>
        <w:pict w14:anchorId="65CD6C15">
          <v:rect id="_x0000_s1041" style="position:absolute;left:0;text-align:left;margin-left:34.35pt;margin-top:27.45pt;width:118.85pt;height:45.2pt;z-index:251674624">
            <v:textbox>
              <w:txbxContent>
                <w:p w14:paraId="60D66A5B" w14:textId="77777777" w:rsidR="0027546B" w:rsidRPr="00FF79C7" w:rsidRDefault="0027546B" w:rsidP="00FF79C7">
                  <w:r>
                    <w:rPr>
                      <w:rFonts w:ascii="Times New Roman" w:eastAsia="Century Schoolbook" w:hAnsi="Times New Roman" w:cs="Times New Roman"/>
                      <w:sz w:val="24"/>
                      <w:szCs w:val="24"/>
                      <w:lang w:bidi="en-US"/>
                    </w:rPr>
                    <w:t>Price to Earnings Ratio (P/E Ratio)</w:t>
                  </w:r>
                </w:p>
              </w:txbxContent>
            </v:textbox>
          </v:rect>
        </w:pict>
      </w:r>
    </w:p>
    <w:p w14:paraId="4E32567F" w14:textId="77777777" w:rsidR="00FF79C7" w:rsidRPr="00143B41" w:rsidRDefault="00F77C91" w:rsidP="00444603">
      <w:pPr>
        <w:autoSpaceDE w:val="0"/>
        <w:autoSpaceDN w:val="0"/>
        <w:adjustRightInd w:val="0"/>
        <w:spacing w:before="240" w:after="240" w:line="384" w:lineRule="auto"/>
        <w:jc w:val="both"/>
        <w:rPr>
          <w:rFonts w:ascii="Times New Roman" w:eastAsia="Century Schoolbook" w:hAnsi="Times New Roman" w:cs="Times New Roman"/>
          <w:b/>
          <w:bCs/>
          <w:color w:val="000000" w:themeColor="text1"/>
          <w:sz w:val="24"/>
          <w:szCs w:val="24"/>
          <w:lang w:bidi="en-US"/>
        </w:rPr>
      </w:pPr>
      <w:r>
        <w:rPr>
          <w:rFonts w:ascii="Times New Roman" w:eastAsia="Century Schoolbook" w:hAnsi="Times New Roman" w:cs="Times New Roman"/>
          <w:b/>
          <w:bCs/>
          <w:noProof/>
          <w:color w:val="000000" w:themeColor="text1"/>
          <w:sz w:val="24"/>
          <w:szCs w:val="24"/>
          <w:lang w:bidi="ne-NP"/>
        </w:rPr>
        <w:pict w14:anchorId="14B8455D">
          <v:shape id="_x0000_s1049" type="#_x0000_t32" style="position:absolute;left:0;text-align:left;margin-left:153.2pt;margin-top:13.45pt;width:127.75pt;height:117.2pt;flip:y;z-index:251682816" o:connectortype="straight">
            <v:stroke endarrow="block"/>
          </v:shape>
        </w:pict>
      </w:r>
      <w:r>
        <w:rPr>
          <w:rFonts w:ascii="Times New Roman" w:eastAsia="Century Schoolbook" w:hAnsi="Times New Roman" w:cs="Times New Roman"/>
          <w:b/>
          <w:bCs/>
          <w:noProof/>
          <w:color w:val="000000" w:themeColor="text1"/>
          <w:sz w:val="24"/>
          <w:szCs w:val="24"/>
          <w:lang w:bidi="ne-NP"/>
        </w:rPr>
        <w:pict w14:anchorId="7C49AB31">
          <v:shape id="_x0000_s1048" type="#_x0000_t32" style="position:absolute;left:0;text-align:left;margin-left:153.2pt;margin-top:13.45pt;width:127.75pt;height:59.45pt;flip:y;z-index:251681792" o:connectortype="straight">
            <v:stroke endarrow="block"/>
          </v:shape>
        </w:pict>
      </w:r>
      <w:r>
        <w:rPr>
          <w:rFonts w:ascii="Times New Roman" w:eastAsia="Century Schoolbook" w:hAnsi="Times New Roman" w:cs="Times New Roman"/>
          <w:b/>
          <w:bCs/>
          <w:noProof/>
          <w:color w:val="000000" w:themeColor="text1"/>
          <w:sz w:val="24"/>
          <w:szCs w:val="24"/>
          <w:lang w:bidi="ne-NP"/>
        </w:rPr>
        <w:pict w14:anchorId="31396FA9">
          <v:shape id="_x0000_s1047" type="#_x0000_t32" style="position:absolute;left:0;text-align:left;margin-left:153.2pt;margin-top:13.45pt;width:127.75pt;height:0;z-index:251680768" o:connectortype="straight">
            <v:stroke endarrow="block"/>
          </v:shape>
        </w:pict>
      </w:r>
    </w:p>
    <w:p w14:paraId="7C2D2EA9" w14:textId="77777777" w:rsidR="000C013D" w:rsidRPr="00143B41" w:rsidRDefault="000C013D" w:rsidP="00444603">
      <w:pPr>
        <w:tabs>
          <w:tab w:val="left" w:pos="1290"/>
        </w:tabs>
        <w:spacing w:before="240" w:after="240" w:line="384" w:lineRule="auto"/>
        <w:jc w:val="both"/>
        <w:rPr>
          <w:rFonts w:ascii="Times New Roman" w:eastAsia="Century Schoolbook" w:hAnsi="Times New Roman" w:cs="Times New Roman"/>
          <w:color w:val="000000" w:themeColor="text1"/>
          <w:sz w:val="24"/>
          <w:szCs w:val="24"/>
          <w:lang w:bidi="en-US"/>
        </w:rPr>
      </w:pPr>
    </w:p>
    <w:p w14:paraId="6C63F224" w14:textId="77777777" w:rsidR="000C013D" w:rsidRPr="00143B41" w:rsidRDefault="000C013D" w:rsidP="00444603">
      <w:pPr>
        <w:tabs>
          <w:tab w:val="left" w:pos="1290"/>
        </w:tabs>
        <w:spacing w:before="240" w:after="240" w:line="384" w:lineRule="auto"/>
        <w:jc w:val="both"/>
        <w:rPr>
          <w:rFonts w:ascii="Times New Roman" w:eastAsia="Century Schoolbook" w:hAnsi="Times New Roman" w:cs="Times New Roman"/>
          <w:color w:val="000000" w:themeColor="text1"/>
          <w:sz w:val="24"/>
          <w:szCs w:val="24"/>
          <w:lang w:bidi="en-US"/>
        </w:rPr>
      </w:pPr>
    </w:p>
    <w:p w14:paraId="514D4CE2" w14:textId="77777777" w:rsidR="000C013D" w:rsidRPr="00143B41" w:rsidRDefault="00F77C91" w:rsidP="00FF79C7">
      <w:pPr>
        <w:tabs>
          <w:tab w:val="left" w:pos="1290"/>
        </w:tabs>
        <w:spacing w:before="240" w:after="240" w:line="384" w:lineRule="auto"/>
        <w:jc w:val="both"/>
        <w:rPr>
          <w:rFonts w:ascii="Times New Roman" w:eastAsia="Century Schoolbook" w:hAnsi="Times New Roman" w:cs="Times New Roman"/>
          <w:color w:val="000000" w:themeColor="text1"/>
          <w:sz w:val="24"/>
          <w:szCs w:val="24"/>
          <w:lang w:bidi="en-US"/>
        </w:rPr>
      </w:pPr>
      <w:r>
        <w:rPr>
          <w:rFonts w:ascii="Times New Roman" w:eastAsia="Century Schoolbook" w:hAnsi="Times New Roman" w:cs="Times New Roman"/>
          <w:b/>
          <w:bCs/>
          <w:noProof/>
          <w:color w:val="000000" w:themeColor="text1"/>
          <w:sz w:val="24"/>
          <w:szCs w:val="24"/>
          <w:lang w:bidi="ne-NP"/>
        </w:rPr>
        <w:pict w14:anchorId="037D7FCA">
          <v:rect id="_x0000_s1043" style="position:absolute;left:0;text-align:left;margin-left:34.65pt;margin-top:4.15pt;width:118.85pt;height:45.2pt;z-index:251676672">
            <v:textbox>
              <w:txbxContent>
                <w:p w14:paraId="4E4CFE28" w14:textId="77777777" w:rsidR="0027546B" w:rsidRDefault="0027546B" w:rsidP="00033295">
                  <w:pPr>
                    <w:tabs>
                      <w:tab w:val="left" w:pos="1080"/>
                      <w:tab w:val="left" w:pos="1415"/>
                    </w:tabs>
                    <w:spacing w:after="0" w:line="384" w:lineRule="auto"/>
                    <w:jc w:val="center"/>
                    <w:rPr>
                      <w:rFonts w:ascii="Times New Roman" w:eastAsia="Century Schoolbook" w:hAnsi="Times New Roman" w:cs="Times New Roman"/>
                      <w:sz w:val="24"/>
                      <w:szCs w:val="24"/>
                      <w:lang w:bidi="en-US"/>
                    </w:rPr>
                  </w:pPr>
                  <w:r>
                    <w:rPr>
                      <w:rFonts w:ascii="Times New Roman" w:eastAsia="Century Schoolbook" w:hAnsi="Times New Roman" w:cs="Times New Roman"/>
                      <w:sz w:val="24"/>
                      <w:szCs w:val="24"/>
                      <w:lang w:bidi="en-US"/>
                    </w:rPr>
                    <w:t>Book value per share</w:t>
                  </w:r>
                </w:p>
                <w:p w14:paraId="7ABF1706" w14:textId="77777777" w:rsidR="0027546B" w:rsidRPr="00FF79C7" w:rsidRDefault="0027546B" w:rsidP="00033295">
                  <w:pPr>
                    <w:jc w:val="center"/>
                  </w:pPr>
                  <w:r>
                    <w:rPr>
                      <w:rFonts w:ascii="Times New Roman" w:eastAsia="Century Schoolbook" w:hAnsi="Times New Roman" w:cs="Times New Roman"/>
                      <w:sz w:val="24"/>
                      <w:szCs w:val="24"/>
                      <w:lang w:bidi="en-US"/>
                    </w:rPr>
                    <w:t>(BVPS)</w:t>
                  </w:r>
                </w:p>
              </w:txbxContent>
            </v:textbox>
          </v:rect>
        </w:pict>
      </w:r>
    </w:p>
    <w:p w14:paraId="63773D77" w14:textId="77777777" w:rsidR="00C30ED2" w:rsidRDefault="00F77C91" w:rsidP="00CB3A5C">
      <w:pPr>
        <w:tabs>
          <w:tab w:val="left" w:pos="1415"/>
        </w:tabs>
        <w:spacing w:after="0" w:line="384" w:lineRule="auto"/>
        <w:jc w:val="both"/>
        <w:rPr>
          <w:rFonts w:ascii="Times New Roman" w:eastAsia="Century Schoolbook" w:hAnsi="Times New Roman" w:cs="Times New Roman"/>
          <w:color w:val="000000" w:themeColor="text1"/>
          <w:sz w:val="24"/>
          <w:szCs w:val="24"/>
          <w:lang w:bidi="en-US"/>
        </w:rPr>
      </w:pPr>
      <w:r>
        <w:rPr>
          <w:rFonts w:ascii="Times New Roman" w:eastAsia="Century Schoolbook" w:hAnsi="Times New Roman" w:cs="Times New Roman"/>
          <w:noProof/>
          <w:color w:val="000000" w:themeColor="text1"/>
          <w:sz w:val="24"/>
          <w:szCs w:val="24"/>
          <w:lang w:bidi="en-US"/>
        </w:rPr>
        <w:pict w14:anchorId="009C1040">
          <v:line id="Straight Connector 23" o:spid="_x0000_s1033" style="position:absolute;left:0;text-align:left;z-index:251664384;visibility:visible" from="166.25pt,10.6pt" to="166.2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" strokecolor="#4472c4 [3204]" strokeweight=".5pt">
            <v:stroke joinstyle="miter"/>
          </v:line>
        </w:pict>
      </w:r>
      <w:r>
        <w:rPr>
          <w:rFonts w:ascii="Times New Roman" w:eastAsia="Century Schoolbook" w:hAnsi="Times New Roman" w:cs="Times New Roman"/>
          <w:noProof/>
          <w:color w:val="000000" w:themeColor="text1"/>
          <w:sz w:val="24"/>
          <w:szCs w:val="24"/>
          <w:lang w:bidi="en-US"/>
        </w:rPr>
        <w:pict w14:anchorId="7E280CA3">
          <v:line id="Straight Connector 17" o:spid="_x0000_s1032" style="position:absolute;left:0;text-align:left;z-index:251663360;visibility:visible" from="166.25pt,11.85pt" to="166.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" strokecolor="#4472c4 [3204]" strokeweight=".5pt">
            <v:stroke joinstyle="miter"/>
          </v:line>
        </w:pict>
      </w:r>
      <w:r>
        <w:rPr>
          <w:rFonts w:ascii="Times New Roman" w:eastAsia="Century Schoolbook" w:hAnsi="Times New Roman" w:cs="Times New Roman"/>
          <w:noProof/>
          <w:color w:val="000000" w:themeColor="text1"/>
          <w:sz w:val="24"/>
          <w:szCs w:val="24"/>
          <w:lang w:bidi="en-US"/>
        </w:rPr>
        <w:pict w14:anchorId="6179BB8E">
          <v:line id="Straight Connector 15" o:spid="_x0000_s1031" style="position:absolute;left:0;text-align:left;z-index:251662336;visibility:visible" from="166.25pt,10pt" to="166.2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" strokecolor="#4472c4 [3204]" strokeweight=".5pt">
            <v:stroke joinstyle="miter"/>
          </v:line>
        </w:pict>
      </w:r>
      <w:r>
        <w:rPr>
          <w:rFonts w:ascii="Times New Roman" w:eastAsia="Century Schoolbook" w:hAnsi="Times New Roman" w:cs="Times New Roman"/>
          <w:noProof/>
          <w:color w:val="000000" w:themeColor="text1"/>
          <w:sz w:val="24"/>
          <w:szCs w:val="24"/>
          <w:lang w:bidi="en-US"/>
        </w:rPr>
        <w:pict w14:anchorId="161D2303">
          <v:line id="Straight Connector 14" o:spid="_x0000_s1030" style="position:absolute;left:0;text-align:left;z-index:251661312;visibility:visible" from="166.25pt,11.85pt" to="166.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" strokecolor="#4472c4 [3204]" strokeweight=".5pt">
            <v:stroke joinstyle="miter"/>
          </v:line>
        </w:pict>
      </w:r>
      <w:r>
        <w:rPr>
          <w:rFonts w:ascii="Times New Roman" w:eastAsia="Century Schoolbook" w:hAnsi="Times New Roman" w:cs="Times New Roman"/>
          <w:noProof/>
          <w:color w:val="000000" w:themeColor="text1"/>
          <w:sz w:val="24"/>
          <w:szCs w:val="24"/>
          <w:lang w:bidi="en-US"/>
        </w:rPr>
        <w:pict w14:anchorId="76D4D732">
          <v:line id="Straight Connector 10" o:spid="_x0000_s1029" style="position:absolute;left:0;text-align:left;z-index:251659264;visibility:visible" from="166.25pt,10pt" to="166.2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" strokecolor="#4472c4 [3204]" strokeweight=".5pt">
            <v:stroke joinstyle="miter"/>
          </v:line>
        </w:pict>
      </w:r>
      <w:r w:rsidR="000C013D" w:rsidRPr="00143B41">
        <w:rPr>
          <w:rFonts w:ascii="Times New Roman" w:eastAsia="Century Schoolbook" w:hAnsi="Times New Roman" w:cs="Times New Roman"/>
          <w:color w:val="000000" w:themeColor="text1"/>
          <w:sz w:val="24"/>
          <w:szCs w:val="24"/>
          <w:lang w:bidi="en-US"/>
        </w:rPr>
        <w:tab/>
        <w:t xml:space="preserve">                                                              </w:t>
      </w:r>
    </w:p>
    <w:p w14:paraId="1D8B530B" w14:textId="2613DFA3" w:rsidR="000C013D" w:rsidRPr="00143B41" w:rsidRDefault="000C013D" w:rsidP="00CB3A5C">
      <w:pPr>
        <w:tabs>
          <w:tab w:val="left" w:pos="1415"/>
        </w:tabs>
        <w:spacing w:after="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 xml:space="preserve"> Source: Pradhan and Dahal,2014 </w:t>
      </w:r>
    </w:p>
    <w:p w14:paraId="04FD97C7" w14:textId="77777777" w:rsidR="000C013D" w:rsidRPr="00143B41" w:rsidRDefault="000C013D" w:rsidP="00444603">
      <w:pPr>
        <w:tabs>
          <w:tab w:val="left" w:pos="1080"/>
          <w:tab w:val="left" w:pos="1415"/>
        </w:tabs>
        <w:spacing w:before="240" w:after="240" w:line="384" w:lineRule="auto"/>
        <w:jc w:val="both"/>
        <w:rPr>
          <w:rFonts w:ascii="Times New Roman" w:eastAsia="Century Schoolbook" w:hAnsi="Times New Roman" w:cs="Times New Roman"/>
          <w:color w:val="000000" w:themeColor="text1"/>
          <w:sz w:val="24"/>
          <w:szCs w:val="24"/>
          <w:lang w:bidi="en-US"/>
        </w:rPr>
      </w:pPr>
    </w:p>
    <w:p w14:paraId="0FB46B69" w14:textId="77777777" w:rsidR="000C013D" w:rsidRPr="00143B41" w:rsidRDefault="000C013D" w:rsidP="00444603">
      <w:pPr>
        <w:tabs>
          <w:tab w:val="left" w:pos="1080"/>
          <w:tab w:val="left" w:pos="1415"/>
        </w:tabs>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b/>
          <w:bCs/>
          <w:color w:val="000000" w:themeColor="text1"/>
          <w:sz w:val="28"/>
          <w:szCs w:val="28"/>
          <w:lang w:bidi="en-US"/>
        </w:rPr>
        <w:t>1.6 Limitations of the Study</w:t>
      </w:r>
    </w:p>
    <w:p w14:paraId="178964E0" w14:textId="77777777" w:rsidR="000C013D" w:rsidRPr="00143B41" w:rsidRDefault="000C013D" w:rsidP="00444603">
      <w:pPr>
        <w:tabs>
          <w:tab w:val="left" w:pos="1080"/>
          <w:tab w:val="left" w:pos="1415"/>
        </w:tabs>
        <w:spacing w:before="240" w:after="240" w:line="384" w:lineRule="auto"/>
        <w:jc w:val="both"/>
        <w:rPr>
          <w:rFonts w:ascii="Times New Roman" w:eastAsia="Century Schoolbook" w:hAnsi="Times New Roman" w:cs="Times New Roman"/>
          <w:color w:val="000000" w:themeColor="text1"/>
          <w:sz w:val="24"/>
          <w:szCs w:val="24"/>
          <w:lang w:bidi="en-US"/>
        </w:rPr>
      </w:pPr>
      <w:r w:rsidRPr="00143B41">
        <w:rPr>
          <w:rFonts w:ascii="Times New Roman" w:eastAsia="Century Schoolbook" w:hAnsi="Times New Roman" w:cs="Times New Roman"/>
          <w:color w:val="000000" w:themeColor="text1"/>
          <w:sz w:val="24"/>
          <w:szCs w:val="24"/>
          <w:lang w:bidi="en-US"/>
        </w:rPr>
        <w:t>Despite of the continuous efforts made for arriving at meaningful conclusions from the study, the following major limitations have been outlined. There is considerable place for arguing about its accuracy and reliability. Every study has limitations due to different factors of institutions, study period, reliability of statistical data, tools, techniques and variances. Following are the major limitations of this study:</w:t>
      </w:r>
    </w:p>
    <w:p w14:paraId="0CEFB507" w14:textId="77777777" w:rsidR="000C013D" w:rsidRPr="00143B41" w:rsidRDefault="000C013D" w:rsidP="00444603">
      <w:pPr>
        <w:pStyle w:val="BodyText2"/>
        <w:numPr>
          <w:ilvl w:val="0"/>
          <w:numId w:val="4"/>
        </w:numPr>
        <w:spacing w:before="240" w:after="240" w:line="384" w:lineRule="auto"/>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There are all together 27 commercial banks operating in the country, but the study does not cover all the commercial banks. Only 5 commercial banks are considered for the study purpose.</w:t>
      </w:r>
    </w:p>
    <w:p w14:paraId="6300843D" w14:textId="77777777" w:rsidR="000C013D" w:rsidRPr="00143B41" w:rsidRDefault="000C013D" w:rsidP="00444603">
      <w:pPr>
        <w:pStyle w:val="BodyText2"/>
        <w:numPr>
          <w:ilvl w:val="0"/>
          <w:numId w:val="4"/>
        </w:numPr>
        <w:spacing w:before="240" w:after="240" w:line="384" w:lineRule="auto"/>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study is based on only eight years starting from fiscal year 2068/2069 to             2075/2076.</w:t>
      </w:r>
    </w:p>
    <w:p w14:paraId="25DE08EE" w14:textId="77777777" w:rsidR="000C013D" w:rsidRPr="00143B41" w:rsidRDefault="000C013D" w:rsidP="00444603">
      <w:pPr>
        <w:pStyle w:val="BodyText2"/>
        <w:numPr>
          <w:ilvl w:val="0"/>
          <w:numId w:val="4"/>
        </w:numPr>
        <w:spacing w:before="240" w:after="240" w:line="384" w:lineRule="auto"/>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study is based on the assumption of linear relationship between dependent and independent variables. Thus, this study has not considered the non-linearity biases those are normally characterized in markets of emerging countries.</w:t>
      </w:r>
    </w:p>
    <w:p w14:paraId="52095419" w14:textId="77777777" w:rsidR="000C013D" w:rsidRPr="00143B41" w:rsidRDefault="000C013D" w:rsidP="00444603">
      <w:pPr>
        <w:pStyle w:val="BodyText2"/>
        <w:numPr>
          <w:ilvl w:val="0"/>
          <w:numId w:val="4"/>
        </w:numPr>
        <w:spacing w:before="240" w:after="240" w:line="384" w:lineRule="auto"/>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study will be based on the secondary data. </w:t>
      </w:r>
    </w:p>
    <w:p w14:paraId="4AEC216B" w14:textId="77777777" w:rsidR="000C013D" w:rsidRPr="00143B41" w:rsidRDefault="000C013D" w:rsidP="00444603">
      <w:pPr>
        <w:pStyle w:val="BodyText2"/>
        <w:numPr>
          <w:ilvl w:val="0"/>
          <w:numId w:val="4"/>
        </w:numPr>
        <w:spacing w:before="240" w:after="240" w:line="384" w:lineRule="auto"/>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This study assumes that every bank operates in the same market. Therefore, the analysis is not based on bank's market segmentation or group of banks (whether itis government, foreign or private banks).</w:t>
      </w:r>
    </w:p>
    <w:p w14:paraId="5FCAD3A5" w14:textId="77777777" w:rsidR="000C013D" w:rsidRPr="00143B41" w:rsidRDefault="000C013D" w:rsidP="00444603">
      <w:pPr>
        <w:pStyle w:val="BodyText2"/>
        <w:spacing w:before="240" w:after="240" w:line="384" w:lineRule="auto"/>
        <w:contextualSpacing/>
        <w:jc w:val="both"/>
        <w:rPr>
          <w:rFonts w:ascii="Times New Roman" w:hAnsi="Times New Roman" w:cs="Times New Roman"/>
          <w:b/>
          <w:bCs/>
          <w:color w:val="000000" w:themeColor="text1"/>
          <w:sz w:val="28"/>
          <w:szCs w:val="28"/>
        </w:rPr>
      </w:pPr>
    </w:p>
    <w:p w14:paraId="03264F9D" w14:textId="77777777" w:rsidR="000C013D" w:rsidRPr="00143B41" w:rsidRDefault="000C013D" w:rsidP="00444603">
      <w:pPr>
        <w:pStyle w:val="BodyText2"/>
        <w:spacing w:before="240" w:after="240" w:line="384" w:lineRule="auto"/>
        <w:contextualSpacing/>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1.7 Organization of the Study</w:t>
      </w:r>
    </w:p>
    <w:p w14:paraId="6FC8F85F" w14:textId="77777777"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eastAsia="Times New Roman" w:hAnsi="Times New Roman" w:cs="Times New Roman"/>
          <w:color w:val="000000" w:themeColor="text1"/>
          <w:sz w:val="24"/>
          <w:szCs w:val="24"/>
        </w:rPr>
        <w:t>The study is divided into five chapters.</w:t>
      </w:r>
      <w:r w:rsidRPr="00143B41">
        <w:rPr>
          <w:rFonts w:ascii="Times New Roman" w:eastAsia="Times New Roman" w:hAnsi="Times New Roman" w:cs="Times New Roman"/>
          <w:color w:val="000000" w:themeColor="text1"/>
          <w:sz w:val="24"/>
          <w:szCs w:val="24"/>
        </w:rPr>
        <w:tab/>
      </w:r>
    </w:p>
    <w:p w14:paraId="0BED5984" w14:textId="77777777"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eastAsia="Times New Roman" w:hAnsi="Times New Roman" w:cs="Times New Roman"/>
          <w:color w:val="000000" w:themeColor="text1"/>
          <w:sz w:val="24"/>
          <w:szCs w:val="24"/>
        </w:rPr>
        <w:t xml:space="preserve">Chapter –I: Introduction of the study. </w:t>
      </w:r>
    </w:p>
    <w:p w14:paraId="2B8FD0E1" w14:textId="4DA99BA6"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It is the introduction part of the study and includes the introduction and general background, statement of the problem, objectives of the study, significance of the study,</w:t>
      </w:r>
      <w:r w:rsidR="00BF00F8">
        <w:rPr>
          <w:rFonts w:ascii="Times New Roman" w:hAnsi="Times New Roman" w:cs="Times New Roman"/>
          <w:color w:val="000000" w:themeColor="text1"/>
          <w:sz w:val="24"/>
          <w:szCs w:val="24"/>
        </w:rPr>
        <w:t xml:space="preserve"> </w:t>
      </w:r>
      <w:r w:rsidRPr="00143B41">
        <w:rPr>
          <w:rFonts w:ascii="Times New Roman" w:eastAsia="Times New Roman" w:hAnsi="Times New Roman" w:cs="Times New Roman"/>
          <w:color w:val="000000" w:themeColor="text1"/>
          <w:sz w:val="24"/>
          <w:szCs w:val="24"/>
        </w:rPr>
        <w:t xml:space="preserve">limitations of the study, a brief description of the research design and overview of the chapters contained in the study. </w:t>
      </w:r>
    </w:p>
    <w:p w14:paraId="474D1CDB"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Chapter – II: Review of Literature</w:t>
      </w:r>
    </w:p>
    <w:p w14:paraId="7458E495" w14:textId="77777777"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review of literature includes the review of previous research on the same field, especially from some relevant books, journals. The conceptual considerations and review of related literature conducted in this chapter provides a framework with the help of which </w:t>
      </w:r>
      <w:r w:rsidRPr="00143B41">
        <w:rPr>
          <w:rFonts w:ascii="Times New Roman" w:eastAsia="Times New Roman" w:hAnsi="Times New Roman" w:cs="Times New Roman"/>
          <w:color w:val="000000" w:themeColor="text1"/>
          <w:sz w:val="24"/>
          <w:szCs w:val="24"/>
        </w:rPr>
        <w:t>the study has been accomplished.</w:t>
      </w:r>
    </w:p>
    <w:p w14:paraId="11461EF8" w14:textId="77777777" w:rsidR="000A7686" w:rsidRPr="00143B41" w:rsidRDefault="000A7686" w:rsidP="00444603">
      <w:pPr>
        <w:spacing w:before="240" w:after="240" w:line="384" w:lineRule="auto"/>
        <w:jc w:val="both"/>
        <w:rPr>
          <w:rFonts w:ascii="Times New Roman" w:eastAsia="Times New Roman" w:hAnsi="Times New Roman" w:cs="Times New Roman"/>
          <w:color w:val="000000" w:themeColor="text1"/>
          <w:sz w:val="24"/>
          <w:szCs w:val="24"/>
        </w:rPr>
      </w:pPr>
    </w:p>
    <w:p w14:paraId="4A1EC6DE" w14:textId="77777777"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eastAsia="Times New Roman" w:hAnsi="Times New Roman" w:cs="Times New Roman"/>
          <w:color w:val="000000" w:themeColor="text1"/>
          <w:sz w:val="24"/>
          <w:szCs w:val="24"/>
        </w:rPr>
        <w:t>Chapter – III: Research Methodology</w:t>
      </w:r>
    </w:p>
    <w:p w14:paraId="19C00406" w14:textId="77777777"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research methodology includes the research variables, research design, population and sample, sources of data, data collection procedure, tools and techniques for data analysis </w:t>
      </w:r>
      <w:r w:rsidRPr="00143B41">
        <w:rPr>
          <w:rFonts w:ascii="Times New Roman" w:eastAsia="Times New Roman" w:hAnsi="Times New Roman" w:cs="Times New Roman"/>
          <w:color w:val="000000" w:themeColor="text1"/>
          <w:sz w:val="24"/>
          <w:szCs w:val="24"/>
        </w:rPr>
        <w:t>and presentation.</w:t>
      </w:r>
    </w:p>
    <w:p w14:paraId="766717B1" w14:textId="77777777"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eastAsia="Times New Roman" w:hAnsi="Times New Roman" w:cs="Times New Roman"/>
          <w:color w:val="000000" w:themeColor="text1"/>
          <w:sz w:val="24"/>
          <w:szCs w:val="24"/>
        </w:rPr>
        <w:t>Chapter – IV: Data Presentation and Analysis</w:t>
      </w:r>
    </w:p>
    <w:p w14:paraId="6C04E65F" w14:textId="77777777" w:rsidR="000C013D" w:rsidRPr="00143B41" w:rsidRDefault="000C013D" w:rsidP="00444603">
      <w:pPr>
        <w:spacing w:before="240" w:after="240" w:line="384" w:lineRule="auto"/>
        <w:jc w:val="both"/>
        <w:rPr>
          <w:rFonts w:ascii="Times New Roman" w:eastAsia="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It is the main body of research. It includes data analysis and discussion of research findings from the empirical data collected from the research sample. This chapter involves in analysis and presentation of data. Data are presented in readable form so that their </w:t>
      </w:r>
      <w:r w:rsidRPr="00143B41">
        <w:rPr>
          <w:rFonts w:ascii="Times New Roman" w:eastAsia="Times New Roman" w:hAnsi="Times New Roman" w:cs="Times New Roman"/>
          <w:color w:val="000000" w:themeColor="text1"/>
          <w:sz w:val="24"/>
          <w:szCs w:val="24"/>
        </w:rPr>
        <w:t>meanings are precisely understandable to reach the intended conclusion of study.</w:t>
      </w:r>
    </w:p>
    <w:p w14:paraId="1306BB22"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eastAsia="Times New Roman" w:hAnsi="Times New Roman" w:cs="Times New Roman"/>
          <w:color w:val="000000" w:themeColor="text1"/>
          <w:sz w:val="24"/>
          <w:szCs w:val="24"/>
        </w:rPr>
        <w:t>Chapter – V: Summary, Conclusion and Recommendation</w:t>
      </w:r>
      <w:r w:rsidRPr="00143B41">
        <w:rPr>
          <w:rFonts w:ascii="Times New Roman" w:hAnsi="Times New Roman" w:cs="Times New Roman"/>
          <w:color w:val="000000" w:themeColor="text1"/>
          <w:sz w:val="24"/>
          <w:szCs w:val="24"/>
        </w:rPr>
        <w:t>.</w:t>
      </w:r>
    </w:p>
    <w:p w14:paraId="0445BB22"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0228A82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6CC868E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5F6CC28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6A70965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7C43FF0F"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579CEDE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3A5F1F0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6E35B876" w14:textId="77777777" w:rsidR="000A7686" w:rsidRPr="00143B41" w:rsidRDefault="000A7686">
      <w:pP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br w:type="page"/>
      </w:r>
    </w:p>
    <w:p w14:paraId="1DF2892B" w14:textId="77777777" w:rsidR="000C013D" w:rsidRPr="00143B41" w:rsidRDefault="000C013D" w:rsidP="000A7686">
      <w:pPr>
        <w:spacing w:before="240" w:after="240" w:line="384" w:lineRule="auto"/>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lastRenderedPageBreak/>
        <w:t>CHAPTER- II</w:t>
      </w:r>
    </w:p>
    <w:p w14:paraId="7C850BA9" w14:textId="77777777" w:rsidR="000C013D" w:rsidRPr="00143B41" w:rsidRDefault="000C013D" w:rsidP="000A7686">
      <w:pPr>
        <w:spacing w:before="240" w:after="240" w:line="384" w:lineRule="auto"/>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REVIEW OF LITERATURE</w:t>
      </w:r>
    </w:p>
    <w:p w14:paraId="171D58D2" w14:textId="2E3FCCB1"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Review of literature can be defined as the process of reviewing the studies or other relevant research works done in the subject matter so that all the past studies and conclusions and the deficiencies may be known. It helps to know the past research works in the related topics and its outcome and offer vital links with various trends and phases in the researches. It helps to identify problems, determine methodology for the research work and avoid unintentional replication of previous research work and help to interpret the significance of research’s results in a precise manner. </w:t>
      </w:r>
      <w:r w:rsidR="00BF00F8" w:rsidRPr="00143B41">
        <w:rPr>
          <w:rFonts w:ascii="Times New Roman" w:hAnsi="Times New Roman" w:cs="Times New Roman"/>
          <w:color w:val="000000" w:themeColor="text1"/>
          <w:sz w:val="24"/>
          <w:szCs w:val="24"/>
        </w:rPr>
        <w:t>Effective research</w:t>
      </w:r>
      <w:r w:rsidRPr="00143B41">
        <w:rPr>
          <w:rFonts w:ascii="Times New Roman" w:hAnsi="Times New Roman" w:cs="Times New Roman"/>
          <w:color w:val="000000" w:themeColor="text1"/>
          <w:sz w:val="24"/>
          <w:szCs w:val="24"/>
        </w:rPr>
        <w:t xml:space="preserve"> is based upon the past knowledge, a survey of past literature helps to eliminate the duplication of what has been done. A review of previous related research helps to formulate a satisfactory structure for the new project.</w:t>
      </w:r>
    </w:p>
    <w:p w14:paraId="5BE51EAB"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To explore the relevant and true facts for the research purpose, this chapter highlights the literature available related to the study. An attempt has been made to look into bank publication, periodicals and central bank’s rules and regulations. In addition, the information from websites, internet and other sources are attempted to collect.</w:t>
      </w:r>
    </w:p>
    <w:p w14:paraId="7FD670AA" w14:textId="6DD4C870"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This chapter is basically concerned with review of literature relevant to the topic “Factors affecting the share price of </w:t>
      </w:r>
      <w:r w:rsidR="00BF00F8" w:rsidRPr="00143B41">
        <w:rPr>
          <w:rFonts w:ascii="Times New Roman" w:hAnsi="Times New Roman" w:cs="Times New Roman"/>
          <w:color w:val="000000" w:themeColor="text1"/>
          <w:sz w:val="24"/>
          <w:szCs w:val="24"/>
        </w:rPr>
        <w:t>Nepalese</w:t>
      </w:r>
      <w:r w:rsidRPr="00143B41">
        <w:rPr>
          <w:rFonts w:ascii="Times New Roman" w:hAnsi="Times New Roman" w:cs="Times New Roman"/>
          <w:color w:val="000000" w:themeColor="text1"/>
          <w:sz w:val="24"/>
          <w:szCs w:val="24"/>
        </w:rPr>
        <w:t xml:space="preserve"> commercial Bank.” Every study is very much based on past knowledge. The previous studies cannot be ignored because they provide the foundation to the present study. In other words, there has to be continuity in research. This continuity in research is ensured by linking the present study with the past studies.</w:t>
      </w:r>
    </w:p>
    <w:p w14:paraId="60AD3533"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2.1 Conceptual Review</w:t>
      </w:r>
    </w:p>
    <w:p w14:paraId="6FDEC0B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This chapter includes the brief introduction of Nepal stock exchange, stock prices and introduction of variables taken for study. Moreover, this chapter also defines the variable </w:t>
      </w:r>
      <w:r w:rsidRPr="00143B41">
        <w:rPr>
          <w:rFonts w:ascii="Times New Roman" w:hAnsi="Times New Roman" w:cs="Times New Roman"/>
          <w:color w:val="000000" w:themeColor="text1"/>
          <w:sz w:val="24"/>
          <w:szCs w:val="24"/>
        </w:rPr>
        <w:lastRenderedPageBreak/>
        <w:t>and their nature of relationship, along with the literature and previous study on the same field. The description of earning per share, dividend per share, Price to earnings ratio, book value per share, return on assets and their relation with the other stock prices is presented. This chapter also link between the past studies and present study.</w:t>
      </w:r>
    </w:p>
    <w:p w14:paraId="4F94087E"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2.1.1 Sock Prices</w:t>
      </w:r>
    </w:p>
    <w:p w14:paraId="7D16A5B5"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history of securities market began with the floatation of shares by Biratnagar Jute Mills Ltd. and Nepal Bank Ltd. in 1937. Introduction of the Company Act in 1964, the first issuance of Government Bond in 1964 and the establishment of Securities Exchange Center Ltd. in 1976 were other significant development relating to capital markets. Securities Exchange Center was established with an objective of facilitating and promoting the growth of capital markets. Before conversion into stock exchange, it was the only capital markets institution undertaking the job of brokering, underwriting, managing public issue, market making for government bonds and other financial services. Nepal Government, under a program initiated to reform capital markets converted Securities Exchange Center into Nepal Stock Exchange in 1993.The history of securities market began with the floatation of shares by Biratnagar Jute Mills Ltd. and Nepal Bank Ltd. in 1937. Introduction of the Company Act in 1964, the first issuance of Government Bond in 1964 and the establishment of Securities Exchange Center Ltd. in 1976 were other significant development relating to capital markets.</w:t>
      </w:r>
    </w:p>
    <w:p w14:paraId="68E00C15" w14:textId="48E5FFB9"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Securities Exchange Center was established with an objective of facilitating and promoting the growth of capital markets. Before conversion into stock </w:t>
      </w:r>
      <w:r w:rsidR="00BF00F8" w:rsidRPr="00143B41">
        <w:rPr>
          <w:rFonts w:ascii="Times New Roman" w:hAnsi="Times New Roman" w:cs="Times New Roman"/>
          <w:color w:val="000000" w:themeColor="text1"/>
          <w:sz w:val="24"/>
          <w:szCs w:val="24"/>
        </w:rPr>
        <w:t>exchange,</w:t>
      </w:r>
      <w:r w:rsidRPr="00143B41">
        <w:rPr>
          <w:rFonts w:ascii="Times New Roman" w:hAnsi="Times New Roman" w:cs="Times New Roman"/>
          <w:color w:val="000000" w:themeColor="text1"/>
          <w:sz w:val="24"/>
          <w:szCs w:val="24"/>
        </w:rPr>
        <w:t xml:space="preserve"> it was the only capital markets institution undertaking the job of brokering, underwriting, managing public issue, market making for government bonds and other financial services. Nepal Government, under a program initiated to reform capital markets converted Securities Exchange Center into Nepal Stock Exchange in 1993.</w:t>
      </w:r>
    </w:p>
    <w:p w14:paraId="763C813B"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 xml:space="preserve">A company's worth, or its total value, is called its market capitalization, or "market cap", and it is represented by the company's stock price multiplied by the number of outstanding. The cost of purchasing a security on an exchange. Stock prices can be affected by a number of things including volatility in the market, current economic conditions, and popularity of the company (Thapa&amp; Rana, 2013). </w:t>
      </w:r>
    </w:p>
    <w:p w14:paraId="0A369B1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market price of a stock is the price that it sells for on the open market at a given point in time. The market price will usually fluctuate throughout the trading day as investors buy and sell stocks. The market price will rise if more people want to buy it and fall as people begin selling more of the stock (Pradhan, 2016).</w:t>
      </w:r>
    </w:p>
    <w:p w14:paraId="6BE86F22" w14:textId="0704971D"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Nepal Stock Exchange, in short NEPSE, is established under the company act, operating under Securities Exchange Act, 1983. The basic objective of NEPSE is to impart free marketability and liquidity to the government and corporate securities by facilitating transactions in its trading floor through member, market intermediaries, such as broker, market makers etc. NEPSE opened its trading floor on 13th January 1994. Government of Nepal, Nepal </w:t>
      </w:r>
      <w:proofErr w:type="spellStart"/>
      <w:r w:rsidRPr="00143B41">
        <w:rPr>
          <w:rFonts w:ascii="Times New Roman" w:hAnsi="Times New Roman" w:cs="Times New Roman"/>
          <w:color w:val="000000" w:themeColor="text1"/>
          <w:sz w:val="24"/>
          <w:szCs w:val="24"/>
        </w:rPr>
        <w:t>Rastra</w:t>
      </w:r>
      <w:proofErr w:type="spellEnd"/>
      <w:r w:rsidRPr="00143B41">
        <w:rPr>
          <w:rFonts w:ascii="Times New Roman" w:hAnsi="Times New Roman" w:cs="Times New Roman"/>
          <w:color w:val="000000" w:themeColor="text1"/>
          <w:sz w:val="24"/>
          <w:szCs w:val="24"/>
        </w:rPr>
        <w:t xml:space="preserve"> Bank, Nepal Industrial Development Corporation and members are the shareholders of NEPSE. The history of securities market began with the floatation of shares by Biratnagar Jute Mills Ltd. and Nepal Bank Ltd. in 1937. Introduction of the Company Act in 1964, the first issuance of Government Bond in 1964 and the establishment of Securities Exchange Center Ltd. in 1976 were other significant development relating to capital markets. Securities Exchange Center was established with an objective of facilitating and promoting the growth of capital markets. Before conversion into stock </w:t>
      </w:r>
      <w:r w:rsidR="00BF00F8" w:rsidRPr="00143B41">
        <w:rPr>
          <w:rFonts w:ascii="Times New Roman" w:hAnsi="Times New Roman" w:cs="Times New Roman"/>
          <w:color w:val="000000" w:themeColor="text1"/>
          <w:sz w:val="24"/>
          <w:szCs w:val="24"/>
        </w:rPr>
        <w:t>exchange,</w:t>
      </w:r>
      <w:r w:rsidRPr="00143B41">
        <w:rPr>
          <w:rFonts w:ascii="Times New Roman" w:hAnsi="Times New Roman" w:cs="Times New Roman"/>
          <w:color w:val="000000" w:themeColor="text1"/>
          <w:sz w:val="24"/>
          <w:szCs w:val="24"/>
        </w:rPr>
        <w:t xml:space="preserve"> it was the only capital markets institution undertaking the job of brokering, underwriting, managing public issue, market making for government bonds and other financial services. Nepal Government, under a program initiated to reform capital markets converted Securities Exchange Center into Nepal Stock Exchange in 1993.Members of NEPSE are permitted to act as intermediaries in buying and selling of government bonds and listed corporate securities. At present, there </w:t>
      </w:r>
      <w:r w:rsidRPr="00143B41">
        <w:rPr>
          <w:rFonts w:ascii="Times New Roman" w:hAnsi="Times New Roman" w:cs="Times New Roman"/>
          <w:color w:val="000000" w:themeColor="text1"/>
          <w:sz w:val="24"/>
          <w:szCs w:val="24"/>
        </w:rPr>
        <w:lastRenderedPageBreak/>
        <w:t>are 50 member brokers, who operate on the trading floor as per the Securities Exchange Act, 1983, rules and bye-laws. Besides this, NEPSE has also granted membership to issue and sales manager securities trader (Dealer). Issue and sales manager works as manager to the issue and underwriter for public issue of securities whereas securities trader (Dealer) works as individual portfolio manager. The tenure of the membership is one year. The license should be renewed within 3 months after the closure of the fiscal year. If not, it can be done within another three months by paying 25% penalty (</w:t>
      </w:r>
      <w:proofErr w:type="spellStart"/>
      <w:r w:rsidRPr="00143B41">
        <w:rPr>
          <w:rFonts w:ascii="Times New Roman" w:hAnsi="Times New Roman" w:cs="Times New Roman"/>
          <w:color w:val="000000" w:themeColor="text1"/>
          <w:sz w:val="24"/>
          <w:szCs w:val="24"/>
        </w:rPr>
        <w:t>Rijan</w:t>
      </w:r>
      <w:proofErr w:type="spellEnd"/>
      <w:r w:rsidRPr="00143B41">
        <w:rPr>
          <w:rFonts w:ascii="Times New Roman" w:hAnsi="Times New Roman" w:cs="Times New Roman"/>
          <w:color w:val="000000" w:themeColor="text1"/>
          <w:sz w:val="24"/>
          <w:szCs w:val="24"/>
        </w:rPr>
        <w:t>, 2016).</w:t>
      </w:r>
    </w:p>
    <w:p w14:paraId="4EFC6AE1"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2.1.2 Determinants of Stock Prices</w:t>
      </w:r>
    </w:p>
    <w:p w14:paraId="449D1992" w14:textId="0A15ED7E"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study of Sharma (2011) examined the empirical relationship between equity share prices and explanatory variables such as: book value per share, dividend per share, earning per share, price earnings ratio, dividend yield, dividend payout, size in terms of sale, and net worth for the period 1993-94 to 2008-09. The results revealed that earning per share, dividend per share, and book value per share has significant impact on the market price of share. Furthermore, results of the study indicated that combined issue that dividend per share and earnings per share being the strongest determinants of market price, so the results of the study </w:t>
      </w:r>
      <w:r w:rsidR="00BF00F8" w:rsidRPr="00143B41">
        <w:rPr>
          <w:rFonts w:ascii="Times New Roman" w:hAnsi="Times New Roman" w:cs="Times New Roman"/>
          <w:color w:val="000000" w:themeColor="text1"/>
          <w:sz w:val="24"/>
          <w:szCs w:val="24"/>
        </w:rPr>
        <w:t>support</w:t>
      </w:r>
      <w:r w:rsidRPr="00143B41">
        <w:rPr>
          <w:rFonts w:ascii="Times New Roman" w:hAnsi="Times New Roman" w:cs="Times New Roman"/>
          <w:color w:val="000000" w:themeColor="text1"/>
          <w:sz w:val="24"/>
          <w:szCs w:val="24"/>
        </w:rPr>
        <w:t xml:space="preserve"> liberal dividend policy and suggests companies to pay regular dividends.</w:t>
      </w:r>
    </w:p>
    <w:p w14:paraId="59EADC1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study of Malhotra &amp; Tandon (2013) attempted to determine the factors that influence stock prices in the context of National Stock Exchange (NSE) of 100 companies. A sample of 95 companies was selected for the period 2007- 2012 and linear regression model was used. The results indicated that firms’ book value, earning per share, and price-earnings ratio are having a significant positive association with firm’s stock price while dividend yield is having a significant inverse association with the market price of the firm’s stock.</w:t>
      </w:r>
    </w:p>
    <w:p w14:paraId="220A4755"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lastRenderedPageBreak/>
        <w:t>Almumani</w:t>
      </w:r>
      <w:proofErr w:type="spellEnd"/>
      <w:r w:rsidRPr="00143B41">
        <w:rPr>
          <w:rFonts w:ascii="Times New Roman" w:hAnsi="Times New Roman" w:cs="Times New Roman"/>
          <w:color w:val="000000" w:themeColor="text1"/>
          <w:sz w:val="24"/>
          <w:szCs w:val="24"/>
        </w:rPr>
        <w:t xml:space="preserve"> (2014) attempted to identify the quantitative factors that influence share prices for the listed banks in Amman Stock Exchange over the period 2005-2011 using a linear multiple regression model.  There is a significant positive relationship between EPS and the market price of the listed banks in Jordan.  Moreover, there is a significant relationship between banks book value and market price. Another empirical finding from the regression analysis shows a positive relationship between P/E and market price.</w:t>
      </w:r>
    </w:p>
    <w:p w14:paraId="7F5F4DB5"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 Empirical findings from the regression analysis on the relationship between size and market price indicate that there is an inverse relationship between prices and market price. </w:t>
      </w:r>
    </w:p>
    <w:p w14:paraId="0635240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Aurangzeb (2012) conducted a study of 3 South Asian countries namely, Pakistan, India and Sri Lanka. Regression results indicate that foreign direct investment and exchange rate have significant positive impact on performance of stock market in South Asian countries. Interest rate has negative and significant impact on performance of stock market in South Asia. Results also indicate the negative but insignificant impact of inflation on stock market performance in South Asia.</w:t>
      </w:r>
    </w:p>
    <w:p w14:paraId="3FB4AD9C"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Pradhan (2016) examined the relationship between bank specific and macroeconomic variables and MPS in Nepal’s banking sector. It determines the effect of earnings per share, dividend per share, price earnings ratio, and book value per share, return on assets, size, gross domestic product, inflation and money supply on MPS. The study is based on pooled cross- sectional analysis of secondary data of 14 commercial banks for the period 2002/03-2013/14. As first approximation to the theory, this study hypothesizes that the MPS depends on several bank specific and macroeconomic variables such as earnings per share, dividend per share, price earnings ratio, book value per share, and return on assets, size, gross domestic product, inflation and money supply.</w:t>
      </w:r>
    </w:p>
    <w:p w14:paraId="6D35CDE9" w14:textId="77777777" w:rsidR="008150AA" w:rsidRDefault="008150AA" w:rsidP="00444603">
      <w:pPr>
        <w:spacing w:before="240" w:after="240" w:line="384" w:lineRule="auto"/>
        <w:jc w:val="both"/>
        <w:rPr>
          <w:rFonts w:ascii="Times New Roman" w:hAnsi="Times New Roman" w:cs="Times New Roman"/>
          <w:b/>
          <w:bCs/>
          <w:color w:val="000000" w:themeColor="text1"/>
          <w:sz w:val="24"/>
          <w:szCs w:val="24"/>
        </w:rPr>
      </w:pPr>
    </w:p>
    <w:p w14:paraId="11751DEE" w14:textId="3F063BED"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lastRenderedPageBreak/>
        <w:t>2.1.3 Earning Per Share</w:t>
      </w:r>
    </w:p>
    <w:p w14:paraId="5509E849"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Earnings per share (EPS) is the portion of a company's profit allocated to each outstanding share of common stock an earnings per share serves as an indicator of a company's profitability. </w:t>
      </w:r>
      <w:proofErr w:type="spellStart"/>
      <w:r w:rsidRPr="00143B41">
        <w:rPr>
          <w:rFonts w:ascii="Times New Roman" w:hAnsi="Times New Roman" w:cs="Times New Roman"/>
          <w:color w:val="000000" w:themeColor="text1"/>
          <w:sz w:val="24"/>
          <w:szCs w:val="24"/>
        </w:rPr>
        <w:t>Dhungel</w:t>
      </w:r>
      <w:proofErr w:type="spellEnd"/>
      <w:r w:rsidRPr="00143B41">
        <w:rPr>
          <w:rFonts w:ascii="Times New Roman" w:hAnsi="Times New Roman" w:cs="Times New Roman"/>
          <w:color w:val="000000" w:themeColor="text1"/>
          <w:sz w:val="24"/>
          <w:szCs w:val="24"/>
        </w:rPr>
        <w:t xml:space="preserve"> (2014) through his article concluded that EPS has positive relationship with stock prices of Nepali commercial banks. EPS represents the capability of a company in making profit for each stock owned by stakeholder. The increasing earnings per share generally indicate the growth of a company and resulting in high market price. Uddin &amp; Rahman (2013) revealed a positive linear relationship between earning per share and market stock price. Malhotra &amp;Tandon (2013) found that earnings per share have a positive relationship with market price, that is, higher the earning per share, higher would be the market price per share.</w:t>
      </w:r>
    </w:p>
    <w:p w14:paraId="78211487"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2.1.4 Dividend per Share</w:t>
      </w:r>
    </w:p>
    <w:p w14:paraId="281D8158"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Dividend per share (DPS) is the sum of declared dividends issued by a company for every ordinary share outstanding. </w:t>
      </w:r>
      <w:proofErr w:type="spellStart"/>
      <w:r w:rsidRPr="00143B41">
        <w:rPr>
          <w:rFonts w:ascii="Times New Roman" w:hAnsi="Times New Roman" w:cs="Times New Roman"/>
          <w:color w:val="000000" w:themeColor="text1"/>
          <w:sz w:val="24"/>
          <w:szCs w:val="24"/>
        </w:rPr>
        <w:t>Prabath</w:t>
      </w:r>
      <w:proofErr w:type="spellEnd"/>
      <w:r w:rsidRPr="00143B41">
        <w:rPr>
          <w:rFonts w:ascii="Times New Roman" w:hAnsi="Times New Roman" w:cs="Times New Roman"/>
          <w:color w:val="000000" w:themeColor="text1"/>
          <w:sz w:val="24"/>
          <w:szCs w:val="24"/>
        </w:rPr>
        <w:t xml:space="preserve"> (2014) conclude that DPS affect positively and significant impact on the stock price. This ratio shows the amount payable per share to equity shareholders. Dividend per share ratio ignores earnings retained in the business. </w:t>
      </w:r>
    </w:p>
    <w:p w14:paraId="0EF7E20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net profit after taxes belong to shareholders but the income that they really receive is the amount of earnings distributed and paid as cash dividend. It is a reward for risk taken by the investor on their investment. It is a share of profit of the company divided among its shareholders.</w:t>
      </w:r>
    </w:p>
    <w:p w14:paraId="56A66D2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Dividend per share is the portion of the profit after tax, which is distributed to the shareholders for their investment bearing risk in the company (</w:t>
      </w:r>
      <w:bookmarkStart w:id="0" w:name="_Hlk50392390"/>
      <w:r w:rsidRPr="00143B41">
        <w:rPr>
          <w:rFonts w:ascii="Times New Roman" w:hAnsi="Times New Roman" w:cs="Times New Roman"/>
          <w:color w:val="000000" w:themeColor="text1"/>
          <w:sz w:val="24"/>
          <w:szCs w:val="24"/>
        </w:rPr>
        <w:t xml:space="preserve">Geetha and </w:t>
      </w:r>
      <w:proofErr w:type="spellStart"/>
      <w:r w:rsidRPr="00143B41">
        <w:rPr>
          <w:rFonts w:ascii="Times New Roman" w:hAnsi="Times New Roman" w:cs="Times New Roman"/>
          <w:color w:val="000000" w:themeColor="text1"/>
          <w:sz w:val="24"/>
          <w:szCs w:val="24"/>
        </w:rPr>
        <w:t>Swaaminathan</w:t>
      </w:r>
      <w:proofErr w:type="spellEnd"/>
      <w:r w:rsidRPr="00143B41">
        <w:rPr>
          <w:rFonts w:ascii="Times New Roman" w:hAnsi="Times New Roman" w:cs="Times New Roman"/>
          <w:color w:val="000000" w:themeColor="text1"/>
          <w:sz w:val="24"/>
          <w:szCs w:val="24"/>
        </w:rPr>
        <w:t>, 2015</w:t>
      </w:r>
      <w:bookmarkEnd w:id="0"/>
      <w:r w:rsidRPr="00143B41">
        <w:rPr>
          <w:rFonts w:ascii="Times New Roman" w:hAnsi="Times New Roman" w:cs="Times New Roman"/>
          <w:color w:val="000000" w:themeColor="text1"/>
          <w:sz w:val="24"/>
          <w:szCs w:val="24"/>
        </w:rPr>
        <w:t xml:space="preserve">). It helps in measuring the dividend distributed per equity share. It indicates the profitability aspect of the company. It also sets a benchmark for a </w:t>
      </w:r>
      <w:r w:rsidRPr="00143B41">
        <w:rPr>
          <w:rFonts w:ascii="Times New Roman" w:hAnsi="Times New Roman" w:cs="Times New Roman"/>
          <w:color w:val="000000" w:themeColor="text1"/>
          <w:sz w:val="24"/>
          <w:szCs w:val="24"/>
        </w:rPr>
        <w:lastRenderedPageBreak/>
        <w:t xml:space="preserve">meaningful comparison among different companies. DPS helps in indicating the growth of a firm. </w:t>
      </w:r>
    </w:p>
    <w:p w14:paraId="49B61F66"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2.1.5 Price to Earnings Ratio</w:t>
      </w:r>
    </w:p>
    <w:p w14:paraId="6ADF68AA"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price to earnings ratio (P/E ratio) is the ratio for valuing a company that measures its current share price relative to its per share earnings (EPS). The P/E ratio helps investors determine the market value of a stock as compared to the company’s earnings. A high P/E could mean that a stock price is high relative to earnings and possibly overvalued. Conversely, a low P\E might indicate that the current stock price is low relative to earnings. </w:t>
      </w:r>
      <w:proofErr w:type="spellStart"/>
      <w:r w:rsidRPr="00143B41">
        <w:rPr>
          <w:rFonts w:ascii="Times New Roman" w:hAnsi="Times New Roman" w:cs="Times New Roman"/>
          <w:color w:val="000000" w:themeColor="text1"/>
          <w:sz w:val="24"/>
          <w:szCs w:val="24"/>
        </w:rPr>
        <w:t>Almumani</w:t>
      </w:r>
      <w:proofErr w:type="spellEnd"/>
      <w:r w:rsidRPr="00143B41">
        <w:rPr>
          <w:rFonts w:ascii="Times New Roman" w:hAnsi="Times New Roman" w:cs="Times New Roman"/>
          <w:color w:val="000000" w:themeColor="text1"/>
          <w:sz w:val="24"/>
          <w:szCs w:val="24"/>
        </w:rPr>
        <w:t xml:space="preserve"> (2014) indicated that price-earnings ratio have a significant positive association with firm’s stock price. </w:t>
      </w:r>
      <w:proofErr w:type="spellStart"/>
      <w:r w:rsidRPr="00143B41">
        <w:rPr>
          <w:rFonts w:ascii="Times New Roman" w:hAnsi="Times New Roman" w:cs="Times New Roman"/>
          <w:color w:val="000000" w:themeColor="text1"/>
          <w:sz w:val="24"/>
          <w:szCs w:val="24"/>
        </w:rPr>
        <w:t>Nickolson</w:t>
      </w:r>
      <w:proofErr w:type="spellEnd"/>
      <w:r w:rsidRPr="00143B41">
        <w:rPr>
          <w:rFonts w:ascii="Times New Roman" w:hAnsi="Times New Roman" w:cs="Times New Roman"/>
          <w:color w:val="000000" w:themeColor="text1"/>
          <w:sz w:val="24"/>
          <w:szCs w:val="24"/>
        </w:rPr>
        <w:t xml:space="preserve"> (1960) the study revealed that stock with a low P/E ratio have a better investments performance than high P\E stocks. Geetha and </w:t>
      </w:r>
      <w:proofErr w:type="spellStart"/>
      <w:r w:rsidRPr="00143B41">
        <w:rPr>
          <w:rFonts w:ascii="Times New Roman" w:hAnsi="Times New Roman" w:cs="Times New Roman"/>
          <w:color w:val="000000" w:themeColor="text1"/>
          <w:sz w:val="24"/>
          <w:szCs w:val="24"/>
        </w:rPr>
        <w:t>Swaaminathan</w:t>
      </w:r>
      <w:proofErr w:type="spellEnd"/>
      <w:r w:rsidRPr="00143B41">
        <w:rPr>
          <w:rFonts w:ascii="Times New Roman" w:hAnsi="Times New Roman" w:cs="Times New Roman"/>
          <w:color w:val="000000" w:themeColor="text1"/>
          <w:sz w:val="24"/>
          <w:szCs w:val="24"/>
        </w:rPr>
        <w:t>, (2015) pointed that this ratio enables an investor to make appropriate calculation of the time required to cover the investment in a company’s stock. P/E ratio expresses the relationship between the market price of a company’s share and its earning per share. It indicates the extent to which the earning of each share is covered by its price.</w:t>
      </w:r>
    </w:p>
    <w:p w14:paraId="17BF2F15"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2.1.6 Book value per share</w:t>
      </w:r>
    </w:p>
    <w:p w14:paraId="1C7DECB5"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book value of equity per share is a financial measure which indicates a per share estimation of the minimum value of an entity’s equity. Although the book value of equity per share is a factor that can be used by the investors to determine the value stock, it presents only a limited value of the firm’s situation. </w:t>
      </w:r>
      <w:proofErr w:type="spellStart"/>
      <w:r w:rsidRPr="00143B41">
        <w:rPr>
          <w:rFonts w:ascii="Times New Roman" w:hAnsi="Times New Roman" w:cs="Times New Roman"/>
          <w:color w:val="000000" w:themeColor="text1"/>
          <w:sz w:val="24"/>
          <w:szCs w:val="24"/>
        </w:rPr>
        <w:t>Prabath</w:t>
      </w:r>
      <w:proofErr w:type="spellEnd"/>
      <w:r w:rsidRPr="00143B41">
        <w:rPr>
          <w:rFonts w:ascii="Times New Roman" w:hAnsi="Times New Roman" w:cs="Times New Roman"/>
          <w:color w:val="000000" w:themeColor="text1"/>
          <w:sz w:val="24"/>
          <w:szCs w:val="24"/>
        </w:rPr>
        <w:t xml:space="preserve"> (2014) concluded that BVPS affect positively and significant impact on the stock price. The book value per share can provide information on how a company’s stock is valued. If the value of BVPS exceeds the market value per share, the company’s stock is deemed undervalued.  The book value is used as an indicator of the value of a company’s stock, and it can be used to predict the possible market price of a share at a given time in the future. Stephen &amp; Okoro (2014) the </w:t>
      </w:r>
      <w:r w:rsidRPr="00143B41">
        <w:rPr>
          <w:rFonts w:ascii="Times New Roman" w:hAnsi="Times New Roman" w:cs="Times New Roman"/>
          <w:color w:val="000000" w:themeColor="text1"/>
          <w:sz w:val="24"/>
          <w:szCs w:val="24"/>
        </w:rPr>
        <w:lastRenderedPageBreak/>
        <w:t>result suggests that book value per share have positive impact on determining stock prices.</w:t>
      </w:r>
    </w:p>
    <w:p w14:paraId="25EE9873"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2.1.7 Return on assets</w:t>
      </w:r>
    </w:p>
    <w:p w14:paraId="3DBB71C0" w14:textId="7062B867" w:rsidR="00DA743C" w:rsidRPr="008150AA"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Return on assets is a profitability ratio that provides how much profit a company is able to generate from its assets. In other words, return on assets measures how efficient a company’s management is in generating earning from their economic resources or assets on their balance sheet. Ramzan (2013) Return on assets have insignificant relationship with the share price. Return on assets, also known as return on total assets, is a measure of how much profit a business is generating from its capital. This profitability ratio demonstrates the percentage growth rate in profits that are generated by the assets owned by a company. Pradhan (2017) found that return on assets positively related to the stock price, that is, higher the return on assets, higher would be the stock price.</w:t>
      </w:r>
    </w:p>
    <w:p w14:paraId="5B07A8B1" w14:textId="77777777" w:rsidR="000C013D" w:rsidRPr="008150AA" w:rsidRDefault="000C013D" w:rsidP="00444603">
      <w:pPr>
        <w:spacing w:before="240" w:after="240" w:line="384" w:lineRule="auto"/>
        <w:jc w:val="both"/>
        <w:rPr>
          <w:rFonts w:ascii="Times New Roman" w:hAnsi="Times New Roman" w:cs="Times New Roman"/>
          <w:b/>
          <w:bCs/>
          <w:color w:val="000000" w:themeColor="text1"/>
          <w:sz w:val="28"/>
          <w:szCs w:val="28"/>
        </w:rPr>
      </w:pPr>
      <w:r w:rsidRPr="008150AA">
        <w:rPr>
          <w:rFonts w:ascii="Times New Roman" w:hAnsi="Times New Roman" w:cs="Times New Roman"/>
          <w:b/>
          <w:bCs/>
          <w:color w:val="000000" w:themeColor="text1"/>
          <w:sz w:val="28"/>
          <w:szCs w:val="28"/>
        </w:rPr>
        <w:t>2.2 Empirical Review</w:t>
      </w:r>
    </w:p>
    <w:p w14:paraId="4FDF7540" w14:textId="16DD1C65"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Sharma (2011) examined the empirical relationship between equity share prices and explanatory variable such as: book value per share, dividend per share, earning per share, price earnings ratio, dividend yield, dividend payout, size in terms of sale, and net worth for the period 1993-94 to2008-09. The results revealed that earning per share, dividend per share, and book value per share has significant impact on the market price of share. Furthermore, results of the study indicated that dividend per share and earnings per share being the strongest determinants of market price, so the results of the study </w:t>
      </w:r>
      <w:r w:rsidR="00BF00F8" w:rsidRPr="00143B41">
        <w:rPr>
          <w:rFonts w:ascii="Times New Roman" w:hAnsi="Times New Roman" w:cs="Times New Roman"/>
          <w:color w:val="000000" w:themeColor="text1"/>
          <w:sz w:val="24"/>
          <w:szCs w:val="24"/>
        </w:rPr>
        <w:t>support</w:t>
      </w:r>
      <w:r w:rsidRPr="00143B41">
        <w:rPr>
          <w:rFonts w:ascii="Times New Roman" w:hAnsi="Times New Roman" w:cs="Times New Roman"/>
          <w:color w:val="000000" w:themeColor="text1"/>
          <w:sz w:val="24"/>
          <w:szCs w:val="24"/>
        </w:rPr>
        <w:t xml:space="preserve"> liberal dividend policy and suggests companies to pay regular dividends. </w:t>
      </w:r>
    </w:p>
    <w:p w14:paraId="4AA2081E"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Aurangzeb (2012) conducted a study of 3 South Asian countries namely, Pakistan, India and Sri Lanka. Regression results indicate that foreign direct investment and exchange rate have significant positive impact on performance of stock market in South Asian countries. Interest rate has negative and significant impact on performance of stock </w:t>
      </w:r>
      <w:r w:rsidRPr="00143B41">
        <w:rPr>
          <w:rFonts w:ascii="Times New Roman" w:hAnsi="Times New Roman" w:cs="Times New Roman"/>
          <w:color w:val="000000" w:themeColor="text1"/>
          <w:sz w:val="24"/>
          <w:szCs w:val="24"/>
        </w:rPr>
        <w:lastRenderedPageBreak/>
        <w:t>market in South Asia. Results also indicate the negative but insignificant impact of inflation on stock market performance in South Asia.</w:t>
      </w:r>
    </w:p>
    <w:p w14:paraId="451E4801"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Malhotra and Tandon (2013) attempted to determine the factors that influence stock prices in the context of National Stock Exchange (NSE) of 100 companies. A sample of 95 companies was selected for the period 2007-2012 and linear regression model was used. The results indicated that firms book value, earning per share, and price-earnings ratio are having a significant positive association with firm’s stock price while dividend yield is having a significant inverse association with the market price of the firm’s stock.</w:t>
      </w:r>
    </w:p>
    <w:p w14:paraId="35BD37CA"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Bhattarai (2014) through his study examined that the determinants of share price of commercial banks listed on the Nepal Stock Exchange Limited over the period of 2006 to 2014. Data were sourced from the annual reports of the sampled banks and analyzed using regression model. The results revealed that earning per share and price- earnings ratios have the significant positive association with share price while dividend yield showed the significant inverse association with share price. The major conclusion of the study is that dividend yield, earning per share and price-earnings ratio are the most influencing factors in determining share price in Nepalese commercial banks.</w:t>
      </w:r>
    </w:p>
    <w:p w14:paraId="371209AA"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t>Almumani</w:t>
      </w:r>
      <w:proofErr w:type="spellEnd"/>
      <w:r w:rsidRPr="00143B41">
        <w:rPr>
          <w:rFonts w:ascii="Times New Roman" w:hAnsi="Times New Roman" w:cs="Times New Roman"/>
          <w:color w:val="000000" w:themeColor="text1"/>
          <w:sz w:val="24"/>
          <w:szCs w:val="24"/>
        </w:rPr>
        <w:t xml:space="preserve"> (2014) attempted to identify the quantitative factors that influence share prices for the listed banks in Amman Stock Exchange over the period 2005-2011 using a linear multiple regression model.  There is a significant positive relationship between EPS and the market price of the listed banks in Jordan.  Moreover, moreover, there is a significant relationship between banks book value and market price. Another empirical finding from the regression analysis shows a positive relationship between P/E and market price. Empirical findings from the regression analysis on the relationship between size and market price indicate that there is an inverse relationship between prices and market price. </w:t>
      </w:r>
    </w:p>
    <w:p w14:paraId="4A098AF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Pradhan (2016), examined the relationship between bank specific and macroeconomic variables and MPS in Nepal’s banking sector. It determines the effect of earnings per share, dividend per share, price earnings ratio, and book value per share, return on assets, size, gross domestic product, inflation and money supply on MPS. The study is based on pooled cross- sectional analysis of secondary data of 14 commercial banks for the period 2002/03-2013/14. As first approximation to the theory, this study hypothesizes that the MPS depends on several bank specific and macroeconomic variables such as earnings per share, dividend per share, price earnings ratio, book value per share, and return on assets, size, gross domestic product, inflation and money supply. The Variables like earning per share, price earnings ratio, book value per share and return on assets are very weak effect in determining market price per share.</w:t>
      </w:r>
    </w:p>
    <w:p w14:paraId="6B24CECA"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Lama (2016) has examined the effect of firm specific and macroeconomics variables on stock price of Nepalese commercial banks. Market price per share, stock return on asset, money supply, gross domestic product, inflation and interest rate are the independent variables. The data are collected from the annual reports of selected commercial banks and supervision report published by Nepal </w:t>
      </w:r>
      <w:proofErr w:type="spellStart"/>
      <w:r w:rsidRPr="00143B41">
        <w:rPr>
          <w:rFonts w:ascii="Times New Roman" w:hAnsi="Times New Roman" w:cs="Times New Roman"/>
          <w:color w:val="000000" w:themeColor="text1"/>
          <w:sz w:val="24"/>
          <w:szCs w:val="24"/>
        </w:rPr>
        <w:t>Rastra</w:t>
      </w:r>
      <w:proofErr w:type="spellEnd"/>
      <w:r w:rsidRPr="00143B41">
        <w:rPr>
          <w:rFonts w:ascii="Times New Roman" w:hAnsi="Times New Roman" w:cs="Times New Roman"/>
          <w:color w:val="000000" w:themeColor="text1"/>
          <w:sz w:val="24"/>
          <w:szCs w:val="24"/>
        </w:rPr>
        <w:t xml:space="preserve"> Banks. The study is based of 126 observations from 18 commercial banks in Nepal. The regression models are estimated to test the effect of firm specific and macroeconomic variables of stock price of Nepalese commercial banks. The results show that there is positive relationship of market price per share with size, earnings per share, dividend per share, return on assets, money supply, inflation and gross domestic product. It indicates that an increase in size, earnings per share, dividend per share, return of assets, money supply, inflation and gross domestic product leads to an increase in the market price per share. </w:t>
      </w:r>
    </w:p>
    <w:p w14:paraId="7E1E09E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Pradhan (2017) pooled the data of fundamental factors on stock price of Nepalese commercial banks to study the relationship between stock prices and fundamental factors. Return on assets, return on equity, net profit margin, earning per share and dividend per share are as the independent variables. And market price per share and change in market </w:t>
      </w:r>
      <w:r w:rsidRPr="00143B41">
        <w:rPr>
          <w:rFonts w:ascii="Times New Roman" w:hAnsi="Times New Roman" w:cs="Times New Roman"/>
          <w:color w:val="000000" w:themeColor="text1"/>
          <w:sz w:val="24"/>
          <w:szCs w:val="24"/>
        </w:rPr>
        <w:lastRenderedPageBreak/>
        <w:t xml:space="preserve">price per share are the dependent variables. Data are collected from the Banking and Financial Statistics and Bank Supervision Report published by Nepal </w:t>
      </w:r>
      <w:proofErr w:type="spellStart"/>
      <w:r w:rsidRPr="00143B41">
        <w:rPr>
          <w:rFonts w:ascii="Times New Roman" w:hAnsi="Times New Roman" w:cs="Times New Roman"/>
          <w:color w:val="000000" w:themeColor="text1"/>
          <w:sz w:val="24"/>
          <w:szCs w:val="24"/>
        </w:rPr>
        <w:t>Rastra</w:t>
      </w:r>
      <w:proofErr w:type="spellEnd"/>
      <w:r w:rsidRPr="00143B41">
        <w:rPr>
          <w:rFonts w:ascii="Times New Roman" w:hAnsi="Times New Roman" w:cs="Times New Roman"/>
          <w:color w:val="000000" w:themeColor="text1"/>
          <w:sz w:val="24"/>
          <w:szCs w:val="24"/>
        </w:rPr>
        <w:t xml:space="preserve"> Bank and annual reports of the selected commercial banks. The study is based on 13 commercial banks of Nepal from 2007 to 2014, leading to a total of 104 observations. The regression models are estimated to test the significance and impact of fundamental factors in stock price of Nepalese commercial banks. The result shows that dividend per share (DPS), return on assets (ROA) and earning per share (EPS) are positively related to the stock price (market price per share and change in market price per share). This indicates that higher the DPS, ROA and EPS, higher would be the stock price. However, net profit margin is negatively related to stock price. The regression result shows that the beta coefficients for   </w:t>
      </w:r>
      <w:proofErr w:type="spellStart"/>
      <w:r w:rsidRPr="00143B41">
        <w:rPr>
          <w:rFonts w:ascii="Times New Roman" w:hAnsi="Times New Roman" w:cs="Times New Roman"/>
          <w:color w:val="000000" w:themeColor="text1"/>
          <w:sz w:val="24"/>
          <w:szCs w:val="24"/>
        </w:rPr>
        <w:t>vbnvcDPS</w:t>
      </w:r>
      <w:proofErr w:type="spellEnd"/>
      <w:r w:rsidRPr="00143B41">
        <w:rPr>
          <w:rFonts w:ascii="Times New Roman" w:hAnsi="Times New Roman" w:cs="Times New Roman"/>
          <w:color w:val="000000" w:themeColor="text1"/>
          <w:sz w:val="24"/>
          <w:szCs w:val="24"/>
        </w:rPr>
        <w:t xml:space="preserve"> and EPS are positively significant with market price per share at 5 percent level of significance.</w:t>
      </w:r>
    </w:p>
    <w:p w14:paraId="616EB9C2" w14:textId="77777777" w:rsidR="00DA743C" w:rsidRPr="00143B41" w:rsidRDefault="00DA743C">
      <w:pPr>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br w:type="page"/>
      </w:r>
    </w:p>
    <w:p w14:paraId="6FD93565"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lastRenderedPageBreak/>
        <w:t>Table 2.1: Meta Table Showing Review of Related Studies</w:t>
      </w:r>
    </w:p>
    <w:tbl>
      <w:tblPr>
        <w:tblStyle w:val="TableGrid"/>
        <w:tblW w:w="0" w:type="auto"/>
        <w:tblLook w:val="04A0" w:firstRow="1" w:lastRow="0" w:firstColumn="1" w:lastColumn="0" w:noHBand="0" w:noVBand="1"/>
      </w:tblPr>
      <w:tblGrid>
        <w:gridCol w:w="643"/>
        <w:gridCol w:w="2045"/>
        <w:gridCol w:w="2617"/>
        <w:gridCol w:w="3325"/>
      </w:tblGrid>
      <w:tr w:rsidR="000C013D" w:rsidRPr="00143B41" w14:paraId="53D25E37" w14:textId="77777777" w:rsidTr="00354635">
        <w:tc>
          <w:tcPr>
            <w:tcW w:w="643" w:type="dxa"/>
          </w:tcPr>
          <w:p w14:paraId="7AE24F6F"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S.N.</w:t>
            </w:r>
          </w:p>
        </w:tc>
        <w:tc>
          <w:tcPr>
            <w:tcW w:w="2045" w:type="dxa"/>
          </w:tcPr>
          <w:p w14:paraId="570E5D51"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Author(S)</w:t>
            </w:r>
          </w:p>
        </w:tc>
        <w:tc>
          <w:tcPr>
            <w:tcW w:w="2617" w:type="dxa"/>
          </w:tcPr>
          <w:p w14:paraId="5D1EE05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Objective</w:t>
            </w:r>
          </w:p>
        </w:tc>
        <w:tc>
          <w:tcPr>
            <w:tcW w:w="3325" w:type="dxa"/>
          </w:tcPr>
          <w:p w14:paraId="0491436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Major Findings</w:t>
            </w:r>
          </w:p>
        </w:tc>
      </w:tr>
      <w:tr w:rsidR="000C013D" w:rsidRPr="00143B41" w14:paraId="0BF47E3A" w14:textId="77777777" w:rsidTr="00354635">
        <w:tc>
          <w:tcPr>
            <w:tcW w:w="643" w:type="dxa"/>
          </w:tcPr>
          <w:p w14:paraId="4875417E"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color w:val="000000" w:themeColor="text1"/>
                <w:sz w:val="24"/>
                <w:szCs w:val="24"/>
              </w:rPr>
              <w:t>1</w:t>
            </w:r>
            <w:r w:rsidRPr="00143B41">
              <w:rPr>
                <w:rFonts w:ascii="Times New Roman" w:hAnsi="Times New Roman" w:cs="Times New Roman"/>
                <w:b/>
                <w:bCs/>
                <w:color w:val="000000" w:themeColor="text1"/>
                <w:sz w:val="24"/>
                <w:szCs w:val="24"/>
              </w:rPr>
              <w:t>.</w:t>
            </w:r>
          </w:p>
        </w:tc>
        <w:tc>
          <w:tcPr>
            <w:tcW w:w="2045" w:type="dxa"/>
          </w:tcPr>
          <w:p w14:paraId="555E4C9F"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Sharma (2011)</w:t>
            </w:r>
          </w:p>
        </w:tc>
        <w:tc>
          <w:tcPr>
            <w:tcW w:w="2617" w:type="dxa"/>
          </w:tcPr>
          <w:p w14:paraId="1DAE656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Is to study about the relationship between equity share price and explanatory variable such as: book value per share, dividend per share, earning per share, price earnings ratio.</w:t>
            </w:r>
          </w:p>
        </w:tc>
        <w:tc>
          <w:tcPr>
            <w:tcW w:w="3325" w:type="dxa"/>
          </w:tcPr>
          <w:p w14:paraId="4674DAA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results revealed that earning per share, dividend per share, and book value per share has significant impact on the market price of share. Furthermore, results of the study indicated that dividend per share and earnings per share being the strongest determinants of market price.</w:t>
            </w:r>
          </w:p>
        </w:tc>
      </w:tr>
      <w:tr w:rsidR="000C013D" w:rsidRPr="00143B41" w14:paraId="50AA5782" w14:textId="77777777" w:rsidTr="00354635">
        <w:tc>
          <w:tcPr>
            <w:tcW w:w="643" w:type="dxa"/>
          </w:tcPr>
          <w:p w14:paraId="3D9B36D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2.</w:t>
            </w:r>
          </w:p>
        </w:tc>
        <w:tc>
          <w:tcPr>
            <w:tcW w:w="2045" w:type="dxa"/>
          </w:tcPr>
          <w:p w14:paraId="0693795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Aurangzeb (2012)</w:t>
            </w:r>
          </w:p>
        </w:tc>
        <w:tc>
          <w:tcPr>
            <w:tcW w:w="2617" w:type="dxa"/>
          </w:tcPr>
          <w:p w14:paraId="62A226D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Is to study about the macroeconomic variables and stock index in 3 Asian countries.</w:t>
            </w:r>
          </w:p>
        </w:tc>
        <w:tc>
          <w:tcPr>
            <w:tcW w:w="3325" w:type="dxa"/>
          </w:tcPr>
          <w:p w14:paraId="01B9D198"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study indicated that the variable inflation is negatively but insignificantly related with stock prices.</w:t>
            </w:r>
          </w:p>
        </w:tc>
      </w:tr>
      <w:tr w:rsidR="000C013D" w:rsidRPr="00143B41" w14:paraId="3A7C6741" w14:textId="77777777" w:rsidTr="00354635">
        <w:tc>
          <w:tcPr>
            <w:tcW w:w="643" w:type="dxa"/>
          </w:tcPr>
          <w:p w14:paraId="31EC054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3.</w:t>
            </w:r>
          </w:p>
        </w:tc>
        <w:tc>
          <w:tcPr>
            <w:tcW w:w="2045" w:type="dxa"/>
          </w:tcPr>
          <w:p w14:paraId="4693204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Malhotra and Tandon (2013)</w:t>
            </w:r>
          </w:p>
        </w:tc>
        <w:tc>
          <w:tcPr>
            <w:tcW w:w="2617" w:type="dxa"/>
          </w:tcPr>
          <w:p w14:paraId="15491E9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Is to determine the factors that influence stock prices in the context of National Stock Exchange (NSE).</w:t>
            </w:r>
          </w:p>
        </w:tc>
        <w:tc>
          <w:tcPr>
            <w:tcW w:w="3325" w:type="dxa"/>
          </w:tcPr>
          <w:p w14:paraId="3126D9C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results indicated that firms book value, earning per share, and price-earnings ratio are having a significant positive association with firm’s stock price while dividend yield is </w:t>
            </w:r>
            <w:r w:rsidRPr="00143B41">
              <w:rPr>
                <w:rFonts w:ascii="Times New Roman" w:hAnsi="Times New Roman" w:cs="Times New Roman"/>
                <w:color w:val="000000" w:themeColor="text1"/>
                <w:sz w:val="24"/>
                <w:szCs w:val="24"/>
              </w:rPr>
              <w:lastRenderedPageBreak/>
              <w:t>having a significant inverse association with the market price of the firm’s stock.</w:t>
            </w:r>
          </w:p>
        </w:tc>
      </w:tr>
      <w:tr w:rsidR="000C013D" w:rsidRPr="00143B41" w14:paraId="26BA4374" w14:textId="77777777" w:rsidTr="00354635">
        <w:tc>
          <w:tcPr>
            <w:tcW w:w="643" w:type="dxa"/>
          </w:tcPr>
          <w:p w14:paraId="5191ED8C"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4.</w:t>
            </w:r>
          </w:p>
        </w:tc>
        <w:tc>
          <w:tcPr>
            <w:tcW w:w="2045" w:type="dxa"/>
          </w:tcPr>
          <w:p w14:paraId="6652F1E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Bhattarai (2014)</w:t>
            </w:r>
          </w:p>
        </w:tc>
        <w:tc>
          <w:tcPr>
            <w:tcW w:w="2617" w:type="dxa"/>
          </w:tcPr>
          <w:p w14:paraId="1716B67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Is to study determinants of share prices of commercial banks, listed on NEPSE over the period of 2006 to 2014.</w:t>
            </w:r>
          </w:p>
        </w:tc>
        <w:tc>
          <w:tcPr>
            <w:tcW w:w="3325" w:type="dxa"/>
          </w:tcPr>
          <w:p w14:paraId="5D627F4B"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result indicated revealed that earning per share and price earnings ratio has significant positive impact over the stock prices of commercial banks. The study showed that dividend yield, earning per share and price earnings ratio are most influencing factors to determine share price in Nepalese commercial banks.</w:t>
            </w:r>
          </w:p>
        </w:tc>
      </w:tr>
      <w:tr w:rsidR="000C013D" w:rsidRPr="00143B41" w14:paraId="654E8EAD" w14:textId="77777777" w:rsidTr="00354635">
        <w:tc>
          <w:tcPr>
            <w:tcW w:w="643" w:type="dxa"/>
          </w:tcPr>
          <w:p w14:paraId="52BA7F7F"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5.</w:t>
            </w:r>
          </w:p>
        </w:tc>
        <w:tc>
          <w:tcPr>
            <w:tcW w:w="2045" w:type="dxa"/>
          </w:tcPr>
          <w:p w14:paraId="57BA1A7B"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t>Almumani</w:t>
            </w:r>
            <w:proofErr w:type="spellEnd"/>
            <w:r w:rsidRPr="00143B41">
              <w:rPr>
                <w:rFonts w:ascii="Times New Roman" w:hAnsi="Times New Roman" w:cs="Times New Roman"/>
                <w:color w:val="000000" w:themeColor="text1"/>
                <w:sz w:val="24"/>
                <w:szCs w:val="24"/>
              </w:rPr>
              <w:t xml:space="preserve"> (2014)</w:t>
            </w:r>
          </w:p>
        </w:tc>
        <w:tc>
          <w:tcPr>
            <w:tcW w:w="2617" w:type="dxa"/>
          </w:tcPr>
          <w:p w14:paraId="1996B761"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Is to identify the quantitative factors that influences share price for the listed banks in Amman Stock exchange over the period of 2005 to 2011.</w:t>
            </w:r>
          </w:p>
        </w:tc>
        <w:tc>
          <w:tcPr>
            <w:tcW w:w="3325" w:type="dxa"/>
          </w:tcPr>
          <w:p w14:paraId="4605BDC8"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study found that, there is significant positive relationship between earning per share and market price of share of listed commercial banks of Jordan.</w:t>
            </w:r>
          </w:p>
        </w:tc>
      </w:tr>
      <w:tr w:rsidR="000C013D" w:rsidRPr="00143B41" w14:paraId="5F4A75A0" w14:textId="77777777" w:rsidTr="00354635">
        <w:tc>
          <w:tcPr>
            <w:tcW w:w="643" w:type="dxa"/>
          </w:tcPr>
          <w:p w14:paraId="11C467B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6.</w:t>
            </w:r>
          </w:p>
        </w:tc>
        <w:tc>
          <w:tcPr>
            <w:tcW w:w="2045" w:type="dxa"/>
          </w:tcPr>
          <w:p w14:paraId="36CB2A99"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Pradhan (2016)</w:t>
            </w:r>
          </w:p>
        </w:tc>
        <w:tc>
          <w:tcPr>
            <w:tcW w:w="2617" w:type="dxa"/>
          </w:tcPr>
          <w:p w14:paraId="2B2E10FE"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Is to examined the relationship between bank specific and </w:t>
            </w:r>
            <w:r w:rsidRPr="00143B41">
              <w:rPr>
                <w:rFonts w:ascii="Times New Roman" w:hAnsi="Times New Roman" w:cs="Times New Roman"/>
                <w:color w:val="000000" w:themeColor="text1"/>
                <w:sz w:val="24"/>
                <w:szCs w:val="24"/>
              </w:rPr>
              <w:lastRenderedPageBreak/>
              <w:t xml:space="preserve">macroeconomic variables and MPS in Nepal’s banking sector.  </w:t>
            </w:r>
          </w:p>
        </w:tc>
        <w:tc>
          <w:tcPr>
            <w:tcW w:w="3325" w:type="dxa"/>
          </w:tcPr>
          <w:p w14:paraId="214E98D9"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 xml:space="preserve">The Variables like earning per share, price earnings ratio, book value per share and return on </w:t>
            </w:r>
            <w:r w:rsidRPr="00143B41">
              <w:rPr>
                <w:rFonts w:ascii="Times New Roman" w:hAnsi="Times New Roman" w:cs="Times New Roman"/>
                <w:color w:val="000000" w:themeColor="text1"/>
                <w:sz w:val="24"/>
                <w:szCs w:val="24"/>
              </w:rPr>
              <w:lastRenderedPageBreak/>
              <w:t>assets are very weak effect in determining market price per share.</w:t>
            </w:r>
          </w:p>
        </w:tc>
      </w:tr>
      <w:tr w:rsidR="000C013D" w:rsidRPr="00143B41" w14:paraId="38CE8080" w14:textId="77777777" w:rsidTr="00354635">
        <w:tc>
          <w:tcPr>
            <w:tcW w:w="643" w:type="dxa"/>
          </w:tcPr>
          <w:p w14:paraId="468F6F3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7.</w:t>
            </w:r>
          </w:p>
        </w:tc>
        <w:tc>
          <w:tcPr>
            <w:tcW w:w="2045" w:type="dxa"/>
          </w:tcPr>
          <w:p w14:paraId="07A96C2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Lama (2016)</w:t>
            </w:r>
          </w:p>
        </w:tc>
        <w:tc>
          <w:tcPr>
            <w:tcW w:w="2617" w:type="dxa"/>
          </w:tcPr>
          <w:p w14:paraId="09A6638B"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Is to examined the effect of firm specific and macroeconomics variables on stock price of Nepalese commercial banks.</w:t>
            </w:r>
          </w:p>
        </w:tc>
        <w:tc>
          <w:tcPr>
            <w:tcW w:w="3325" w:type="dxa"/>
          </w:tcPr>
          <w:p w14:paraId="4F45836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results show that there is positive relationship of market price per share with size, earnings per share, dividend per share, return on assets, money supply, inflation and gross domestic product.</w:t>
            </w:r>
          </w:p>
        </w:tc>
      </w:tr>
      <w:tr w:rsidR="000C013D" w:rsidRPr="00143B41" w14:paraId="21EC07AD" w14:textId="77777777" w:rsidTr="00354635">
        <w:tc>
          <w:tcPr>
            <w:tcW w:w="643" w:type="dxa"/>
          </w:tcPr>
          <w:p w14:paraId="65247AE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8.</w:t>
            </w:r>
          </w:p>
        </w:tc>
        <w:tc>
          <w:tcPr>
            <w:tcW w:w="2045" w:type="dxa"/>
          </w:tcPr>
          <w:p w14:paraId="438CBA6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Pradhan (2017)</w:t>
            </w:r>
          </w:p>
        </w:tc>
        <w:tc>
          <w:tcPr>
            <w:tcW w:w="2617" w:type="dxa"/>
          </w:tcPr>
          <w:p w14:paraId="08D8C9C2"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Is to study the relationship between bank specific variables and macroeconomic variables with stock prices of Nepalese commercial banks.</w:t>
            </w:r>
          </w:p>
        </w:tc>
        <w:tc>
          <w:tcPr>
            <w:tcW w:w="3325" w:type="dxa"/>
          </w:tcPr>
          <w:p w14:paraId="7FC0C90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results showed that dividend per share, return on assets, earning per share are positively related to the stock prices. However, net profit margin is negatively related with stock prices and dividend per share and earning per share are positively related with stock prices.</w:t>
            </w:r>
          </w:p>
        </w:tc>
      </w:tr>
    </w:tbl>
    <w:p w14:paraId="76EF494B"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4"/>
          <w:szCs w:val="24"/>
        </w:rPr>
      </w:pPr>
    </w:p>
    <w:p w14:paraId="1D218AB7" w14:textId="77777777" w:rsidR="00853817" w:rsidRDefault="00853817" w:rsidP="00444603">
      <w:pPr>
        <w:spacing w:before="240" w:after="240" w:line="384" w:lineRule="auto"/>
        <w:jc w:val="both"/>
        <w:rPr>
          <w:rFonts w:ascii="Times New Roman" w:hAnsi="Times New Roman" w:cs="Times New Roman"/>
          <w:b/>
          <w:bCs/>
          <w:color w:val="000000" w:themeColor="text1"/>
          <w:sz w:val="24"/>
          <w:szCs w:val="24"/>
        </w:rPr>
      </w:pPr>
    </w:p>
    <w:p w14:paraId="095BFA3A" w14:textId="77777777" w:rsidR="00853817" w:rsidRDefault="00853817" w:rsidP="00444603">
      <w:pPr>
        <w:spacing w:before="240" w:after="240" w:line="384" w:lineRule="auto"/>
        <w:jc w:val="both"/>
        <w:rPr>
          <w:rFonts w:ascii="Times New Roman" w:hAnsi="Times New Roman" w:cs="Times New Roman"/>
          <w:b/>
          <w:bCs/>
          <w:color w:val="000000" w:themeColor="text1"/>
          <w:sz w:val="24"/>
          <w:szCs w:val="24"/>
        </w:rPr>
      </w:pPr>
    </w:p>
    <w:p w14:paraId="54DBAD18" w14:textId="2AD35B22" w:rsidR="000C013D" w:rsidRPr="00C37A15" w:rsidRDefault="000C013D" w:rsidP="00444603">
      <w:pPr>
        <w:spacing w:before="240" w:after="240" w:line="384" w:lineRule="auto"/>
        <w:jc w:val="both"/>
        <w:rPr>
          <w:rFonts w:ascii="Times New Roman" w:hAnsi="Times New Roman" w:cs="Times New Roman"/>
          <w:b/>
          <w:bCs/>
          <w:color w:val="000000" w:themeColor="text1"/>
          <w:sz w:val="28"/>
          <w:szCs w:val="28"/>
        </w:rPr>
      </w:pPr>
      <w:r w:rsidRPr="00C37A15">
        <w:rPr>
          <w:rFonts w:ascii="Times New Roman" w:hAnsi="Times New Roman" w:cs="Times New Roman"/>
          <w:b/>
          <w:bCs/>
          <w:color w:val="000000" w:themeColor="text1"/>
          <w:sz w:val="28"/>
          <w:szCs w:val="28"/>
        </w:rPr>
        <w:lastRenderedPageBreak/>
        <w:t>2.3 Research Gap</w:t>
      </w:r>
    </w:p>
    <w:p w14:paraId="0A8C4C7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Thus, from the review of literature some are studying the bank specific factors and some are taken the macroeconomic variables as factor influencing stock prices. Some researcher has taken specific relationship between the bank specific variables and stock prices and some has taken specific relationship between the macroeconomic variables and their specific relation. Despite extensive theorizing and empirical research into Factors of stock prices, previous studies were based on the different sample and procedure and the result which calling for further empirical researches. One of the reasons could be the findings of those researches which are often mixed and inconsistent. Hence, the study is </w:t>
      </w:r>
      <w:r w:rsidR="00C72AE6" w:rsidRPr="00143B41">
        <w:rPr>
          <w:rFonts w:ascii="Times New Roman" w:hAnsi="Times New Roman" w:cs="Times New Roman"/>
          <w:color w:val="000000" w:themeColor="text1"/>
          <w:sz w:val="24"/>
          <w:szCs w:val="24"/>
        </w:rPr>
        <w:t>continuing</w:t>
      </w:r>
      <w:r w:rsidRPr="00143B41">
        <w:rPr>
          <w:rFonts w:ascii="Times New Roman" w:hAnsi="Times New Roman" w:cs="Times New Roman"/>
          <w:color w:val="000000" w:themeColor="text1"/>
          <w:sz w:val="24"/>
          <w:szCs w:val="24"/>
        </w:rPr>
        <w:t xml:space="preserve"> of existing research, however, the sample data period for the study and variable taken for the study is different than that of previous ones. Moreover, the relationship of bank specific variables with stock prices is studied together in the study.</w:t>
      </w:r>
    </w:p>
    <w:p w14:paraId="435DFD12"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07C269D8"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4"/>
          <w:szCs w:val="24"/>
        </w:rPr>
      </w:pPr>
    </w:p>
    <w:p w14:paraId="48632FD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202E9FE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37B80F45" w14:textId="77777777" w:rsidR="00DA743C" w:rsidRPr="00143B41" w:rsidRDefault="00DA743C">
      <w:pP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br w:type="page"/>
      </w:r>
    </w:p>
    <w:p w14:paraId="2B2E9B11" w14:textId="77777777" w:rsidR="000C013D" w:rsidRPr="00143B41" w:rsidRDefault="000C013D" w:rsidP="00DA743C">
      <w:pPr>
        <w:spacing w:before="240" w:after="240" w:line="384" w:lineRule="auto"/>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lastRenderedPageBreak/>
        <w:t>CHAPTER- III</w:t>
      </w:r>
    </w:p>
    <w:p w14:paraId="35FF9C37" w14:textId="77777777" w:rsidR="000C013D" w:rsidRPr="00143B41" w:rsidRDefault="000C013D" w:rsidP="00DA743C">
      <w:pPr>
        <w:spacing w:before="240" w:after="240" w:line="384" w:lineRule="auto"/>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RESEARCH METHODOLOGY</w:t>
      </w:r>
    </w:p>
    <w:p w14:paraId="2A18B6EF"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Research methodology is a systematic investigation and study of materials sources to establish facts and reach new conclusion. The purpose of research methodology is to explain the readers how the research is conducted. Research methodology is a way of reaching towards the solution of a problem through a planned and systematic dealing with the collection, analysis and interpretation of facts and figures. This explains the various steps, techniques and tools that are generally adopted by the researcher in studying the research problem along with the logic behind them. Research methodology sets out overall plan associated with a study. It provides a basic framework on which the study is based. Before presenting the analysis and interpretation of data, it is necessary that research methodology be described first. In the absence of methodology, it is likely that the conclusions drawn may be misunderstood. This chapter, therefore, explains the methodology employed in this study. In this chapter, the context of the study is presented, which provides the background against which the findings of the study were assessed form which reliability and dependable conclusions were made. Thus, this chapter provides a description of research plan and design, nature and sources of data, selection of enterprises, method of analysis and empirical models for the study.</w:t>
      </w:r>
    </w:p>
    <w:p w14:paraId="112EB735" w14:textId="77777777" w:rsidR="000C013D" w:rsidRPr="00C37A15" w:rsidRDefault="000C013D" w:rsidP="00444603">
      <w:pPr>
        <w:spacing w:before="240" w:after="240" w:line="384" w:lineRule="auto"/>
        <w:jc w:val="both"/>
        <w:rPr>
          <w:rFonts w:ascii="Times New Roman" w:hAnsi="Times New Roman" w:cs="Times New Roman"/>
          <w:b/>
          <w:bCs/>
          <w:color w:val="000000" w:themeColor="text1"/>
          <w:sz w:val="28"/>
          <w:szCs w:val="28"/>
        </w:rPr>
      </w:pPr>
      <w:r w:rsidRPr="00C37A15">
        <w:rPr>
          <w:rFonts w:ascii="Times New Roman" w:hAnsi="Times New Roman" w:cs="Times New Roman"/>
          <w:b/>
          <w:bCs/>
          <w:color w:val="000000" w:themeColor="text1"/>
          <w:sz w:val="28"/>
          <w:szCs w:val="28"/>
        </w:rPr>
        <w:t>3.1 Research Design</w:t>
      </w:r>
    </w:p>
    <w:p w14:paraId="48373190"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study has employed descriptive and causal comparative research designs. The descriptive research design has been adopted for fact-finding and adequate information gathering about the fundamental issues associated with factors affecting the share price of Nepalese commercial banks. It explains the real and actual condition, and facts. </w:t>
      </w:r>
    </w:p>
    <w:p w14:paraId="08753BD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The study also used causal comparative research design to establish the factors affecting the share price of Nepalese commercial banks. More specifically, the study analyzes the Earning per share, Dividend per share, Price to earnings ratio, Book value per share and return on assets.</w:t>
      </w:r>
    </w:p>
    <w:p w14:paraId="1484F7AE" w14:textId="77777777" w:rsidR="000C013D" w:rsidRPr="00C37A15" w:rsidRDefault="000C013D" w:rsidP="00444603">
      <w:pPr>
        <w:spacing w:before="240" w:after="240" w:line="384" w:lineRule="auto"/>
        <w:jc w:val="both"/>
        <w:rPr>
          <w:rFonts w:ascii="Times New Roman" w:hAnsi="Times New Roman" w:cs="Times New Roman"/>
          <w:b/>
          <w:bCs/>
          <w:color w:val="000000" w:themeColor="text1"/>
          <w:sz w:val="28"/>
          <w:szCs w:val="28"/>
        </w:rPr>
      </w:pPr>
      <w:r w:rsidRPr="00C37A15">
        <w:rPr>
          <w:rFonts w:ascii="Times New Roman" w:hAnsi="Times New Roman" w:cs="Times New Roman"/>
          <w:b/>
          <w:bCs/>
          <w:color w:val="000000" w:themeColor="text1"/>
          <w:sz w:val="28"/>
          <w:szCs w:val="28"/>
        </w:rPr>
        <w:t xml:space="preserve">3.2 </w:t>
      </w:r>
      <w:r w:rsidRPr="00C37A15">
        <w:rPr>
          <w:rFonts w:ascii="Times New Roman" w:hAnsi="Times New Roman" w:cs="Times New Roman"/>
          <w:b/>
          <w:color w:val="000000" w:themeColor="text1"/>
          <w:sz w:val="28"/>
          <w:szCs w:val="28"/>
        </w:rPr>
        <w:t>Sampling Procedure</w:t>
      </w:r>
    </w:p>
    <w:p w14:paraId="4C1E828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In order to examine the influencing factors of stock price this study contains a sample of 5 commercial banks of Nepal selected by convenient sampling method, whose respective data are collected for the time period of 2068/69 to 2075/76.</w:t>
      </w:r>
    </w:p>
    <w:p w14:paraId="4981AD30" w14:textId="77777777" w:rsidR="000C013D" w:rsidRPr="00143B41" w:rsidRDefault="000C013D" w:rsidP="00444603">
      <w:pPr>
        <w:numPr>
          <w:ilvl w:val="0"/>
          <w:numId w:val="5"/>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Global IME Bank Limited.</w:t>
      </w:r>
    </w:p>
    <w:p w14:paraId="0EDDDCDD" w14:textId="77777777" w:rsidR="000C013D" w:rsidRPr="00143B41" w:rsidRDefault="000C013D" w:rsidP="00444603">
      <w:pPr>
        <w:numPr>
          <w:ilvl w:val="0"/>
          <w:numId w:val="5"/>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Himalayan Bank Limited.</w:t>
      </w:r>
    </w:p>
    <w:p w14:paraId="706EB644" w14:textId="77777777" w:rsidR="000C013D" w:rsidRPr="00143B41" w:rsidRDefault="000C013D" w:rsidP="00444603">
      <w:pPr>
        <w:numPr>
          <w:ilvl w:val="0"/>
          <w:numId w:val="5"/>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Kumari Bank Limited.</w:t>
      </w:r>
    </w:p>
    <w:p w14:paraId="62534071" w14:textId="77777777" w:rsidR="000C013D" w:rsidRPr="00143B41" w:rsidRDefault="000C013D" w:rsidP="00444603">
      <w:pPr>
        <w:numPr>
          <w:ilvl w:val="0"/>
          <w:numId w:val="5"/>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Nepal Investment Bank Limited.</w:t>
      </w:r>
    </w:p>
    <w:p w14:paraId="2EDC2510" w14:textId="77777777" w:rsidR="000C013D" w:rsidRPr="00143B41" w:rsidRDefault="000C013D" w:rsidP="00444603">
      <w:pPr>
        <w:numPr>
          <w:ilvl w:val="0"/>
          <w:numId w:val="5"/>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NMB Bank Limited.</w:t>
      </w:r>
    </w:p>
    <w:p w14:paraId="4E86B3DF" w14:textId="77777777" w:rsidR="000C013D" w:rsidRPr="00C37A15" w:rsidRDefault="000C013D" w:rsidP="00444603">
      <w:pPr>
        <w:spacing w:before="240" w:after="240" w:line="384" w:lineRule="auto"/>
        <w:jc w:val="both"/>
        <w:rPr>
          <w:rFonts w:ascii="Times New Roman" w:hAnsi="Times New Roman" w:cs="Times New Roman"/>
          <w:b/>
          <w:bCs/>
          <w:color w:val="000000" w:themeColor="text1"/>
          <w:sz w:val="28"/>
          <w:szCs w:val="28"/>
        </w:rPr>
      </w:pPr>
      <w:r w:rsidRPr="00C37A15">
        <w:rPr>
          <w:rFonts w:ascii="Times New Roman" w:hAnsi="Times New Roman" w:cs="Times New Roman"/>
          <w:b/>
          <w:bCs/>
          <w:color w:val="000000" w:themeColor="text1"/>
          <w:sz w:val="28"/>
          <w:szCs w:val="28"/>
        </w:rPr>
        <w:t>3.3 Nature and Sources of Data</w:t>
      </w:r>
    </w:p>
    <w:p w14:paraId="20AF62C8"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study is based on the secondary data which are gathered for 5 commercial banks in Nepal for the period of 8 years from 2068/69 to 2075/76. The variables used in the study are Earnings per share, Dividend per share, Price to Earnings Ratio, Book value per share, Return on assets and stock price. The secondary data and information have been collected form Banking and Financial Statistics published by Nepal </w:t>
      </w:r>
      <w:proofErr w:type="spellStart"/>
      <w:r w:rsidRPr="00143B41">
        <w:rPr>
          <w:rFonts w:ascii="Times New Roman" w:hAnsi="Times New Roman" w:cs="Times New Roman"/>
          <w:color w:val="000000" w:themeColor="text1"/>
          <w:sz w:val="24"/>
          <w:szCs w:val="24"/>
        </w:rPr>
        <w:t>Rastra</w:t>
      </w:r>
      <w:proofErr w:type="spellEnd"/>
      <w:r w:rsidRPr="00143B41">
        <w:rPr>
          <w:rFonts w:ascii="Times New Roman" w:hAnsi="Times New Roman" w:cs="Times New Roman"/>
          <w:color w:val="000000" w:themeColor="text1"/>
          <w:sz w:val="24"/>
          <w:szCs w:val="24"/>
        </w:rPr>
        <w:t xml:space="preserve"> Bank, respective site of commercial banks of Nepal, Annual general report of Nepal Exchange Trading Ltd. &amp; Economic Survey published by Ministry of Finance, and annual reports of selected commercial banks.</w:t>
      </w:r>
    </w:p>
    <w:p w14:paraId="64ED3183" w14:textId="77777777" w:rsidR="00853817" w:rsidRDefault="00853817" w:rsidP="00444603">
      <w:pPr>
        <w:spacing w:before="240" w:after="240" w:line="384" w:lineRule="auto"/>
        <w:jc w:val="both"/>
        <w:rPr>
          <w:rFonts w:ascii="Times New Roman" w:hAnsi="Times New Roman" w:cs="Times New Roman"/>
          <w:b/>
          <w:bCs/>
          <w:color w:val="000000" w:themeColor="text1"/>
          <w:sz w:val="24"/>
          <w:szCs w:val="24"/>
        </w:rPr>
      </w:pPr>
    </w:p>
    <w:p w14:paraId="371DC163" w14:textId="77777777" w:rsidR="00853817" w:rsidRDefault="00853817" w:rsidP="00444603">
      <w:pPr>
        <w:spacing w:before="240" w:after="240" w:line="384" w:lineRule="auto"/>
        <w:jc w:val="both"/>
        <w:rPr>
          <w:rFonts w:ascii="Times New Roman" w:hAnsi="Times New Roman" w:cs="Times New Roman"/>
          <w:b/>
          <w:bCs/>
          <w:color w:val="000000" w:themeColor="text1"/>
          <w:sz w:val="24"/>
          <w:szCs w:val="24"/>
        </w:rPr>
      </w:pPr>
    </w:p>
    <w:p w14:paraId="036D544C" w14:textId="7A9166B2" w:rsidR="000C013D" w:rsidRPr="00C37A15" w:rsidRDefault="000C013D" w:rsidP="00444603">
      <w:pPr>
        <w:spacing w:before="240" w:after="240" w:line="384" w:lineRule="auto"/>
        <w:jc w:val="both"/>
        <w:rPr>
          <w:rFonts w:ascii="Times New Roman" w:hAnsi="Times New Roman" w:cs="Times New Roman"/>
          <w:b/>
          <w:bCs/>
          <w:color w:val="000000" w:themeColor="text1"/>
          <w:sz w:val="28"/>
          <w:szCs w:val="28"/>
        </w:rPr>
      </w:pPr>
      <w:r w:rsidRPr="00C37A15">
        <w:rPr>
          <w:rFonts w:ascii="Times New Roman" w:hAnsi="Times New Roman" w:cs="Times New Roman"/>
          <w:b/>
          <w:bCs/>
          <w:color w:val="000000" w:themeColor="text1"/>
          <w:sz w:val="28"/>
          <w:szCs w:val="28"/>
        </w:rPr>
        <w:t>3.4 Method of Data Analysis</w:t>
      </w:r>
    </w:p>
    <w:p w14:paraId="14479F95"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This section deals with statistical and econometric models used for the purpose of analysis of secondary data. Descriptive, co-relation and regression methods of analysis are used in the study. The descriptive statistics contains mean, standard deviation, minimum and maximum values of variables which used to explain the characteristics of sample firms. The correlation analysis is used to measure the direction and magnitude of relationship between dependent and independent variables. The regression analysis is used to find out the influence of independent variable over dependent variable solely and combined with other variables. It explains the different statistical tests of significance for validation of model like t-test, F-test, detection of and linear regression analysis. All models are tested for individual effects by running F-test using statistical package for social science (SPSS 23). Details analysis of models and statistical test of significance have been dealt in the following sections.     </w:t>
      </w:r>
    </w:p>
    <w:p w14:paraId="1AC1E4E8" w14:textId="77777777" w:rsidR="000C013D" w:rsidRPr="00C37A15" w:rsidRDefault="000C013D" w:rsidP="00444603">
      <w:pPr>
        <w:spacing w:before="240" w:after="240" w:line="384" w:lineRule="auto"/>
        <w:jc w:val="both"/>
        <w:rPr>
          <w:rFonts w:ascii="Times New Roman" w:hAnsi="Times New Roman" w:cs="Times New Roman"/>
          <w:b/>
          <w:bCs/>
          <w:color w:val="000000" w:themeColor="text1"/>
          <w:sz w:val="28"/>
          <w:szCs w:val="28"/>
        </w:rPr>
      </w:pPr>
      <w:r w:rsidRPr="00C37A15">
        <w:rPr>
          <w:rFonts w:ascii="Times New Roman" w:hAnsi="Times New Roman" w:cs="Times New Roman"/>
          <w:b/>
          <w:bCs/>
          <w:color w:val="000000" w:themeColor="text1"/>
          <w:sz w:val="28"/>
          <w:szCs w:val="28"/>
        </w:rPr>
        <w:t>3.4.1 Model Specification</w:t>
      </w:r>
    </w:p>
    <w:p w14:paraId="1B77609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econometric models employed in this study tries to analyze the relationship between dependent variables and independent variables. The following regression model is used in this study to examine the factors affecting on stock price in selected Nepalese commercial banks. Thus, the following model equation is designed to test the hypothesis. From the conceptual framework, the function of dependent variable </w:t>
      </w:r>
      <w:proofErr w:type="gramStart"/>
      <w:r w:rsidRPr="00143B41">
        <w:rPr>
          <w:rFonts w:ascii="Times New Roman" w:hAnsi="Times New Roman" w:cs="Times New Roman"/>
          <w:color w:val="000000" w:themeColor="text1"/>
          <w:sz w:val="24"/>
          <w:szCs w:val="24"/>
        </w:rPr>
        <w:t>i.e.</w:t>
      </w:r>
      <w:proofErr w:type="gramEnd"/>
      <w:r w:rsidRPr="00143B41">
        <w:rPr>
          <w:rFonts w:ascii="Times New Roman" w:hAnsi="Times New Roman" w:cs="Times New Roman"/>
          <w:color w:val="000000" w:themeColor="text1"/>
          <w:sz w:val="24"/>
          <w:szCs w:val="24"/>
        </w:rPr>
        <w:t xml:space="preserve"> stock price takes the following form:</w:t>
      </w:r>
    </w:p>
    <w:p w14:paraId="4DC13F32"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 xml:space="preserve">Model </w:t>
      </w:r>
    </w:p>
    <w:p w14:paraId="09A23FCD" w14:textId="2626BBFA"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lastRenderedPageBreak/>
        <w:t>MPS = α+</w:t>
      </w:r>
      <w:bookmarkStart w:id="1" w:name="_Hlk53067845"/>
      <w:r w:rsidRPr="00143B41">
        <w:rPr>
          <w:rFonts w:ascii="Times New Roman" w:hAnsi="Times New Roman" w:cs="Times New Roman"/>
          <w:iCs/>
          <w:color w:val="000000" w:themeColor="text1"/>
          <w:sz w:val="24"/>
          <w:szCs w:val="24"/>
        </w:rPr>
        <w:t>β1</w:t>
      </w:r>
      <w:bookmarkEnd w:id="1"/>
      <w:r w:rsidRPr="00143B41">
        <w:rPr>
          <w:rFonts w:ascii="Times New Roman" w:hAnsi="Times New Roman" w:cs="Times New Roman"/>
          <w:iCs/>
          <w:color w:val="000000" w:themeColor="text1"/>
          <w:sz w:val="24"/>
          <w:szCs w:val="24"/>
        </w:rPr>
        <w:t xml:space="preserve">EPS+β2DPS + β3P/E + β4BVPS + β5 ROA + </w:t>
      </w:r>
      <w:proofErr w:type="spellStart"/>
      <w:proofErr w:type="gramStart"/>
      <w:r w:rsidRPr="00143B41">
        <w:rPr>
          <w:rFonts w:ascii="Times New Roman" w:hAnsi="Times New Roman" w:cs="Times New Roman"/>
          <w:iCs/>
          <w:color w:val="000000" w:themeColor="text1"/>
          <w:sz w:val="24"/>
          <w:szCs w:val="24"/>
        </w:rPr>
        <w:t>ei</w:t>
      </w:r>
      <w:proofErr w:type="spellEnd"/>
      <w:r w:rsidRPr="00143B41">
        <w:rPr>
          <w:rFonts w:ascii="Times New Roman" w:hAnsi="Times New Roman" w:cs="Times New Roman"/>
          <w:iCs/>
          <w:color w:val="000000" w:themeColor="text1"/>
          <w:sz w:val="24"/>
          <w:szCs w:val="24"/>
        </w:rPr>
        <w:t xml:space="preserve">  …</w:t>
      </w:r>
      <w:proofErr w:type="gramEnd"/>
      <w:r w:rsidRPr="00143B41">
        <w:rPr>
          <w:rFonts w:ascii="Times New Roman" w:hAnsi="Times New Roman" w:cs="Times New Roman"/>
          <w:iCs/>
          <w:color w:val="000000" w:themeColor="text1"/>
          <w:sz w:val="24"/>
          <w:szCs w:val="24"/>
        </w:rPr>
        <w:t>……………………(1)</w:t>
      </w:r>
    </w:p>
    <w:p w14:paraId="30765EC2"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Variables and their measurement</w:t>
      </w:r>
    </w:p>
    <w:p w14:paraId="481E16A9"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The description of dependent and independent variables used in the study and their definition and measurement are shown in table 3.2.</w:t>
      </w:r>
    </w:p>
    <w:p w14:paraId="45583799" w14:textId="77777777" w:rsidR="00C72AE6" w:rsidRPr="00143B41" w:rsidRDefault="00C72AE6" w:rsidP="00444603">
      <w:pPr>
        <w:spacing w:before="240" w:after="240" w:line="384" w:lineRule="auto"/>
        <w:jc w:val="both"/>
        <w:rPr>
          <w:rFonts w:ascii="Times New Roman" w:hAnsi="Times New Roman" w:cs="Times New Roman"/>
          <w:b/>
          <w:bCs/>
          <w:iCs/>
          <w:color w:val="000000" w:themeColor="text1"/>
          <w:sz w:val="24"/>
          <w:szCs w:val="24"/>
        </w:rPr>
      </w:pPr>
    </w:p>
    <w:p w14:paraId="6459B921" w14:textId="77777777" w:rsidR="00C72AE6" w:rsidRPr="00143B41" w:rsidRDefault="00C72AE6" w:rsidP="00444603">
      <w:pPr>
        <w:spacing w:before="240" w:after="240" w:line="384" w:lineRule="auto"/>
        <w:jc w:val="both"/>
        <w:rPr>
          <w:rFonts w:ascii="Times New Roman" w:hAnsi="Times New Roman" w:cs="Times New Roman"/>
          <w:b/>
          <w:bCs/>
          <w:iCs/>
          <w:color w:val="000000" w:themeColor="text1"/>
          <w:sz w:val="24"/>
          <w:szCs w:val="24"/>
        </w:rPr>
      </w:pPr>
    </w:p>
    <w:p w14:paraId="61200AF1"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Table 3.2: Description of variables</w:t>
      </w:r>
    </w:p>
    <w:tbl>
      <w:tblPr>
        <w:tblStyle w:val="TableGrid"/>
        <w:tblW w:w="0" w:type="auto"/>
        <w:tblLook w:val="04A0" w:firstRow="1" w:lastRow="0" w:firstColumn="1" w:lastColumn="0" w:noHBand="0" w:noVBand="1"/>
      </w:tblPr>
      <w:tblGrid>
        <w:gridCol w:w="643"/>
        <w:gridCol w:w="1259"/>
        <w:gridCol w:w="2053"/>
        <w:gridCol w:w="4675"/>
      </w:tblGrid>
      <w:tr w:rsidR="000C013D" w:rsidRPr="00143B41" w14:paraId="5A9DB1A3" w14:textId="77777777" w:rsidTr="00354635">
        <w:tc>
          <w:tcPr>
            <w:tcW w:w="643" w:type="dxa"/>
          </w:tcPr>
          <w:p w14:paraId="2550A53B"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S.N.</w:t>
            </w:r>
          </w:p>
        </w:tc>
        <w:tc>
          <w:tcPr>
            <w:tcW w:w="1259" w:type="dxa"/>
          </w:tcPr>
          <w:p w14:paraId="21DF8E92"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Variables</w:t>
            </w:r>
          </w:p>
        </w:tc>
        <w:tc>
          <w:tcPr>
            <w:tcW w:w="2053" w:type="dxa"/>
          </w:tcPr>
          <w:p w14:paraId="186D2B1E"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Description</w:t>
            </w:r>
          </w:p>
        </w:tc>
        <w:tc>
          <w:tcPr>
            <w:tcW w:w="4675" w:type="dxa"/>
          </w:tcPr>
          <w:p w14:paraId="2F1BDA97"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Measurement</w:t>
            </w:r>
          </w:p>
        </w:tc>
      </w:tr>
      <w:tr w:rsidR="000C013D" w:rsidRPr="00143B41" w14:paraId="37C73783" w14:textId="77777777" w:rsidTr="00354635">
        <w:tc>
          <w:tcPr>
            <w:tcW w:w="643" w:type="dxa"/>
          </w:tcPr>
          <w:p w14:paraId="6EB4B1CC"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1</w:t>
            </w:r>
          </w:p>
        </w:tc>
        <w:tc>
          <w:tcPr>
            <w:tcW w:w="1259" w:type="dxa"/>
          </w:tcPr>
          <w:p w14:paraId="2515DB6B"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SP</w:t>
            </w:r>
          </w:p>
        </w:tc>
        <w:tc>
          <w:tcPr>
            <w:tcW w:w="2053" w:type="dxa"/>
          </w:tcPr>
          <w:p w14:paraId="528F5889"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Share Price</w:t>
            </w:r>
          </w:p>
        </w:tc>
        <w:tc>
          <w:tcPr>
            <w:tcW w:w="4675" w:type="dxa"/>
          </w:tcPr>
          <w:p w14:paraId="6044503E"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Total share capital divided by number of common share outstanding.</w:t>
            </w:r>
          </w:p>
        </w:tc>
      </w:tr>
      <w:tr w:rsidR="000C013D" w:rsidRPr="00143B41" w14:paraId="4E7F1F10" w14:textId="77777777" w:rsidTr="00354635">
        <w:tc>
          <w:tcPr>
            <w:tcW w:w="643" w:type="dxa"/>
          </w:tcPr>
          <w:p w14:paraId="70A96006"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2</w:t>
            </w:r>
          </w:p>
        </w:tc>
        <w:tc>
          <w:tcPr>
            <w:tcW w:w="1259" w:type="dxa"/>
          </w:tcPr>
          <w:p w14:paraId="2CD5B24D"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EPS</w:t>
            </w:r>
          </w:p>
        </w:tc>
        <w:tc>
          <w:tcPr>
            <w:tcW w:w="2053" w:type="dxa"/>
          </w:tcPr>
          <w:p w14:paraId="1D261203"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Earnings per share</w:t>
            </w:r>
          </w:p>
        </w:tc>
        <w:tc>
          <w:tcPr>
            <w:tcW w:w="4675" w:type="dxa"/>
          </w:tcPr>
          <w:p w14:paraId="588DAEFE"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Net income minus preferred dividend divided by number of outstanding shares.</w:t>
            </w:r>
          </w:p>
        </w:tc>
      </w:tr>
      <w:tr w:rsidR="000C013D" w:rsidRPr="00143B41" w14:paraId="0E06BD0E" w14:textId="77777777" w:rsidTr="00354635">
        <w:tc>
          <w:tcPr>
            <w:tcW w:w="643" w:type="dxa"/>
          </w:tcPr>
          <w:p w14:paraId="7DD78C04"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3</w:t>
            </w:r>
          </w:p>
        </w:tc>
        <w:tc>
          <w:tcPr>
            <w:tcW w:w="1259" w:type="dxa"/>
          </w:tcPr>
          <w:p w14:paraId="5123622C"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DPS</w:t>
            </w:r>
          </w:p>
        </w:tc>
        <w:tc>
          <w:tcPr>
            <w:tcW w:w="2053" w:type="dxa"/>
          </w:tcPr>
          <w:p w14:paraId="557A2167"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Dividend per share</w:t>
            </w:r>
          </w:p>
        </w:tc>
        <w:tc>
          <w:tcPr>
            <w:tcW w:w="4675" w:type="dxa"/>
          </w:tcPr>
          <w:p w14:paraId="49604A14"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Total dividends paid divided by number of outstanding shares.</w:t>
            </w:r>
          </w:p>
        </w:tc>
      </w:tr>
      <w:tr w:rsidR="000C013D" w:rsidRPr="00143B41" w14:paraId="2CBBCC92" w14:textId="77777777" w:rsidTr="00354635">
        <w:tc>
          <w:tcPr>
            <w:tcW w:w="643" w:type="dxa"/>
          </w:tcPr>
          <w:p w14:paraId="338F891E"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4</w:t>
            </w:r>
          </w:p>
        </w:tc>
        <w:tc>
          <w:tcPr>
            <w:tcW w:w="1259" w:type="dxa"/>
          </w:tcPr>
          <w:p w14:paraId="248C253B"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P/E Ratio</w:t>
            </w:r>
          </w:p>
        </w:tc>
        <w:tc>
          <w:tcPr>
            <w:tcW w:w="2053" w:type="dxa"/>
          </w:tcPr>
          <w:p w14:paraId="2F7D2067"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Price earnings ratio</w:t>
            </w:r>
          </w:p>
        </w:tc>
        <w:tc>
          <w:tcPr>
            <w:tcW w:w="4675" w:type="dxa"/>
          </w:tcPr>
          <w:p w14:paraId="6E50CC55"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 xml:space="preserve">Company’s current stock price divided by earnings per share. </w:t>
            </w:r>
          </w:p>
        </w:tc>
      </w:tr>
      <w:tr w:rsidR="000C013D" w:rsidRPr="00143B41" w14:paraId="613FB412" w14:textId="77777777" w:rsidTr="00354635">
        <w:tc>
          <w:tcPr>
            <w:tcW w:w="643" w:type="dxa"/>
          </w:tcPr>
          <w:p w14:paraId="3BA3C1E6"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5</w:t>
            </w:r>
          </w:p>
        </w:tc>
        <w:tc>
          <w:tcPr>
            <w:tcW w:w="1259" w:type="dxa"/>
          </w:tcPr>
          <w:p w14:paraId="14526BA0"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ROA</w:t>
            </w:r>
          </w:p>
        </w:tc>
        <w:tc>
          <w:tcPr>
            <w:tcW w:w="2053" w:type="dxa"/>
          </w:tcPr>
          <w:p w14:paraId="38F78F26"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Return on assets</w:t>
            </w:r>
          </w:p>
        </w:tc>
        <w:tc>
          <w:tcPr>
            <w:tcW w:w="4675" w:type="dxa"/>
          </w:tcPr>
          <w:p w14:paraId="0C3B7D39"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Net income divided by total assets.</w:t>
            </w:r>
          </w:p>
        </w:tc>
      </w:tr>
      <w:tr w:rsidR="000C013D" w:rsidRPr="00143B41" w14:paraId="59B7336C" w14:textId="77777777" w:rsidTr="00354635">
        <w:tc>
          <w:tcPr>
            <w:tcW w:w="643" w:type="dxa"/>
          </w:tcPr>
          <w:p w14:paraId="63EBF180"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lastRenderedPageBreak/>
              <w:t>6</w:t>
            </w:r>
          </w:p>
        </w:tc>
        <w:tc>
          <w:tcPr>
            <w:tcW w:w="1259" w:type="dxa"/>
          </w:tcPr>
          <w:p w14:paraId="6D9CA8F8"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BVPS</w:t>
            </w:r>
          </w:p>
        </w:tc>
        <w:tc>
          <w:tcPr>
            <w:tcW w:w="2053" w:type="dxa"/>
          </w:tcPr>
          <w:p w14:paraId="2E0B1A65"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Book value per share</w:t>
            </w:r>
          </w:p>
        </w:tc>
        <w:tc>
          <w:tcPr>
            <w:tcW w:w="4675" w:type="dxa"/>
          </w:tcPr>
          <w:p w14:paraId="7B006888"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Total equity minus preferred equity divided by number of common share outstanding.</w:t>
            </w:r>
          </w:p>
        </w:tc>
      </w:tr>
      <w:tr w:rsidR="000C013D" w:rsidRPr="00143B41" w14:paraId="6C19F5E8" w14:textId="77777777" w:rsidTr="00354635">
        <w:tc>
          <w:tcPr>
            <w:tcW w:w="643" w:type="dxa"/>
          </w:tcPr>
          <w:p w14:paraId="643CA68D"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7</w:t>
            </w:r>
          </w:p>
        </w:tc>
        <w:tc>
          <w:tcPr>
            <w:tcW w:w="1259" w:type="dxa"/>
          </w:tcPr>
          <w:p w14:paraId="05CE53C8"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proofErr w:type="spellStart"/>
            <w:r w:rsidRPr="00143B41">
              <w:rPr>
                <w:rFonts w:ascii="Times New Roman" w:hAnsi="Times New Roman" w:cs="Times New Roman"/>
                <w:iCs/>
                <w:color w:val="000000" w:themeColor="text1"/>
                <w:sz w:val="24"/>
                <w:szCs w:val="24"/>
              </w:rPr>
              <w:t>ei</w:t>
            </w:r>
            <w:proofErr w:type="spellEnd"/>
          </w:p>
        </w:tc>
        <w:tc>
          <w:tcPr>
            <w:tcW w:w="2053" w:type="dxa"/>
          </w:tcPr>
          <w:p w14:paraId="5770C9FD"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Error term</w:t>
            </w:r>
          </w:p>
        </w:tc>
        <w:tc>
          <w:tcPr>
            <w:tcW w:w="4675" w:type="dxa"/>
          </w:tcPr>
          <w:p w14:paraId="1D01E0CE"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w:t>
            </w:r>
          </w:p>
        </w:tc>
      </w:tr>
    </w:tbl>
    <w:p w14:paraId="3AFBB287"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p>
    <w:p w14:paraId="64FCB896" w14:textId="77777777" w:rsidR="000C013D" w:rsidRPr="00C37A15" w:rsidRDefault="000C013D" w:rsidP="00444603">
      <w:pPr>
        <w:spacing w:before="240" w:after="240" w:line="384" w:lineRule="auto"/>
        <w:jc w:val="both"/>
        <w:rPr>
          <w:rFonts w:ascii="Times New Roman" w:hAnsi="Times New Roman" w:cs="Times New Roman"/>
          <w:b/>
          <w:bCs/>
          <w:iCs/>
          <w:color w:val="000000" w:themeColor="text1"/>
          <w:sz w:val="28"/>
          <w:szCs w:val="28"/>
        </w:rPr>
      </w:pPr>
      <w:r w:rsidRPr="00C37A15">
        <w:rPr>
          <w:rFonts w:ascii="Times New Roman" w:hAnsi="Times New Roman" w:cs="Times New Roman"/>
          <w:b/>
          <w:bCs/>
          <w:iCs/>
          <w:color w:val="000000" w:themeColor="text1"/>
          <w:sz w:val="28"/>
          <w:szCs w:val="28"/>
        </w:rPr>
        <w:t>3.5 Analysis Plan</w:t>
      </w:r>
    </w:p>
    <w:p w14:paraId="4E4240A3" w14:textId="2CFE48FE"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 xml:space="preserve">This section discusses how the analysis has been carried out in the next chapter. It is necessary to follow certain steps and procedures in analyzing data in order to understand the results and generalize the findings. The analysis of secondary data intends to study the </w:t>
      </w:r>
      <w:proofErr w:type="gramStart"/>
      <w:r w:rsidRPr="00143B41">
        <w:rPr>
          <w:rFonts w:ascii="Times New Roman" w:hAnsi="Times New Roman" w:cs="Times New Roman"/>
          <w:iCs/>
          <w:color w:val="000000" w:themeColor="text1"/>
          <w:sz w:val="24"/>
          <w:szCs w:val="24"/>
        </w:rPr>
        <w:t>cause and</w:t>
      </w:r>
      <w:r w:rsidR="00BF00F8">
        <w:rPr>
          <w:rFonts w:ascii="Times New Roman" w:hAnsi="Times New Roman" w:cs="Times New Roman"/>
          <w:iCs/>
          <w:color w:val="000000" w:themeColor="text1"/>
          <w:sz w:val="24"/>
          <w:szCs w:val="24"/>
        </w:rPr>
        <w:t xml:space="preserve"> </w:t>
      </w:r>
      <w:r w:rsidRPr="00143B41">
        <w:rPr>
          <w:rFonts w:ascii="Times New Roman" w:hAnsi="Times New Roman" w:cs="Times New Roman"/>
          <w:iCs/>
          <w:color w:val="000000" w:themeColor="text1"/>
          <w:sz w:val="24"/>
          <w:szCs w:val="24"/>
        </w:rPr>
        <w:t>effect</w:t>
      </w:r>
      <w:proofErr w:type="gramEnd"/>
      <w:r w:rsidRPr="00143B41">
        <w:rPr>
          <w:rFonts w:ascii="Times New Roman" w:hAnsi="Times New Roman" w:cs="Times New Roman"/>
          <w:iCs/>
          <w:color w:val="000000" w:themeColor="text1"/>
          <w:sz w:val="24"/>
          <w:szCs w:val="24"/>
        </w:rPr>
        <w:t xml:space="preserve"> relationship between the variables. This section is divided into various subsections first of which deals with the descriptive statistics of the sample observations including the mean, standard deviation, minimum and maximum values of the observations. Correlation analyses have been carried out in the second section followed by the stepwise regression analysis. Test of significance, standard error of estimate </w:t>
      </w:r>
      <w:proofErr w:type="gramStart"/>
      <w:r w:rsidRPr="00143B41">
        <w:rPr>
          <w:rFonts w:ascii="Times New Roman" w:hAnsi="Times New Roman" w:cs="Times New Roman"/>
          <w:iCs/>
          <w:color w:val="000000" w:themeColor="text1"/>
          <w:sz w:val="24"/>
          <w:szCs w:val="24"/>
        </w:rPr>
        <w:t>have</w:t>
      </w:r>
      <w:proofErr w:type="gramEnd"/>
      <w:r w:rsidRPr="00143B41">
        <w:rPr>
          <w:rFonts w:ascii="Times New Roman" w:hAnsi="Times New Roman" w:cs="Times New Roman"/>
          <w:iCs/>
          <w:color w:val="000000" w:themeColor="text1"/>
          <w:sz w:val="24"/>
          <w:szCs w:val="24"/>
        </w:rPr>
        <w:t xml:space="preserve"> also been tested to make the results more valid. All the observed relationship and findings have been interpreted to derive the meaningful conclusions regarding factors affecting the share price of Nepalese commercial banks.</w:t>
      </w:r>
    </w:p>
    <w:p w14:paraId="5EB68780" w14:textId="77777777" w:rsidR="000C013D" w:rsidRPr="00C37A15" w:rsidRDefault="000C013D" w:rsidP="00444603">
      <w:pPr>
        <w:spacing w:before="240" w:after="240" w:line="384" w:lineRule="auto"/>
        <w:jc w:val="both"/>
        <w:rPr>
          <w:rFonts w:ascii="Times New Roman" w:hAnsi="Times New Roman" w:cs="Times New Roman"/>
          <w:b/>
          <w:bCs/>
          <w:iCs/>
          <w:color w:val="000000" w:themeColor="text1"/>
          <w:sz w:val="28"/>
          <w:szCs w:val="28"/>
        </w:rPr>
      </w:pPr>
      <w:r w:rsidRPr="00C37A15">
        <w:rPr>
          <w:rFonts w:ascii="Times New Roman" w:hAnsi="Times New Roman" w:cs="Times New Roman"/>
          <w:b/>
          <w:bCs/>
          <w:iCs/>
          <w:color w:val="000000" w:themeColor="text1"/>
          <w:sz w:val="28"/>
          <w:szCs w:val="28"/>
        </w:rPr>
        <w:t>3.6 Research Hypothesis and Selection of Proxy Variable</w:t>
      </w:r>
    </w:p>
    <w:p w14:paraId="1B7934FC"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The theoretical arguments for stock price along with the empirical evidences are used as a guide to formulate the research hypotheses for this study. This section also presents the selection of proxy variables that are often suggested in the literature and their expected relationship to stock price.</w:t>
      </w:r>
    </w:p>
    <w:p w14:paraId="24035CE0" w14:textId="77777777" w:rsidR="00C37A15" w:rsidRDefault="00C37A15" w:rsidP="00444603">
      <w:pPr>
        <w:spacing w:before="240" w:after="240" w:line="384" w:lineRule="auto"/>
        <w:jc w:val="both"/>
        <w:rPr>
          <w:rFonts w:ascii="Times New Roman" w:hAnsi="Times New Roman" w:cs="Times New Roman"/>
          <w:b/>
          <w:bCs/>
          <w:iCs/>
          <w:color w:val="000000" w:themeColor="text1"/>
          <w:sz w:val="24"/>
          <w:szCs w:val="24"/>
        </w:rPr>
      </w:pPr>
    </w:p>
    <w:p w14:paraId="13F26837" w14:textId="3CBFC55D"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lastRenderedPageBreak/>
        <w:t>Earnings Per Share</w:t>
      </w:r>
    </w:p>
    <w:p w14:paraId="5594B017"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Earnings per share serve as an indicator of a company's profitability. Sharma (2011) revealed that earning per share, dividend per share, and book value per share has significant impact on the market price of share. Furthermore, results of the study indicated that dividend per share and earnings per share being the strongest determinants of market price. Malhotra and Tandon (2013) concluded that firms’ book value, earning per share, and price-earnings ratio are having a significant positive association with firm’s stock price while dividend yield is having a significant inverse association with the market price of the firm’s stock. Iqbal and Muhammad (2014) investigated that the earnings per share have a positive relationship with market price, that is, higher the earning per share, higher will the market price.</w:t>
      </w:r>
    </w:p>
    <w:p w14:paraId="44343F57" w14:textId="77777777" w:rsidR="00C72AE6" w:rsidRPr="00143B41" w:rsidRDefault="000C013D" w:rsidP="00444603">
      <w:pPr>
        <w:spacing w:before="240" w:after="240" w:line="384" w:lineRule="auto"/>
        <w:jc w:val="both"/>
        <w:rPr>
          <w:rFonts w:ascii="Times New Roman" w:hAnsi="Times New Roman" w:cs="Times New Roman"/>
          <w:iCs/>
          <w:color w:val="000000" w:themeColor="text1"/>
          <w:sz w:val="24"/>
          <w:szCs w:val="24"/>
        </w:rPr>
      </w:pPr>
      <w:bookmarkStart w:id="2" w:name="_Hlk47950882"/>
      <w:r w:rsidRPr="00143B41">
        <w:rPr>
          <w:rFonts w:ascii="Times New Roman" w:hAnsi="Times New Roman" w:cs="Times New Roman"/>
          <w:iCs/>
          <w:color w:val="000000" w:themeColor="text1"/>
          <w:sz w:val="24"/>
          <w:szCs w:val="24"/>
        </w:rPr>
        <w:t>Based on it, the study develops the following hypothesis</w:t>
      </w:r>
      <w:bookmarkEnd w:id="2"/>
    </w:p>
    <w:p w14:paraId="236ED668"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
          <w:color w:val="000000" w:themeColor="text1"/>
          <w:sz w:val="24"/>
          <w:szCs w:val="24"/>
        </w:rPr>
        <w:t>H1: There is a positive relationship between EPS and MPS</w:t>
      </w:r>
    </w:p>
    <w:p w14:paraId="6E241989" w14:textId="77777777" w:rsidR="000C013D" w:rsidRPr="00143B41" w:rsidRDefault="000C013D" w:rsidP="00444603">
      <w:pPr>
        <w:spacing w:before="240" w:after="240" w:line="384" w:lineRule="auto"/>
        <w:jc w:val="both"/>
        <w:rPr>
          <w:rFonts w:ascii="Times New Roman" w:hAnsi="Times New Roman" w:cs="Times New Roman"/>
          <w:i/>
          <w:color w:val="000000" w:themeColor="text1"/>
          <w:sz w:val="24"/>
          <w:szCs w:val="24"/>
        </w:rPr>
      </w:pPr>
      <w:r w:rsidRPr="00143B41">
        <w:rPr>
          <w:rFonts w:ascii="Times New Roman" w:hAnsi="Times New Roman" w:cs="Times New Roman"/>
          <w:b/>
          <w:bCs/>
          <w:iCs/>
          <w:color w:val="000000" w:themeColor="text1"/>
          <w:sz w:val="24"/>
          <w:szCs w:val="24"/>
        </w:rPr>
        <w:t>Dividend per share</w:t>
      </w:r>
    </w:p>
    <w:p w14:paraId="79F4A117"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The sum of declared dividends for every ordinary share issued. Dividend per share (DPS) is the total dividends paid out over an entire year (including interim dividends but not including special dividends) divided by the number of outstanding ordinary shares issued. Modigliani and Miller (1958) firms share price is based upon its earnings; firm’s value is unrelated with dividend policy. Rashid and Anisur Rahman (2008) and Zakaria et al. (2012) found significant positive relationship between the dividend and share price.</w:t>
      </w:r>
    </w:p>
    <w:p w14:paraId="38D4E72B"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bookmarkStart w:id="3" w:name="_Hlk47951595"/>
      <w:r w:rsidRPr="00143B41">
        <w:rPr>
          <w:rFonts w:ascii="Times New Roman" w:hAnsi="Times New Roman" w:cs="Times New Roman"/>
          <w:iCs/>
          <w:color w:val="000000" w:themeColor="text1"/>
          <w:sz w:val="24"/>
          <w:szCs w:val="24"/>
        </w:rPr>
        <w:t>Based on it, the study develops the following hypothesis</w:t>
      </w:r>
    </w:p>
    <w:bookmarkEnd w:id="3"/>
    <w:p w14:paraId="5AB5212E" w14:textId="77777777" w:rsidR="000C013D" w:rsidRPr="00143B41" w:rsidRDefault="000C013D" w:rsidP="00444603">
      <w:pPr>
        <w:spacing w:before="240" w:after="240" w:line="384" w:lineRule="auto"/>
        <w:jc w:val="both"/>
        <w:rPr>
          <w:rFonts w:ascii="Times New Roman" w:hAnsi="Times New Roman" w:cs="Times New Roman"/>
          <w:i/>
          <w:color w:val="000000" w:themeColor="text1"/>
          <w:sz w:val="24"/>
          <w:szCs w:val="24"/>
        </w:rPr>
      </w:pPr>
      <w:r w:rsidRPr="00143B41">
        <w:rPr>
          <w:rFonts w:ascii="Times New Roman" w:hAnsi="Times New Roman" w:cs="Times New Roman"/>
          <w:i/>
          <w:color w:val="000000" w:themeColor="text1"/>
          <w:sz w:val="24"/>
          <w:szCs w:val="24"/>
        </w:rPr>
        <w:t>H2: There is a positive relationship between DPS and MPS.</w:t>
      </w:r>
    </w:p>
    <w:p w14:paraId="3FFF3D38" w14:textId="77777777" w:rsidR="00C37A15" w:rsidRDefault="00C37A15" w:rsidP="00444603">
      <w:pPr>
        <w:spacing w:before="240" w:after="240" w:line="384" w:lineRule="auto"/>
        <w:jc w:val="both"/>
        <w:rPr>
          <w:rFonts w:ascii="Times New Roman" w:hAnsi="Times New Roman" w:cs="Times New Roman"/>
          <w:b/>
          <w:bCs/>
          <w:iCs/>
          <w:color w:val="000000" w:themeColor="text1"/>
          <w:sz w:val="24"/>
          <w:szCs w:val="24"/>
        </w:rPr>
      </w:pPr>
    </w:p>
    <w:p w14:paraId="71C6C344" w14:textId="300EB9EB"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lastRenderedPageBreak/>
        <w:t>Price to Earnings Ratio</w:t>
      </w:r>
    </w:p>
    <w:p w14:paraId="713DF492"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 xml:space="preserve">It relates with the comparison of market value with its earnings per share. The price earnings ratio indicates the extent to which the earnings of each share are covered by its price. It tells whether the share price of a company is fairly valued, undervalued, or overvalued. In general, a high P/E suggests that investors are expecting higher earnings growth in the future compared to companies with a lower P/E. In the same token, Khan and Amanullah (2012), Malhotra and Tandon (2013), </w:t>
      </w:r>
      <w:proofErr w:type="spellStart"/>
      <w:r w:rsidRPr="00143B41">
        <w:rPr>
          <w:rFonts w:ascii="Times New Roman" w:hAnsi="Times New Roman" w:cs="Times New Roman"/>
          <w:iCs/>
          <w:color w:val="000000" w:themeColor="text1"/>
          <w:sz w:val="24"/>
          <w:szCs w:val="24"/>
        </w:rPr>
        <w:t>Almumani</w:t>
      </w:r>
      <w:proofErr w:type="spellEnd"/>
      <w:r w:rsidRPr="00143B41">
        <w:rPr>
          <w:rFonts w:ascii="Times New Roman" w:hAnsi="Times New Roman" w:cs="Times New Roman"/>
          <w:iCs/>
          <w:color w:val="000000" w:themeColor="text1"/>
          <w:sz w:val="24"/>
          <w:szCs w:val="24"/>
        </w:rPr>
        <w:t xml:space="preserve"> (2014) also indicated that price-earnings ratio have a significant positive association with firm’s stock price.</w:t>
      </w:r>
    </w:p>
    <w:p w14:paraId="70DC8264"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Based on it, the study develops the following hypothesis</w:t>
      </w:r>
    </w:p>
    <w:p w14:paraId="5683322F" w14:textId="77777777" w:rsidR="000C013D" w:rsidRPr="00143B41" w:rsidRDefault="000C013D" w:rsidP="00444603">
      <w:pPr>
        <w:spacing w:before="240" w:after="240" w:line="384" w:lineRule="auto"/>
        <w:jc w:val="both"/>
        <w:rPr>
          <w:rFonts w:ascii="Times New Roman" w:hAnsi="Times New Roman" w:cs="Times New Roman"/>
          <w:i/>
          <w:color w:val="000000" w:themeColor="text1"/>
          <w:sz w:val="24"/>
          <w:szCs w:val="24"/>
        </w:rPr>
      </w:pPr>
      <w:bookmarkStart w:id="4" w:name="_Hlk52803982"/>
      <w:r w:rsidRPr="00143B41">
        <w:rPr>
          <w:rFonts w:ascii="Times New Roman" w:hAnsi="Times New Roman" w:cs="Times New Roman"/>
          <w:i/>
          <w:color w:val="000000" w:themeColor="text1"/>
          <w:sz w:val="24"/>
          <w:szCs w:val="24"/>
        </w:rPr>
        <w:t>H3: There is a positive relationship between P/E ratio and MPS.</w:t>
      </w:r>
    </w:p>
    <w:p w14:paraId="64402788"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Return on Assets</w:t>
      </w:r>
    </w:p>
    <w:p w14:paraId="0C397802"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 xml:space="preserve">ROA is also another major ratio that indicates the profitability of a bank. It is a ratio of income to its total asset. </w:t>
      </w:r>
      <w:proofErr w:type="spellStart"/>
      <w:r w:rsidRPr="00143B41">
        <w:rPr>
          <w:rFonts w:ascii="Times New Roman" w:hAnsi="Times New Roman" w:cs="Times New Roman"/>
          <w:iCs/>
          <w:color w:val="000000" w:themeColor="text1"/>
          <w:sz w:val="24"/>
          <w:szCs w:val="24"/>
        </w:rPr>
        <w:t>Emekekwue</w:t>
      </w:r>
      <w:proofErr w:type="spellEnd"/>
      <w:r w:rsidRPr="00143B41">
        <w:rPr>
          <w:rFonts w:ascii="Times New Roman" w:hAnsi="Times New Roman" w:cs="Times New Roman"/>
          <w:iCs/>
          <w:color w:val="000000" w:themeColor="text1"/>
          <w:sz w:val="24"/>
          <w:szCs w:val="24"/>
        </w:rPr>
        <w:t xml:space="preserve"> (2008) found return on assets as a ratio which seeks to measure the amount of profit generated from the entire assets of the firm. </w:t>
      </w:r>
    </w:p>
    <w:p w14:paraId="13BD91E9"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Based on it, this study develops the following hypothesis.</w:t>
      </w:r>
    </w:p>
    <w:p w14:paraId="6A935F6C" w14:textId="77777777" w:rsidR="000C013D" w:rsidRPr="00143B41" w:rsidRDefault="000C013D" w:rsidP="00444603">
      <w:pPr>
        <w:spacing w:before="240" w:after="240" w:line="384" w:lineRule="auto"/>
        <w:jc w:val="both"/>
        <w:rPr>
          <w:rFonts w:ascii="Times New Roman" w:hAnsi="Times New Roman" w:cs="Times New Roman"/>
          <w:i/>
          <w:iCs/>
          <w:color w:val="000000" w:themeColor="text1"/>
          <w:sz w:val="24"/>
          <w:szCs w:val="24"/>
        </w:rPr>
      </w:pPr>
      <w:r w:rsidRPr="00143B41">
        <w:rPr>
          <w:rFonts w:ascii="Times New Roman" w:hAnsi="Times New Roman" w:cs="Times New Roman"/>
          <w:i/>
          <w:iCs/>
          <w:color w:val="000000" w:themeColor="text1"/>
          <w:sz w:val="24"/>
          <w:szCs w:val="24"/>
        </w:rPr>
        <w:t>H4: There is a positive relationship between ROA ratio and MPS.</w:t>
      </w:r>
    </w:p>
    <w:bookmarkEnd w:id="4"/>
    <w:p w14:paraId="32C0B2E3" w14:textId="77777777" w:rsidR="000C013D" w:rsidRPr="00143B41" w:rsidRDefault="000C013D" w:rsidP="00444603">
      <w:pPr>
        <w:spacing w:before="240" w:after="240" w:line="384" w:lineRule="auto"/>
        <w:jc w:val="both"/>
        <w:rPr>
          <w:rFonts w:ascii="Times New Roman" w:hAnsi="Times New Roman" w:cs="Times New Roman"/>
          <w:b/>
          <w:bCs/>
          <w:iCs/>
          <w:color w:val="000000" w:themeColor="text1"/>
          <w:sz w:val="24"/>
          <w:szCs w:val="24"/>
        </w:rPr>
      </w:pPr>
      <w:r w:rsidRPr="00143B41">
        <w:rPr>
          <w:rFonts w:ascii="Times New Roman" w:hAnsi="Times New Roman" w:cs="Times New Roman"/>
          <w:b/>
          <w:bCs/>
          <w:iCs/>
          <w:color w:val="000000" w:themeColor="text1"/>
          <w:sz w:val="24"/>
          <w:szCs w:val="24"/>
        </w:rPr>
        <w:t>Book value per share</w:t>
      </w:r>
    </w:p>
    <w:p w14:paraId="259B8396"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 xml:space="preserve">BVPS is financial measures that represent a per share assessment of the minimum value of a company’s equity. More specifically, this value is determined by relating the original value of a firm’s common stock adjusted for any outflow (dividends and stock buybacks) and inflow (retained earnings) modifiers to the number of shares outstanding. Sharma (2011) conducted a study that book value per share has significant impact on the market </w:t>
      </w:r>
      <w:r w:rsidRPr="00143B41">
        <w:rPr>
          <w:rFonts w:ascii="Times New Roman" w:hAnsi="Times New Roman" w:cs="Times New Roman"/>
          <w:iCs/>
          <w:color w:val="000000" w:themeColor="text1"/>
          <w:sz w:val="24"/>
          <w:szCs w:val="24"/>
        </w:rPr>
        <w:lastRenderedPageBreak/>
        <w:t xml:space="preserve">price of share. </w:t>
      </w:r>
      <w:proofErr w:type="spellStart"/>
      <w:r w:rsidRPr="00143B41">
        <w:rPr>
          <w:rFonts w:ascii="Times New Roman" w:hAnsi="Times New Roman" w:cs="Times New Roman"/>
          <w:iCs/>
          <w:color w:val="000000" w:themeColor="text1"/>
          <w:sz w:val="24"/>
          <w:szCs w:val="24"/>
        </w:rPr>
        <w:t>Emamgholipour</w:t>
      </w:r>
      <w:proofErr w:type="spellEnd"/>
      <w:r w:rsidRPr="00143B41">
        <w:rPr>
          <w:rFonts w:ascii="Times New Roman" w:hAnsi="Times New Roman" w:cs="Times New Roman"/>
          <w:iCs/>
          <w:color w:val="000000" w:themeColor="text1"/>
          <w:sz w:val="24"/>
          <w:szCs w:val="24"/>
        </w:rPr>
        <w:t xml:space="preserve"> et al., (2013) carried out a book value per share has positive impact on the market price of share. </w:t>
      </w:r>
    </w:p>
    <w:p w14:paraId="5A13D227" w14:textId="77777777" w:rsidR="000C013D" w:rsidRPr="00143B41" w:rsidRDefault="000C013D" w:rsidP="00444603">
      <w:pPr>
        <w:spacing w:before="240" w:after="240" w:line="384" w:lineRule="auto"/>
        <w:jc w:val="both"/>
        <w:rPr>
          <w:rFonts w:ascii="Times New Roman" w:hAnsi="Times New Roman" w:cs="Times New Roman"/>
          <w:iCs/>
          <w:color w:val="000000" w:themeColor="text1"/>
          <w:sz w:val="24"/>
          <w:szCs w:val="24"/>
        </w:rPr>
      </w:pPr>
      <w:r w:rsidRPr="00143B41">
        <w:rPr>
          <w:rFonts w:ascii="Times New Roman" w:hAnsi="Times New Roman" w:cs="Times New Roman"/>
          <w:iCs/>
          <w:color w:val="000000" w:themeColor="text1"/>
          <w:sz w:val="24"/>
          <w:szCs w:val="24"/>
        </w:rPr>
        <w:t>Based on it, this study develops the following hypothesis</w:t>
      </w:r>
    </w:p>
    <w:p w14:paraId="261EC038" w14:textId="1B8FE19B" w:rsidR="000C013D" w:rsidRDefault="000C013D" w:rsidP="00444603">
      <w:pPr>
        <w:spacing w:before="240" w:after="240" w:line="384" w:lineRule="auto"/>
        <w:jc w:val="both"/>
        <w:rPr>
          <w:rFonts w:ascii="Times New Roman" w:hAnsi="Times New Roman" w:cs="Times New Roman"/>
          <w:i/>
          <w:color w:val="000000" w:themeColor="text1"/>
          <w:sz w:val="24"/>
          <w:szCs w:val="24"/>
        </w:rPr>
      </w:pPr>
      <w:r w:rsidRPr="00143B41">
        <w:rPr>
          <w:rFonts w:ascii="Times New Roman" w:hAnsi="Times New Roman" w:cs="Times New Roman"/>
          <w:i/>
          <w:color w:val="000000" w:themeColor="text1"/>
          <w:sz w:val="24"/>
          <w:szCs w:val="24"/>
        </w:rPr>
        <w:t>H5: There is a positive relationship between BVPS and MPS.</w:t>
      </w:r>
    </w:p>
    <w:p w14:paraId="79CEB5B8" w14:textId="77777777" w:rsidR="000328D2" w:rsidRPr="000328D2" w:rsidRDefault="000328D2" w:rsidP="00444603">
      <w:pPr>
        <w:spacing w:before="240" w:after="240" w:line="384" w:lineRule="auto"/>
        <w:jc w:val="both"/>
        <w:rPr>
          <w:rFonts w:ascii="Times New Roman" w:hAnsi="Times New Roman" w:cs="Times New Roman"/>
          <w:iCs/>
          <w:color w:val="000000" w:themeColor="text1"/>
          <w:sz w:val="24"/>
          <w:szCs w:val="24"/>
        </w:rPr>
      </w:pPr>
    </w:p>
    <w:p w14:paraId="4B60E864"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bookmarkStart w:id="5" w:name="_Hlk64036698"/>
      <w:bookmarkEnd w:id="5"/>
    </w:p>
    <w:p w14:paraId="6B576681"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2520B123"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749A986D"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633F2EEE"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15A1ADF6"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471248C8"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5A31623D"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1A178717"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68C077A7"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3BAFE722"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2F1827DF" w14:textId="77777777" w:rsidR="00C37A15" w:rsidRDefault="00C37A15" w:rsidP="00444603">
      <w:pPr>
        <w:spacing w:before="240" w:after="240" w:line="384" w:lineRule="auto"/>
        <w:jc w:val="center"/>
        <w:rPr>
          <w:rFonts w:ascii="Times New Roman" w:hAnsi="Times New Roman" w:cs="Times New Roman"/>
          <w:b/>
          <w:bCs/>
          <w:color w:val="000000" w:themeColor="text1"/>
          <w:sz w:val="28"/>
          <w:szCs w:val="28"/>
        </w:rPr>
      </w:pPr>
    </w:p>
    <w:p w14:paraId="04C0E0D1" w14:textId="6642E355" w:rsidR="000C013D" w:rsidRPr="00143B41" w:rsidRDefault="000C013D" w:rsidP="00444603">
      <w:pPr>
        <w:spacing w:before="240" w:after="240" w:line="384" w:lineRule="auto"/>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lastRenderedPageBreak/>
        <w:t>CHAPTER-IV</w:t>
      </w:r>
    </w:p>
    <w:p w14:paraId="767D5570" w14:textId="77777777" w:rsidR="000C013D" w:rsidRPr="00143B41" w:rsidRDefault="000C013D" w:rsidP="00444603">
      <w:pPr>
        <w:spacing w:before="240" w:after="240" w:line="384" w:lineRule="auto"/>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PRESENTATION AND ANALYSIS OF DATA</w:t>
      </w:r>
    </w:p>
    <w:p w14:paraId="4143ADA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Data analysis is the process of developing answer to the question through the examination and interpretation of data. The basic steps in the analytical process consist of identifying issues, determining the availability of suitable data, deciding the method appropriate for answering the questions of interest, applying the methods and evaluating, summarizing and communicating the result. This chapter provides systematic presentation, interpretation and analysis of secondary data in order to deal with various issues associated with stock price of Nepalese commercial banks. The purpose of this chapter is to analyze and interprets the data collected during the study. Various statistical tools described in chapter three have been used for this purpose. This chapter is divided into five sections. The first section deals with structure and pattern analysis of data, second section deals with descriptive statistics, third section deals with the correlation analysis, fourth section deals with step wise regression analysis and the final section wraps up this chapter with concluding remarks about the result derived for the secondary data.</w:t>
      </w:r>
    </w:p>
    <w:p w14:paraId="5C691B1B"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4.1 Financial Indicator Tools</w:t>
      </w:r>
    </w:p>
    <w:p w14:paraId="4741D34B"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4.1.1 Earning per share</w:t>
      </w:r>
    </w:p>
    <w:p w14:paraId="4353C115"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earning per share for the period of 2068/69 to 2075/76</w:t>
      </w:r>
      <w:r w:rsidR="00495CCA" w:rsidRPr="00143B41">
        <w:rPr>
          <w:rFonts w:ascii="Times New Roman" w:hAnsi="Times New Roman" w:cs="Times New Roman"/>
          <w:color w:val="000000" w:themeColor="text1"/>
          <w:sz w:val="24"/>
          <w:szCs w:val="24"/>
        </w:rPr>
        <w:t xml:space="preserve"> has been presented in t</w:t>
      </w:r>
      <w:r w:rsidRPr="00143B41">
        <w:rPr>
          <w:rFonts w:ascii="Times New Roman" w:hAnsi="Times New Roman" w:cs="Times New Roman"/>
          <w:color w:val="000000" w:themeColor="text1"/>
          <w:sz w:val="24"/>
          <w:szCs w:val="24"/>
        </w:rPr>
        <w:t>able</w:t>
      </w:r>
      <w:r w:rsidR="00495CCA" w:rsidRPr="00143B41">
        <w:rPr>
          <w:rFonts w:ascii="Times New Roman" w:hAnsi="Times New Roman" w:cs="Times New Roman"/>
          <w:color w:val="000000" w:themeColor="text1"/>
          <w:sz w:val="24"/>
          <w:szCs w:val="24"/>
        </w:rPr>
        <w:t>.</w:t>
      </w:r>
      <w:r w:rsidRPr="00143B41">
        <w:rPr>
          <w:rFonts w:ascii="Times New Roman" w:hAnsi="Times New Roman" w:cs="Times New Roman"/>
          <w:color w:val="000000" w:themeColor="text1"/>
          <w:sz w:val="24"/>
          <w:szCs w:val="24"/>
        </w:rPr>
        <w:t xml:space="preserve"> Table 4.1 shows that the average earnings per share is highest for NIBL (33.03 rupees), followed by HBL (29.54 rupees) &amp; lowest for the KBL (15.27 rupees). The average earning per share computed across the year has fluctuated widely over a period of time. The average EPS has decreased to 18.78 rupees in 2068/69 from 25.77 rupees in 2069/70.</w:t>
      </w:r>
    </w:p>
    <w:p w14:paraId="7F231E7D"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4"/>
          <w:szCs w:val="24"/>
        </w:rPr>
      </w:pPr>
    </w:p>
    <w:p w14:paraId="015595C7"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4"/>
          <w:szCs w:val="24"/>
        </w:rPr>
      </w:pPr>
    </w:p>
    <w:p w14:paraId="4B5FAA3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b/>
          <w:bCs/>
          <w:color w:val="000000" w:themeColor="text1"/>
          <w:sz w:val="24"/>
          <w:szCs w:val="24"/>
        </w:rPr>
        <w:t>Table no. 4.1: Earning per share of Banks under study of financial indicators.</w:t>
      </w:r>
    </w:p>
    <w:tbl>
      <w:tblPr>
        <w:tblW w:w="8270" w:type="dxa"/>
        <w:tblLook w:val="04A0" w:firstRow="1" w:lastRow="0" w:firstColumn="1" w:lastColumn="0" w:noHBand="0" w:noVBand="1"/>
      </w:tblPr>
      <w:tblGrid>
        <w:gridCol w:w="1516"/>
        <w:gridCol w:w="954"/>
        <w:gridCol w:w="954"/>
        <w:gridCol w:w="954"/>
        <w:gridCol w:w="954"/>
        <w:gridCol w:w="1008"/>
        <w:gridCol w:w="976"/>
        <w:gridCol w:w="954"/>
      </w:tblGrid>
      <w:tr w:rsidR="000C013D" w:rsidRPr="00986C3A" w14:paraId="3338222D" w14:textId="77777777" w:rsidTr="00354635">
        <w:trPr>
          <w:trHeight w:val="303"/>
        </w:trPr>
        <w:tc>
          <w:tcPr>
            <w:tcW w:w="15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11DF4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Year/Bank</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14:paraId="38B000FC"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NIBL</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14:paraId="53229AF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KBL</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14:paraId="71A0B4C6"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HBL</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14:paraId="3D43FA1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GIBL</w:t>
            </w:r>
          </w:p>
        </w:tc>
        <w:tc>
          <w:tcPr>
            <w:tcW w:w="1008" w:type="dxa"/>
            <w:tcBorders>
              <w:top w:val="single" w:sz="4" w:space="0" w:color="auto"/>
              <w:left w:val="nil"/>
              <w:bottom w:val="single" w:sz="4" w:space="0" w:color="auto"/>
              <w:right w:val="single" w:sz="4" w:space="0" w:color="auto"/>
            </w:tcBorders>
            <w:shd w:val="clear" w:color="auto" w:fill="auto"/>
            <w:noWrap/>
            <w:vAlign w:val="bottom"/>
            <w:hideMark/>
          </w:tcPr>
          <w:p w14:paraId="73DEA01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NMBL</w:t>
            </w:r>
          </w:p>
        </w:tc>
        <w:tc>
          <w:tcPr>
            <w:tcW w:w="976" w:type="dxa"/>
            <w:tcBorders>
              <w:top w:val="single" w:sz="4" w:space="0" w:color="auto"/>
              <w:left w:val="nil"/>
              <w:bottom w:val="single" w:sz="4" w:space="0" w:color="auto"/>
              <w:right w:val="single" w:sz="4" w:space="0" w:color="auto"/>
            </w:tcBorders>
            <w:shd w:val="clear" w:color="auto" w:fill="auto"/>
            <w:noWrap/>
            <w:vAlign w:val="bottom"/>
            <w:hideMark/>
          </w:tcPr>
          <w:p w14:paraId="3EB19596"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Mean</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14:paraId="3DC46A8B" w14:textId="77777777" w:rsidR="000C013D" w:rsidRPr="00986C3A" w:rsidRDefault="000C013D" w:rsidP="00986C3A">
            <w:pPr>
              <w:spacing w:after="0" w:line="240" w:lineRule="auto"/>
              <w:jc w:val="both"/>
              <w:rPr>
                <w:rFonts w:ascii="Times New Roman" w:eastAsia="Times New Roman" w:hAnsi="Times New Roman" w:cs="Times New Roman"/>
                <w:color w:val="000000"/>
              </w:rPr>
            </w:pPr>
            <w:proofErr w:type="gramStart"/>
            <w:r w:rsidRPr="00986C3A">
              <w:rPr>
                <w:rFonts w:ascii="Times New Roman" w:eastAsia="Times New Roman" w:hAnsi="Times New Roman" w:cs="Times New Roman"/>
                <w:color w:val="000000"/>
              </w:rPr>
              <w:t>S.D</w:t>
            </w:r>
            <w:proofErr w:type="gramEnd"/>
          </w:p>
        </w:tc>
      </w:tr>
      <w:tr w:rsidR="000C013D" w:rsidRPr="00986C3A" w14:paraId="11795919"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B83DD5C"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2068/69</w:t>
            </w:r>
          </w:p>
        </w:tc>
        <w:tc>
          <w:tcPr>
            <w:tcW w:w="954" w:type="dxa"/>
            <w:tcBorders>
              <w:top w:val="nil"/>
              <w:left w:val="nil"/>
              <w:bottom w:val="single" w:sz="4" w:space="0" w:color="auto"/>
              <w:right w:val="single" w:sz="4" w:space="0" w:color="auto"/>
            </w:tcBorders>
            <w:shd w:val="clear" w:color="auto" w:fill="auto"/>
            <w:noWrap/>
            <w:vAlign w:val="bottom"/>
            <w:hideMark/>
          </w:tcPr>
          <w:p w14:paraId="5CCFD10F"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27.60</w:t>
            </w:r>
          </w:p>
        </w:tc>
        <w:tc>
          <w:tcPr>
            <w:tcW w:w="954" w:type="dxa"/>
            <w:tcBorders>
              <w:top w:val="nil"/>
              <w:left w:val="nil"/>
              <w:bottom w:val="single" w:sz="4" w:space="0" w:color="auto"/>
              <w:right w:val="single" w:sz="4" w:space="0" w:color="auto"/>
            </w:tcBorders>
            <w:shd w:val="clear" w:color="auto" w:fill="auto"/>
            <w:noWrap/>
            <w:vAlign w:val="bottom"/>
            <w:hideMark/>
          </w:tcPr>
          <w:p w14:paraId="2B9426F5"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17.18</w:t>
            </w:r>
          </w:p>
        </w:tc>
        <w:tc>
          <w:tcPr>
            <w:tcW w:w="954" w:type="dxa"/>
            <w:tcBorders>
              <w:top w:val="nil"/>
              <w:left w:val="nil"/>
              <w:bottom w:val="single" w:sz="4" w:space="0" w:color="auto"/>
              <w:right w:val="single" w:sz="4" w:space="0" w:color="auto"/>
            </w:tcBorders>
            <w:shd w:val="clear" w:color="auto" w:fill="auto"/>
            <w:noWrap/>
            <w:vAlign w:val="bottom"/>
            <w:hideMark/>
          </w:tcPr>
          <w:p w14:paraId="6DA75E2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34.73</w:t>
            </w:r>
          </w:p>
        </w:tc>
        <w:tc>
          <w:tcPr>
            <w:tcW w:w="954" w:type="dxa"/>
            <w:tcBorders>
              <w:top w:val="nil"/>
              <w:left w:val="nil"/>
              <w:bottom w:val="single" w:sz="4" w:space="0" w:color="auto"/>
              <w:right w:val="single" w:sz="4" w:space="0" w:color="auto"/>
            </w:tcBorders>
            <w:shd w:val="clear" w:color="auto" w:fill="auto"/>
            <w:noWrap/>
            <w:vAlign w:val="bottom"/>
            <w:hideMark/>
          </w:tcPr>
          <w:p w14:paraId="48D4774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11.79</w:t>
            </w:r>
          </w:p>
        </w:tc>
        <w:tc>
          <w:tcPr>
            <w:tcW w:w="1008" w:type="dxa"/>
            <w:tcBorders>
              <w:top w:val="nil"/>
              <w:left w:val="nil"/>
              <w:bottom w:val="single" w:sz="4" w:space="0" w:color="auto"/>
              <w:right w:val="single" w:sz="4" w:space="0" w:color="auto"/>
            </w:tcBorders>
            <w:shd w:val="clear" w:color="auto" w:fill="auto"/>
            <w:noWrap/>
            <w:vAlign w:val="bottom"/>
            <w:hideMark/>
          </w:tcPr>
          <w:p w14:paraId="19F1C38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2.61</w:t>
            </w:r>
          </w:p>
        </w:tc>
        <w:tc>
          <w:tcPr>
            <w:tcW w:w="976" w:type="dxa"/>
            <w:tcBorders>
              <w:top w:val="nil"/>
              <w:left w:val="nil"/>
              <w:bottom w:val="single" w:sz="4" w:space="0" w:color="auto"/>
              <w:right w:val="single" w:sz="4" w:space="0" w:color="auto"/>
            </w:tcBorders>
            <w:shd w:val="clear" w:color="auto" w:fill="auto"/>
            <w:noWrap/>
            <w:vAlign w:val="bottom"/>
            <w:hideMark/>
          </w:tcPr>
          <w:p w14:paraId="6AE6E3D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18.78</w:t>
            </w:r>
          </w:p>
        </w:tc>
        <w:tc>
          <w:tcPr>
            <w:tcW w:w="954" w:type="dxa"/>
            <w:tcBorders>
              <w:top w:val="nil"/>
              <w:left w:val="nil"/>
              <w:bottom w:val="single" w:sz="4" w:space="0" w:color="auto"/>
              <w:right w:val="single" w:sz="4" w:space="0" w:color="auto"/>
            </w:tcBorders>
            <w:shd w:val="clear" w:color="auto" w:fill="auto"/>
            <w:noWrap/>
            <w:vAlign w:val="bottom"/>
            <w:hideMark/>
          </w:tcPr>
          <w:p w14:paraId="36C07C9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11.36</w:t>
            </w:r>
          </w:p>
        </w:tc>
      </w:tr>
      <w:tr w:rsidR="000C013D" w:rsidRPr="00986C3A" w14:paraId="0863B0E7"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75BC130"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2069/70</w:t>
            </w:r>
          </w:p>
        </w:tc>
        <w:tc>
          <w:tcPr>
            <w:tcW w:w="954" w:type="dxa"/>
            <w:tcBorders>
              <w:top w:val="nil"/>
              <w:left w:val="nil"/>
              <w:bottom w:val="single" w:sz="4" w:space="0" w:color="auto"/>
              <w:right w:val="single" w:sz="4" w:space="0" w:color="auto"/>
            </w:tcBorders>
            <w:shd w:val="clear" w:color="auto" w:fill="auto"/>
            <w:noWrap/>
            <w:vAlign w:val="bottom"/>
            <w:hideMark/>
          </w:tcPr>
          <w:p w14:paraId="160F359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46.20</w:t>
            </w:r>
          </w:p>
        </w:tc>
        <w:tc>
          <w:tcPr>
            <w:tcW w:w="954" w:type="dxa"/>
            <w:tcBorders>
              <w:top w:val="nil"/>
              <w:left w:val="nil"/>
              <w:bottom w:val="single" w:sz="4" w:space="0" w:color="auto"/>
              <w:right w:val="single" w:sz="4" w:space="0" w:color="auto"/>
            </w:tcBorders>
            <w:shd w:val="clear" w:color="auto" w:fill="auto"/>
            <w:noWrap/>
            <w:vAlign w:val="bottom"/>
            <w:hideMark/>
          </w:tcPr>
          <w:p w14:paraId="6088A685"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15.94</w:t>
            </w:r>
          </w:p>
        </w:tc>
        <w:tc>
          <w:tcPr>
            <w:tcW w:w="954" w:type="dxa"/>
            <w:tcBorders>
              <w:top w:val="nil"/>
              <w:left w:val="nil"/>
              <w:bottom w:val="single" w:sz="4" w:space="0" w:color="auto"/>
              <w:right w:val="single" w:sz="4" w:space="0" w:color="auto"/>
            </w:tcBorders>
            <w:shd w:val="clear" w:color="auto" w:fill="auto"/>
            <w:noWrap/>
            <w:vAlign w:val="bottom"/>
            <w:hideMark/>
          </w:tcPr>
          <w:p w14:paraId="7569180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32.56</w:t>
            </w:r>
          </w:p>
        </w:tc>
        <w:tc>
          <w:tcPr>
            <w:tcW w:w="954" w:type="dxa"/>
            <w:tcBorders>
              <w:top w:val="nil"/>
              <w:left w:val="nil"/>
              <w:bottom w:val="single" w:sz="4" w:space="0" w:color="auto"/>
              <w:right w:val="single" w:sz="4" w:space="0" w:color="auto"/>
            </w:tcBorders>
            <w:shd w:val="clear" w:color="auto" w:fill="auto"/>
            <w:noWrap/>
            <w:vAlign w:val="bottom"/>
            <w:hideMark/>
          </w:tcPr>
          <w:p w14:paraId="5BCBAAF8"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16.15</w:t>
            </w:r>
          </w:p>
        </w:tc>
        <w:tc>
          <w:tcPr>
            <w:tcW w:w="1008" w:type="dxa"/>
            <w:tcBorders>
              <w:top w:val="nil"/>
              <w:left w:val="nil"/>
              <w:bottom w:val="single" w:sz="4" w:space="0" w:color="auto"/>
              <w:right w:val="single" w:sz="4" w:space="0" w:color="auto"/>
            </w:tcBorders>
            <w:shd w:val="clear" w:color="auto" w:fill="auto"/>
            <w:noWrap/>
            <w:vAlign w:val="bottom"/>
            <w:hideMark/>
          </w:tcPr>
          <w:p w14:paraId="2F6AD19F"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18.02</w:t>
            </w:r>
          </w:p>
        </w:tc>
        <w:tc>
          <w:tcPr>
            <w:tcW w:w="976" w:type="dxa"/>
            <w:tcBorders>
              <w:top w:val="nil"/>
              <w:left w:val="nil"/>
              <w:bottom w:val="single" w:sz="4" w:space="0" w:color="auto"/>
              <w:right w:val="single" w:sz="4" w:space="0" w:color="auto"/>
            </w:tcBorders>
            <w:shd w:val="clear" w:color="auto" w:fill="auto"/>
            <w:noWrap/>
            <w:vAlign w:val="bottom"/>
            <w:hideMark/>
          </w:tcPr>
          <w:p w14:paraId="2FF89F53"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25.77</w:t>
            </w:r>
          </w:p>
        </w:tc>
        <w:tc>
          <w:tcPr>
            <w:tcW w:w="954" w:type="dxa"/>
            <w:tcBorders>
              <w:top w:val="nil"/>
              <w:left w:val="nil"/>
              <w:bottom w:val="single" w:sz="4" w:space="0" w:color="auto"/>
              <w:right w:val="single" w:sz="4" w:space="0" w:color="auto"/>
            </w:tcBorders>
            <w:shd w:val="clear" w:color="auto" w:fill="auto"/>
            <w:noWrap/>
            <w:vAlign w:val="bottom"/>
            <w:hideMark/>
          </w:tcPr>
          <w:p w14:paraId="7004EF78"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11.94</w:t>
            </w:r>
          </w:p>
        </w:tc>
      </w:tr>
      <w:tr w:rsidR="000C013D" w:rsidRPr="00986C3A" w14:paraId="76DF832F"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3864D61"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2070/71</w:t>
            </w:r>
          </w:p>
        </w:tc>
        <w:tc>
          <w:tcPr>
            <w:tcW w:w="954" w:type="dxa"/>
            <w:tcBorders>
              <w:top w:val="nil"/>
              <w:left w:val="nil"/>
              <w:bottom w:val="single" w:sz="4" w:space="0" w:color="auto"/>
              <w:right w:val="single" w:sz="4" w:space="0" w:color="auto"/>
            </w:tcBorders>
            <w:shd w:val="clear" w:color="auto" w:fill="auto"/>
            <w:noWrap/>
            <w:vAlign w:val="bottom"/>
            <w:hideMark/>
          </w:tcPr>
          <w:p w14:paraId="02537CA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40.67</w:t>
            </w:r>
          </w:p>
        </w:tc>
        <w:tc>
          <w:tcPr>
            <w:tcW w:w="954" w:type="dxa"/>
            <w:tcBorders>
              <w:top w:val="nil"/>
              <w:left w:val="nil"/>
              <w:bottom w:val="single" w:sz="4" w:space="0" w:color="auto"/>
              <w:right w:val="single" w:sz="4" w:space="0" w:color="auto"/>
            </w:tcBorders>
            <w:shd w:val="clear" w:color="auto" w:fill="auto"/>
            <w:noWrap/>
            <w:vAlign w:val="bottom"/>
            <w:hideMark/>
          </w:tcPr>
          <w:p w14:paraId="57E2A4D4"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14.05</w:t>
            </w:r>
          </w:p>
        </w:tc>
        <w:tc>
          <w:tcPr>
            <w:tcW w:w="954" w:type="dxa"/>
            <w:tcBorders>
              <w:top w:val="nil"/>
              <w:left w:val="nil"/>
              <w:bottom w:val="single" w:sz="4" w:space="0" w:color="auto"/>
              <w:right w:val="single" w:sz="4" w:space="0" w:color="auto"/>
            </w:tcBorders>
            <w:shd w:val="clear" w:color="auto" w:fill="auto"/>
            <w:noWrap/>
            <w:vAlign w:val="bottom"/>
            <w:hideMark/>
          </w:tcPr>
          <w:p w14:paraId="2CDA4AC3"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28.78</w:t>
            </w:r>
          </w:p>
        </w:tc>
        <w:tc>
          <w:tcPr>
            <w:tcW w:w="954" w:type="dxa"/>
            <w:tcBorders>
              <w:top w:val="nil"/>
              <w:left w:val="nil"/>
              <w:bottom w:val="single" w:sz="4" w:space="0" w:color="auto"/>
              <w:right w:val="single" w:sz="4" w:space="0" w:color="auto"/>
            </w:tcBorders>
            <w:shd w:val="clear" w:color="auto" w:fill="auto"/>
            <w:noWrap/>
            <w:vAlign w:val="bottom"/>
            <w:hideMark/>
          </w:tcPr>
          <w:p w14:paraId="4D72DAFA"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19.57</w:t>
            </w:r>
          </w:p>
        </w:tc>
        <w:tc>
          <w:tcPr>
            <w:tcW w:w="1008" w:type="dxa"/>
            <w:tcBorders>
              <w:top w:val="nil"/>
              <w:left w:val="nil"/>
              <w:bottom w:val="single" w:sz="4" w:space="0" w:color="auto"/>
              <w:right w:val="single" w:sz="4" w:space="0" w:color="auto"/>
            </w:tcBorders>
            <w:shd w:val="clear" w:color="auto" w:fill="auto"/>
            <w:noWrap/>
            <w:vAlign w:val="bottom"/>
            <w:hideMark/>
          </w:tcPr>
          <w:p w14:paraId="4A47953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17.08</w:t>
            </w:r>
          </w:p>
        </w:tc>
        <w:tc>
          <w:tcPr>
            <w:tcW w:w="976" w:type="dxa"/>
            <w:tcBorders>
              <w:top w:val="nil"/>
              <w:left w:val="nil"/>
              <w:bottom w:val="single" w:sz="4" w:space="0" w:color="auto"/>
              <w:right w:val="single" w:sz="4" w:space="0" w:color="auto"/>
            </w:tcBorders>
            <w:shd w:val="clear" w:color="auto" w:fill="auto"/>
            <w:noWrap/>
            <w:vAlign w:val="bottom"/>
            <w:hideMark/>
          </w:tcPr>
          <w:p w14:paraId="37353EFF"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24.03</w:t>
            </w:r>
          </w:p>
        </w:tc>
        <w:tc>
          <w:tcPr>
            <w:tcW w:w="954" w:type="dxa"/>
            <w:tcBorders>
              <w:top w:val="nil"/>
              <w:left w:val="nil"/>
              <w:bottom w:val="single" w:sz="4" w:space="0" w:color="auto"/>
              <w:right w:val="single" w:sz="4" w:space="0" w:color="auto"/>
            </w:tcBorders>
            <w:shd w:val="clear" w:color="auto" w:fill="auto"/>
            <w:noWrap/>
            <w:vAlign w:val="bottom"/>
            <w:hideMark/>
          </w:tcPr>
          <w:p w14:paraId="10BE7D74"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9.67</w:t>
            </w:r>
          </w:p>
        </w:tc>
      </w:tr>
      <w:tr w:rsidR="000C013D" w:rsidRPr="00986C3A" w14:paraId="495BD55C"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7B89D2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2071/72</w:t>
            </w:r>
          </w:p>
        </w:tc>
        <w:tc>
          <w:tcPr>
            <w:tcW w:w="954" w:type="dxa"/>
            <w:tcBorders>
              <w:top w:val="nil"/>
              <w:left w:val="nil"/>
              <w:bottom w:val="single" w:sz="4" w:space="0" w:color="auto"/>
              <w:right w:val="single" w:sz="4" w:space="0" w:color="auto"/>
            </w:tcBorders>
            <w:shd w:val="clear" w:color="auto" w:fill="auto"/>
            <w:noWrap/>
            <w:vAlign w:val="bottom"/>
            <w:hideMark/>
          </w:tcPr>
          <w:p w14:paraId="0072D85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30.92</w:t>
            </w:r>
          </w:p>
        </w:tc>
        <w:tc>
          <w:tcPr>
            <w:tcW w:w="954" w:type="dxa"/>
            <w:tcBorders>
              <w:top w:val="nil"/>
              <w:left w:val="nil"/>
              <w:bottom w:val="single" w:sz="4" w:space="0" w:color="auto"/>
              <w:right w:val="single" w:sz="4" w:space="0" w:color="auto"/>
            </w:tcBorders>
            <w:shd w:val="clear" w:color="auto" w:fill="auto"/>
            <w:noWrap/>
            <w:vAlign w:val="bottom"/>
            <w:hideMark/>
          </w:tcPr>
          <w:p w14:paraId="50E22100"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14.63</w:t>
            </w:r>
          </w:p>
        </w:tc>
        <w:tc>
          <w:tcPr>
            <w:tcW w:w="954" w:type="dxa"/>
            <w:tcBorders>
              <w:top w:val="nil"/>
              <w:left w:val="nil"/>
              <w:bottom w:val="single" w:sz="4" w:space="0" w:color="auto"/>
              <w:right w:val="single" w:sz="4" w:space="0" w:color="auto"/>
            </w:tcBorders>
            <w:shd w:val="clear" w:color="auto" w:fill="auto"/>
            <w:noWrap/>
            <w:vAlign w:val="bottom"/>
            <w:hideMark/>
          </w:tcPr>
          <w:p w14:paraId="0E18DAF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24.72</w:t>
            </w:r>
          </w:p>
        </w:tc>
        <w:tc>
          <w:tcPr>
            <w:tcW w:w="954" w:type="dxa"/>
            <w:tcBorders>
              <w:top w:val="nil"/>
              <w:left w:val="nil"/>
              <w:bottom w:val="single" w:sz="4" w:space="0" w:color="auto"/>
              <w:right w:val="single" w:sz="4" w:space="0" w:color="auto"/>
            </w:tcBorders>
            <w:shd w:val="clear" w:color="auto" w:fill="auto"/>
            <w:noWrap/>
            <w:vAlign w:val="bottom"/>
            <w:hideMark/>
          </w:tcPr>
          <w:p w14:paraId="6A94EC20"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15.58</w:t>
            </w:r>
          </w:p>
        </w:tc>
        <w:tc>
          <w:tcPr>
            <w:tcW w:w="1008" w:type="dxa"/>
            <w:tcBorders>
              <w:top w:val="nil"/>
              <w:left w:val="nil"/>
              <w:bottom w:val="single" w:sz="4" w:space="0" w:color="auto"/>
              <w:right w:val="single" w:sz="4" w:space="0" w:color="auto"/>
            </w:tcBorders>
            <w:shd w:val="clear" w:color="auto" w:fill="auto"/>
            <w:noWrap/>
            <w:vAlign w:val="bottom"/>
            <w:hideMark/>
          </w:tcPr>
          <w:p w14:paraId="6E3382E1"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18.34</w:t>
            </w:r>
          </w:p>
        </w:tc>
        <w:tc>
          <w:tcPr>
            <w:tcW w:w="976" w:type="dxa"/>
            <w:tcBorders>
              <w:top w:val="nil"/>
              <w:left w:val="nil"/>
              <w:bottom w:val="single" w:sz="4" w:space="0" w:color="auto"/>
              <w:right w:val="single" w:sz="4" w:space="0" w:color="auto"/>
            </w:tcBorders>
            <w:shd w:val="clear" w:color="auto" w:fill="auto"/>
            <w:noWrap/>
            <w:vAlign w:val="bottom"/>
            <w:hideMark/>
          </w:tcPr>
          <w:p w14:paraId="4930EA39"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20.84</w:t>
            </w:r>
          </w:p>
        </w:tc>
        <w:tc>
          <w:tcPr>
            <w:tcW w:w="954" w:type="dxa"/>
            <w:tcBorders>
              <w:top w:val="nil"/>
              <w:left w:val="nil"/>
              <w:bottom w:val="single" w:sz="4" w:space="0" w:color="auto"/>
              <w:right w:val="single" w:sz="4" w:space="0" w:color="auto"/>
            </w:tcBorders>
            <w:shd w:val="clear" w:color="auto" w:fill="auto"/>
            <w:noWrap/>
            <w:vAlign w:val="bottom"/>
            <w:hideMark/>
          </w:tcPr>
          <w:p w14:paraId="7496698A"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6.15</w:t>
            </w:r>
          </w:p>
        </w:tc>
      </w:tr>
      <w:tr w:rsidR="000C013D" w:rsidRPr="00986C3A" w14:paraId="3989F21A"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314F892"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2072/73</w:t>
            </w:r>
          </w:p>
        </w:tc>
        <w:tc>
          <w:tcPr>
            <w:tcW w:w="954" w:type="dxa"/>
            <w:tcBorders>
              <w:top w:val="nil"/>
              <w:left w:val="nil"/>
              <w:bottom w:val="single" w:sz="4" w:space="0" w:color="auto"/>
              <w:right w:val="single" w:sz="4" w:space="0" w:color="auto"/>
            </w:tcBorders>
            <w:shd w:val="clear" w:color="auto" w:fill="auto"/>
            <w:noWrap/>
            <w:vAlign w:val="bottom"/>
            <w:hideMark/>
          </w:tcPr>
          <w:p w14:paraId="3690E430"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29.30</w:t>
            </w:r>
          </w:p>
        </w:tc>
        <w:tc>
          <w:tcPr>
            <w:tcW w:w="954" w:type="dxa"/>
            <w:tcBorders>
              <w:top w:val="nil"/>
              <w:left w:val="nil"/>
              <w:bottom w:val="single" w:sz="4" w:space="0" w:color="auto"/>
              <w:right w:val="single" w:sz="4" w:space="0" w:color="auto"/>
            </w:tcBorders>
            <w:shd w:val="clear" w:color="auto" w:fill="auto"/>
            <w:noWrap/>
            <w:vAlign w:val="bottom"/>
            <w:hideMark/>
          </w:tcPr>
          <w:p w14:paraId="6F8ED589"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21.92</w:t>
            </w:r>
          </w:p>
        </w:tc>
        <w:tc>
          <w:tcPr>
            <w:tcW w:w="954" w:type="dxa"/>
            <w:tcBorders>
              <w:top w:val="nil"/>
              <w:left w:val="nil"/>
              <w:bottom w:val="single" w:sz="4" w:space="0" w:color="auto"/>
              <w:right w:val="single" w:sz="4" w:space="0" w:color="auto"/>
            </w:tcBorders>
            <w:shd w:val="clear" w:color="auto" w:fill="auto"/>
            <w:noWrap/>
            <w:vAlign w:val="bottom"/>
            <w:hideMark/>
          </w:tcPr>
          <w:p w14:paraId="55A2C94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33.10</w:t>
            </w:r>
          </w:p>
        </w:tc>
        <w:tc>
          <w:tcPr>
            <w:tcW w:w="954" w:type="dxa"/>
            <w:tcBorders>
              <w:top w:val="nil"/>
              <w:left w:val="nil"/>
              <w:bottom w:val="single" w:sz="4" w:space="0" w:color="auto"/>
              <w:right w:val="single" w:sz="4" w:space="0" w:color="auto"/>
            </w:tcBorders>
            <w:shd w:val="clear" w:color="auto" w:fill="auto"/>
            <w:noWrap/>
            <w:vAlign w:val="bottom"/>
            <w:hideMark/>
          </w:tcPr>
          <w:p w14:paraId="611080D5"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19.33</w:t>
            </w:r>
          </w:p>
        </w:tc>
        <w:tc>
          <w:tcPr>
            <w:tcW w:w="1008" w:type="dxa"/>
            <w:tcBorders>
              <w:top w:val="nil"/>
              <w:left w:val="nil"/>
              <w:bottom w:val="single" w:sz="4" w:space="0" w:color="auto"/>
              <w:right w:val="single" w:sz="4" w:space="0" w:color="auto"/>
            </w:tcBorders>
            <w:shd w:val="clear" w:color="auto" w:fill="auto"/>
            <w:noWrap/>
            <w:vAlign w:val="bottom"/>
            <w:hideMark/>
          </w:tcPr>
          <w:p w14:paraId="512B55A0"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20.21</w:t>
            </w:r>
          </w:p>
        </w:tc>
        <w:tc>
          <w:tcPr>
            <w:tcW w:w="976" w:type="dxa"/>
            <w:tcBorders>
              <w:top w:val="nil"/>
              <w:left w:val="nil"/>
              <w:bottom w:val="single" w:sz="4" w:space="0" w:color="auto"/>
              <w:right w:val="single" w:sz="4" w:space="0" w:color="auto"/>
            </w:tcBorders>
            <w:shd w:val="clear" w:color="auto" w:fill="auto"/>
            <w:noWrap/>
            <w:vAlign w:val="bottom"/>
            <w:hideMark/>
          </w:tcPr>
          <w:p w14:paraId="0680CAB2"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24.77</w:t>
            </w:r>
          </w:p>
        </w:tc>
        <w:tc>
          <w:tcPr>
            <w:tcW w:w="954" w:type="dxa"/>
            <w:tcBorders>
              <w:top w:val="nil"/>
              <w:left w:val="nil"/>
              <w:bottom w:val="single" w:sz="4" w:space="0" w:color="auto"/>
              <w:right w:val="single" w:sz="4" w:space="0" w:color="auto"/>
            </w:tcBorders>
            <w:shd w:val="clear" w:color="auto" w:fill="auto"/>
            <w:noWrap/>
            <w:vAlign w:val="bottom"/>
            <w:hideMark/>
          </w:tcPr>
          <w:p w14:paraId="15ECD3E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5.45</w:t>
            </w:r>
          </w:p>
        </w:tc>
      </w:tr>
      <w:tr w:rsidR="000C013D" w:rsidRPr="00986C3A" w14:paraId="267140F0"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C199739"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2073/74</w:t>
            </w:r>
          </w:p>
        </w:tc>
        <w:tc>
          <w:tcPr>
            <w:tcW w:w="954" w:type="dxa"/>
            <w:tcBorders>
              <w:top w:val="nil"/>
              <w:left w:val="nil"/>
              <w:bottom w:val="single" w:sz="4" w:space="0" w:color="auto"/>
              <w:right w:val="single" w:sz="4" w:space="0" w:color="auto"/>
            </w:tcBorders>
            <w:shd w:val="clear" w:color="auto" w:fill="auto"/>
            <w:noWrap/>
            <w:vAlign w:val="bottom"/>
            <w:hideMark/>
          </w:tcPr>
          <w:p w14:paraId="7CCB665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29.31</w:t>
            </w:r>
          </w:p>
        </w:tc>
        <w:tc>
          <w:tcPr>
            <w:tcW w:w="954" w:type="dxa"/>
            <w:tcBorders>
              <w:top w:val="nil"/>
              <w:left w:val="nil"/>
              <w:bottom w:val="single" w:sz="4" w:space="0" w:color="auto"/>
              <w:right w:val="single" w:sz="4" w:space="0" w:color="auto"/>
            </w:tcBorders>
            <w:shd w:val="clear" w:color="auto" w:fill="auto"/>
            <w:noWrap/>
            <w:vAlign w:val="bottom"/>
            <w:hideMark/>
          </w:tcPr>
          <w:p w14:paraId="2222AC9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9.60</w:t>
            </w:r>
          </w:p>
        </w:tc>
        <w:tc>
          <w:tcPr>
            <w:tcW w:w="954" w:type="dxa"/>
            <w:tcBorders>
              <w:top w:val="nil"/>
              <w:left w:val="nil"/>
              <w:bottom w:val="single" w:sz="4" w:space="0" w:color="auto"/>
              <w:right w:val="single" w:sz="4" w:space="0" w:color="auto"/>
            </w:tcBorders>
            <w:shd w:val="clear" w:color="auto" w:fill="auto"/>
            <w:noWrap/>
            <w:vAlign w:val="bottom"/>
            <w:hideMark/>
          </w:tcPr>
          <w:p w14:paraId="2744F11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26.84</w:t>
            </w:r>
          </w:p>
        </w:tc>
        <w:tc>
          <w:tcPr>
            <w:tcW w:w="954" w:type="dxa"/>
            <w:tcBorders>
              <w:top w:val="nil"/>
              <w:left w:val="nil"/>
              <w:bottom w:val="single" w:sz="4" w:space="0" w:color="auto"/>
              <w:right w:val="single" w:sz="4" w:space="0" w:color="auto"/>
            </w:tcBorders>
            <w:shd w:val="clear" w:color="auto" w:fill="auto"/>
            <w:noWrap/>
            <w:vAlign w:val="bottom"/>
            <w:hideMark/>
          </w:tcPr>
          <w:p w14:paraId="1AE26C22"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22.27</w:t>
            </w:r>
          </w:p>
        </w:tc>
        <w:tc>
          <w:tcPr>
            <w:tcW w:w="1008" w:type="dxa"/>
            <w:tcBorders>
              <w:top w:val="nil"/>
              <w:left w:val="nil"/>
              <w:bottom w:val="single" w:sz="4" w:space="0" w:color="auto"/>
              <w:right w:val="single" w:sz="4" w:space="0" w:color="auto"/>
            </w:tcBorders>
            <w:shd w:val="clear" w:color="auto" w:fill="auto"/>
            <w:noWrap/>
            <w:vAlign w:val="bottom"/>
            <w:hideMark/>
          </w:tcPr>
          <w:p w14:paraId="7B5B0739"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19.30</w:t>
            </w:r>
          </w:p>
        </w:tc>
        <w:tc>
          <w:tcPr>
            <w:tcW w:w="976" w:type="dxa"/>
            <w:tcBorders>
              <w:top w:val="nil"/>
              <w:left w:val="nil"/>
              <w:bottom w:val="single" w:sz="4" w:space="0" w:color="auto"/>
              <w:right w:val="single" w:sz="4" w:space="0" w:color="auto"/>
            </w:tcBorders>
            <w:shd w:val="clear" w:color="auto" w:fill="auto"/>
            <w:noWrap/>
            <w:vAlign w:val="bottom"/>
            <w:hideMark/>
          </w:tcPr>
          <w:p w14:paraId="6E3122B8"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21.46</w:t>
            </w:r>
          </w:p>
        </w:tc>
        <w:tc>
          <w:tcPr>
            <w:tcW w:w="954" w:type="dxa"/>
            <w:tcBorders>
              <w:top w:val="nil"/>
              <w:left w:val="nil"/>
              <w:bottom w:val="single" w:sz="4" w:space="0" w:color="auto"/>
              <w:right w:val="single" w:sz="4" w:space="0" w:color="auto"/>
            </w:tcBorders>
            <w:shd w:val="clear" w:color="auto" w:fill="auto"/>
            <w:noWrap/>
            <w:vAlign w:val="bottom"/>
            <w:hideMark/>
          </w:tcPr>
          <w:p w14:paraId="6E0DE759"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6.88</w:t>
            </w:r>
          </w:p>
        </w:tc>
      </w:tr>
      <w:tr w:rsidR="000C013D" w:rsidRPr="00986C3A" w14:paraId="24762E91"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1D4F78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2074/75</w:t>
            </w:r>
          </w:p>
        </w:tc>
        <w:tc>
          <w:tcPr>
            <w:tcW w:w="954" w:type="dxa"/>
            <w:tcBorders>
              <w:top w:val="nil"/>
              <w:left w:val="nil"/>
              <w:bottom w:val="single" w:sz="4" w:space="0" w:color="auto"/>
              <w:right w:val="single" w:sz="4" w:space="0" w:color="auto"/>
            </w:tcBorders>
            <w:shd w:val="clear" w:color="auto" w:fill="auto"/>
            <w:noWrap/>
            <w:vAlign w:val="bottom"/>
            <w:hideMark/>
          </w:tcPr>
          <w:p w14:paraId="4229B730"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34.37</w:t>
            </w:r>
          </w:p>
        </w:tc>
        <w:tc>
          <w:tcPr>
            <w:tcW w:w="954" w:type="dxa"/>
            <w:tcBorders>
              <w:top w:val="nil"/>
              <w:left w:val="nil"/>
              <w:bottom w:val="single" w:sz="4" w:space="0" w:color="auto"/>
              <w:right w:val="single" w:sz="4" w:space="0" w:color="auto"/>
            </w:tcBorders>
            <w:shd w:val="clear" w:color="auto" w:fill="auto"/>
            <w:noWrap/>
            <w:vAlign w:val="bottom"/>
            <w:hideMark/>
          </w:tcPr>
          <w:p w14:paraId="5565738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14.64</w:t>
            </w:r>
          </w:p>
        </w:tc>
        <w:tc>
          <w:tcPr>
            <w:tcW w:w="954" w:type="dxa"/>
            <w:tcBorders>
              <w:top w:val="nil"/>
              <w:left w:val="nil"/>
              <w:bottom w:val="single" w:sz="4" w:space="0" w:color="auto"/>
              <w:right w:val="single" w:sz="4" w:space="0" w:color="auto"/>
            </w:tcBorders>
            <w:shd w:val="clear" w:color="auto" w:fill="auto"/>
            <w:noWrap/>
            <w:vAlign w:val="bottom"/>
            <w:hideMark/>
          </w:tcPr>
          <w:p w14:paraId="300E83CC"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23.11</w:t>
            </w:r>
          </w:p>
        </w:tc>
        <w:tc>
          <w:tcPr>
            <w:tcW w:w="954" w:type="dxa"/>
            <w:tcBorders>
              <w:top w:val="nil"/>
              <w:left w:val="nil"/>
              <w:bottom w:val="single" w:sz="4" w:space="0" w:color="auto"/>
              <w:right w:val="single" w:sz="4" w:space="0" w:color="auto"/>
            </w:tcBorders>
            <w:shd w:val="clear" w:color="auto" w:fill="auto"/>
            <w:noWrap/>
            <w:vAlign w:val="bottom"/>
            <w:hideMark/>
          </w:tcPr>
          <w:p w14:paraId="37E2FCF4"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23.64</w:t>
            </w:r>
          </w:p>
        </w:tc>
        <w:tc>
          <w:tcPr>
            <w:tcW w:w="1008" w:type="dxa"/>
            <w:tcBorders>
              <w:top w:val="nil"/>
              <w:left w:val="nil"/>
              <w:bottom w:val="single" w:sz="4" w:space="0" w:color="auto"/>
              <w:right w:val="single" w:sz="4" w:space="0" w:color="auto"/>
            </w:tcBorders>
            <w:shd w:val="clear" w:color="auto" w:fill="auto"/>
            <w:noWrap/>
            <w:vAlign w:val="bottom"/>
            <w:hideMark/>
          </w:tcPr>
          <w:p w14:paraId="1A0F004C"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24.38</w:t>
            </w:r>
          </w:p>
        </w:tc>
        <w:tc>
          <w:tcPr>
            <w:tcW w:w="976" w:type="dxa"/>
            <w:tcBorders>
              <w:top w:val="nil"/>
              <w:left w:val="nil"/>
              <w:bottom w:val="single" w:sz="4" w:space="0" w:color="auto"/>
              <w:right w:val="single" w:sz="4" w:space="0" w:color="auto"/>
            </w:tcBorders>
            <w:shd w:val="clear" w:color="auto" w:fill="auto"/>
            <w:noWrap/>
            <w:vAlign w:val="bottom"/>
            <w:hideMark/>
          </w:tcPr>
          <w:p w14:paraId="4C8B2D6A"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24.03</w:t>
            </w:r>
          </w:p>
        </w:tc>
        <w:tc>
          <w:tcPr>
            <w:tcW w:w="954" w:type="dxa"/>
            <w:tcBorders>
              <w:top w:val="nil"/>
              <w:left w:val="nil"/>
              <w:bottom w:val="single" w:sz="4" w:space="0" w:color="auto"/>
              <w:right w:val="single" w:sz="4" w:space="0" w:color="auto"/>
            </w:tcBorders>
            <w:shd w:val="clear" w:color="auto" w:fill="auto"/>
            <w:noWrap/>
            <w:vAlign w:val="bottom"/>
            <w:hideMark/>
          </w:tcPr>
          <w:p w14:paraId="125A1221"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6.26</w:t>
            </w:r>
          </w:p>
        </w:tc>
      </w:tr>
      <w:tr w:rsidR="000C013D" w:rsidRPr="00986C3A" w14:paraId="1448056A"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4E53B74"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2075/76</w:t>
            </w:r>
          </w:p>
        </w:tc>
        <w:tc>
          <w:tcPr>
            <w:tcW w:w="954" w:type="dxa"/>
            <w:tcBorders>
              <w:top w:val="nil"/>
              <w:left w:val="nil"/>
              <w:bottom w:val="single" w:sz="4" w:space="0" w:color="auto"/>
              <w:right w:val="single" w:sz="4" w:space="0" w:color="auto"/>
            </w:tcBorders>
            <w:shd w:val="clear" w:color="auto" w:fill="auto"/>
            <w:noWrap/>
            <w:vAlign w:val="bottom"/>
            <w:hideMark/>
          </w:tcPr>
          <w:p w14:paraId="4926B59F"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25.83</w:t>
            </w:r>
          </w:p>
        </w:tc>
        <w:tc>
          <w:tcPr>
            <w:tcW w:w="954" w:type="dxa"/>
            <w:tcBorders>
              <w:top w:val="nil"/>
              <w:left w:val="nil"/>
              <w:bottom w:val="single" w:sz="4" w:space="0" w:color="auto"/>
              <w:right w:val="single" w:sz="4" w:space="0" w:color="auto"/>
            </w:tcBorders>
            <w:shd w:val="clear" w:color="auto" w:fill="auto"/>
            <w:noWrap/>
            <w:vAlign w:val="bottom"/>
            <w:hideMark/>
          </w:tcPr>
          <w:p w14:paraId="6D125E7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14.17</w:t>
            </w:r>
          </w:p>
        </w:tc>
        <w:tc>
          <w:tcPr>
            <w:tcW w:w="954" w:type="dxa"/>
            <w:tcBorders>
              <w:top w:val="nil"/>
              <w:left w:val="nil"/>
              <w:bottom w:val="single" w:sz="4" w:space="0" w:color="auto"/>
              <w:right w:val="single" w:sz="4" w:space="0" w:color="auto"/>
            </w:tcBorders>
            <w:shd w:val="clear" w:color="auto" w:fill="auto"/>
            <w:noWrap/>
            <w:vAlign w:val="bottom"/>
            <w:hideMark/>
          </w:tcPr>
          <w:p w14:paraId="74BFD76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32.44</w:t>
            </w:r>
          </w:p>
        </w:tc>
        <w:tc>
          <w:tcPr>
            <w:tcW w:w="954" w:type="dxa"/>
            <w:tcBorders>
              <w:top w:val="nil"/>
              <w:left w:val="nil"/>
              <w:bottom w:val="single" w:sz="4" w:space="0" w:color="auto"/>
              <w:right w:val="single" w:sz="4" w:space="0" w:color="auto"/>
            </w:tcBorders>
            <w:shd w:val="clear" w:color="auto" w:fill="auto"/>
            <w:noWrap/>
            <w:vAlign w:val="bottom"/>
            <w:hideMark/>
          </w:tcPr>
          <w:p w14:paraId="7EB8275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26.79</w:t>
            </w:r>
          </w:p>
        </w:tc>
        <w:tc>
          <w:tcPr>
            <w:tcW w:w="1008" w:type="dxa"/>
            <w:tcBorders>
              <w:top w:val="nil"/>
              <w:left w:val="nil"/>
              <w:bottom w:val="single" w:sz="4" w:space="0" w:color="auto"/>
              <w:right w:val="single" w:sz="4" w:space="0" w:color="auto"/>
            </w:tcBorders>
            <w:shd w:val="clear" w:color="auto" w:fill="auto"/>
            <w:noWrap/>
            <w:vAlign w:val="bottom"/>
            <w:hideMark/>
          </w:tcPr>
          <w:p w14:paraId="79CB38F5"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23.47</w:t>
            </w:r>
          </w:p>
        </w:tc>
        <w:tc>
          <w:tcPr>
            <w:tcW w:w="976" w:type="dxa"/>
            <w:tcBorders>
              <w:top w:val="nil"/>
              <w:left w:val="nil"/>
              <w:bottom w:val="single" w:sz="4" w:space="0" w:color="auto"/>
              <w:right w:val="single" w:sz="4" w:space="0" w:color="auto"/>
            </w:tcBorders>
            <w:shd w:val="clear" w:color="auto" w:fill="auto"/>
            <w:noWrap/>
            <w:vAlign w:val="bottom"/>
            <w:hideMark/>
          </w:tcPr>
          <w:p w14:paraId="0454F9E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24.54</w:t>
            </w:r>
          </w:p>
        </w:tc>
        <w:tc>
          <w:tcPr>
            <w:tcW w:w="954" w:type="dxa"/>
            <w:tcBorders>
              <w:top w:val="nil"/>
              <w:left w:val="nil"/>
              <w:bottom w:val="single" w:sz="4" w:space="0" w:color="auto"/>
              <w:right w:val="single" w:sz="4" w:space="0" w:color="auto"/>
            </w:tcBorders>
            <w:shd w:val="clear" w:color="auto" w:fill="auto"/>
            <w:noWrap/>
            <w:vAlign w:val="bottom"/>
            <w:hideMark/>
          </w:tcPr>
          <w:p w14:paraId="4B04DABB"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5.96</w:t>
            </w:r>
          </w:p>
        </w:tc>
      </w:tr>
      <w:tr w:rsidR="000C013D" w:rsidRPr="00986C3A" w14:paraId="7133C80F"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A045FF1"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Mean</w:t>
            </w:r>
          </w:p>
        </w:tc>
        <w:tc>
          <w:tcPr>
            <w:tcW w:w="954" w:type="dxa"/>
            <w:tcBorders>
              <w:top w:val="nil"/>
              <w:left w:val="nil"/>
              <w:bottom w:val="single" w:sz="4" w:space="0" w:color="auto"/>
              <w:right w:val="single" w:sz="4" w:space="0" w:color="auto"/>
            </w:tcBorders>
            <w:shd w:val="clear" w:color="auto" w:fill="auto"/>
            <w:noWrap/>
            <w:vAlign w:val="bottom"/>
            <w:hideMark/>
          </w:tcPr>
          <w:p w14:paraId="04E16F61"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33.03</w:t>
            </w:r>
          </w:p>
        </w:tc>
        <w:tc>
          <w:tcPr>
            <w:tcW w:w="954" w:type="dxa"/>
            <w:tcBorders>
              <w:top w:val="nil"/>
              <w:left w:val="nil"/>
              <w:bottom w:val="single" w:sz="4" w:space="0" w:color="auto"/>
              <w:right w:val="single" w:sz="4" w:space="0" w:color="auto"/>
            </w:tcBorders>
            <w:shd w:val="clear" w:color="auto" w:fill="auto"/>
            <w:noWrap/>
            <w:vAlign w:val="bottom"/>
            <w:hideMark/>
          </w:tcPr>
          <w:p w14:paraId="577A9302"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15.27</w:t>
            </w:r>
          </w:p>
        </w:tc>
        <w:tc>
          <w:tcPr>
            <w:tcW w:w="954" w:type="dxa"/>
            <w:tcBorders>
              <w:top w:val="nil"/>
              <w:left w:val="nil"/>
              <w:bottom w:val="single" w:sz="4" w:space="0" w:color="auto"/>
              <w:right w:val="single" w:sz="4" w:space="0" w:color="auto"/>
            </w:tcBorders>
            <w:shd w:val="clear" w:color="auto" w:fill="auto"/>
            <w:noWrap/>
            <w:vAlign w:val="bottom"/>
            <w:hideMark/>
          </w:tcPr>
          <w:p w14:paraId="1466AB7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29.54</w:t>
            </w:r>
          </w:p>
        </w:tc>
        <w:tc>
          <w:tcPr>
            <w:tcW w:w="954" w:type="dxa"/>
            <w:tcBorders>
              <w:top w:val="nil"/>
              <w:left w:val="nil"/>
              <w:bottom w:val="single" w:sz="4" w:space="0" w:color="auto"/>
              <w:right w:val="single" w:sz="4" w:space="0" w:color="auto"/>
            </w:tcBorders>
            <w:shd w:val="clear" w:color="auto" w:fill="auto"/>
            <w:noWrap/>
            <w:vAlign w:val="bottom"/>
            <w:hideMark/>
          </w:tcPr>
          <w:p w14:paraId="41CCB1BF"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19.39</w:t>
            </w:r>
          </w:p>
        </w:tc>
        <w:tc>
          <w:tcPr>
            <w:tcW w:w="1008" w:type="dxa"/>
            <w:tcBorders>
              <w:top w:val="nil"/>
              <w:left w:val="nil"/>
              <w:bottom w:val="single" w:sz="4" w:space="0" w:color="auto"/>
              <w:right w:val="single" w:sz="4" w:space="0" w:color="auto"/>
            </w:tcBorders>
            <w:shd w:val="clear" w:color="auto" w:fill="auto"/>
            <w:noWrap/>
            <w:vAlign w:val="bottom"/>
            <w:hideMark/>
          </w:tcPr>
          <w:p w14:paraId="64CBCB18"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17.93</w:t>
            </w:r>
          </w:p>
        </w:tc>
        <w:tc>
          <w:tcPr>
            <w:tcW w:w="976" w:type="dxa"/>
            <w:tcBorders>
              <w:top w:val="nil"/>
              <w:left w:val="nil"/>
              <w:bottom w:val="single" w:sz="4" w:space="0" w:color="auto"/>
              <w:right w:val="single" w:sz="4" w:space="0" w:color="auto"/>
            </w:tcBorders>
            <w:shd w:val="clear" w:color="auto" w:fill="auto"/>
            <w:noWrap/>
            <w:vAlign w:val="bottom"/>
            <w:hideMark/>
          </w:tcPr>
          <w:p w14:paraId="793B4855"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 </w:t>
            </w:r>
          </w:p>
        </w:tc>
        <w:tc>
          <w:tcPr>
            <w:tcW w:w="954" w:type="dxa"/>
            <w:tcBorders>
              <w:top w:val="nil"/>
              <w:left w:val="nil"/>
              <w:bottom w:val="single" w:sz="4" w:space="0" w:color="auto"/>
              <w:right w:val="single" w:sz="4" w:space="0" w:color="auto"/>
            </w:tcBorders>
            <w:shd w:val="clear" w:color="auto" w:fill="auto"/>
            <w:noWrap/>
            <w:vAlign w:val="bottom"/>
            <w:hideMark/>
          </w:tcPr>
          <w:p w14:paraId="7252E54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 </w:t>
            </w:r>
          </w:p>
        </w:tc>
      </w:tr>
      <w:tr w:rsidR="000C013D" w:rsidRPr="00986C3A" w14:paraId="107FF79B" w14:textId="77777777" w:rsidTr="00354635">
        <w:trPr>
          <w:trHeight w:val="30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A8EE8D9" w14:textId="77777777" w:rsidR="000C013D" w:rsidRPr="00986C3A" w:rsidRDefault="000C013D" w:rsidP="00986C3A">
            <w:pPr>
              <w:spacing w:after="0" w:line="240" w:lineRule="auto"/>
              <w:jc w:val="both"/>
              <w:rPr>
                <w:rFonts w:ascii="Times New Roman" w:eastAsia="Times New Roman" w:hAnsi="Times New Roman" w:cs="Times New Roman"/>
                <w:color w:val="000000"/>
              </w:rPr>
            </w:pPr>
            <w:proofErr w:type="gramStart"/>
            <w:r w:rsidRPr="00986C3A">
              <w:rPr>
                <w:rFonts w:ascii="Times New Roman" w:eastAsia="Times New Roman" w:hAnsi="Times New Roman" w:cs="Times New Roman"/>
                <w:color w:val="000000"/>
              </w:rPr>
              <w:t>S.D</w:t>
            </w:r>
            <w:proofErr w:type="gramEnd"/>
          </w:p>
        </w:tc>
        <w:tc>
          <w:tcPr>
            <w:tcW w:w="954" w:type="dxa"/>
            <w:tcBorders>
              <w:top w:val="nil"/>
              <w:left w:val="nil"/>
              <w:bottom w:val="single" w:sz="4" w:space="0" w:color="auto"/>
              <w:right w:val="single" w:sz="4" w:space="0" w:color="auto"/>
            </w:tcBorders>
            <w:shd w:val="clear" w:color="auto" w:fill="auto"/>
            <w:noWrap/>
            <w:vAlign w:val="bottom"/>
            <w:hideMark/>
          </w:tcPr>
          <w:p w14:paraId="0787C159"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6.59</w:t>
            </w:r>
          </w:p>
        </w:tc>
        <w:tc>
          <w:tcPr>
            <w:tcW w:w="954" w:type="dxa"/>
            <w:tcBorders>
              <w:top w:val="nil"/>
              <w:left w:val="nil"/>
              <w:bottom w:val="single" w:sz="4" w:space="0" w:color="auto"/>
              <w:right w:val="single" w:sz="4" w:space="0" w:color="auto"/>
            </w:tcBorders>
            <w:shd w:val="clear" w:color="auto" w:fill="auto"/>
            <w:noWrap/>
            <w:vAlign w:val="bottom"/>
            <w:hideMark/>
          </w:tcPr>
          <w:p w14:paraId="7E11381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3.24</w:t>
            </w:r>
          </w:p>
        </w:tc>
        <w:tc>
          <w:tcPr>
            <w:tcW w:w="954" w:type="dxa"/>
            <w:tcBorders>
              <w:top w:val="nil"/>
              <w:left w:val="nil"/>
              <w:bottom w:val="single" w:sz="4" w:space="0" w:color="auto"/>
              <w:right w:val="single" w:sz="4" w:space="0" w:color="auto"/>
            </w:tcBorders>
            <w:shd w:val="clear" w:color="auto" w:fill="auto"/>
            <w:noWrap/>
            <w:vAlign w:val="bottom"/>
            <w:hideMark/>
          </w:tcPr>
          <w:p w14:paraId="75A2A6F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4.02</w:t>
            </w:r>
          </w:p>
        </w:tc>
        <w:tc>
          <w:tcPr>
            <w:tcW w:w="954" w:type="dxa"/>
            <w:tcBorders>
              <w:top w:val="nil"/>
              <w:left w:val="nil"/>
              <w:bottom w:val="single" w:sz="4" w:space="0" w:color="auto"/>
              <w:right w:val="single" w:sz="4" w:space="0" w:color="auto"/>
            </w:tcBorders>
            <w:shd w:val="clear" w:color="auto" w:fill="auto"/>
            <w:noWrap/>
            <w:vAlign w:val="bottom"/>
            <w:hideMark/>
          </w:tcPr>
          <w:p w14:paraId="7BED6537"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4.53</w:t>
            </w:r>
          </w:p>
        </w:tc>
        <w:tc>
          <w:tcPr>
            <w:tcW w:w="1008" w:type="dxa"/>
            <w:tcBorders>
              <w:top w:val="nil"/>
              <w:left w:val="nil"/>
              <w:bottom w:val="single" w:sz="4" w:space="0" w:color="auto"/>
              <w:right w:val="single" w:sz="4" w:space="0" w:color="auto"/>
            </w:tcBorders>
            <w:shd w:val="clear" w:color="auto" w:fill="auto"/>
            <w:noWrap/>
            <w:vAlign w:val="bottom"/>
            <w:hideMark/>
          </w:tcPr>
          <w:p w14:paraId="5D50F46D"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6.27</w:t>
            </w:r>
          </w:p>
        </w:tc>
        <w:tc>
          <w:tcPr>
            <w:tcW w:w="976" w:type="dxa"/>
            <w:tcBorders>
              <w:top w:val="nil"/>
              <w:left w:val="nil"/>
              <w:bottom w:val="single" w:sz="4" w:space="0" w:color="auto"/>
              <w:right w:val="single" w:sz="4" w:space="0" w:color="auto"/>
            </w:tcBorders>
            <w:shd w:val="clear" w:color="auto" w:fill="auto"/>
            <w:noWrap/>
            <w:vAlign w:val="bottom"/>
            <w:hideMark/>
          </w:tcPr>
          <w:p w14:paraId="05BDE6C6"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 </w:t>
            </w:r>
          </w:p>
        </w:tc>
        <w:tc>
          <w:tcPr>
            <w:tcW w:w="954" w:type="dxa"/>
            <w:tcBorders>
              <w:top w:val="nil"/>
              <w:left w:val="nil"/>
              <w:bottom w:val="single" w:sz="4" w:space="0" w:color="auto"/>
              <w:right w:val="single" w:sz="4" w:space="0" w:color="auto"/>
            </w:tcBorders>
            <w:shd w:val="clear" w:color="auto" w:fill="auto"/>
            <w:noWrap/>
            <w:vAlign w:val="bottom"/>
            <w:hideMark/>
          </w:tcPr>
          <w:p w14:paraId="614ADFFE" w14:textId="77777777" w:rsidR="000C013D" w:rsidRPr="00986C3A" w:rsidRDefault="000C013D" w:rsidP="00986C3A">
            <w:pPr>
              <w:spacing w:after="0" w:line="240" w:lineRule="auto"/>
              <w:jc w:val="both"/>
              <w:rPr>
                <w:rFonts w:ascii="Times New Roman" w:eastAsia="Times New Roman" w:hAnsi="Times New Roman" w:cs="Times New Roman"/>
                <w:color w:val="000000"/>
              </w:rPr>
            </w:pPr>
            <w:r w:rsidRPr="00986C3A">
              <w:rPr>
                <w:rFonts w:ascii="Times New Roman" w:eastAsia="Times New Roman" w:hAnsi="Times New Roman" w:cs="Times New Roman"/>
                <w:color w:val="000000"/>
              </w:rPr>
              <w:t> </w:t>
            </w:r>
          </w:p>
        </w:tc>
      </w:tr>
    </w:tbl>
    <w:p w14:paraId="50F4A2F8" w14:textId="77777777" w:rsidR="00841F47" w:rsidRPr="00841F47" w:rsidRDefault="00841F47" w:rsidP="00841F47">
      <w:pPr>
        <w:tabs>
          <w:tab w:val="left" w:pos="1155"/>
        </w:tabs>
        <w:spacing w:before="240" w:after="240" w:line="384"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bookmarkStart w:id="6" w:name="_Hlk81848735"/>
      <w:r w:rsidRPr="00841F47">
        <w:rPr>
          <w:rFonts w:ascii="Times New Roman" w:hAnsi="Times New Roman" w:cs="Times New Roman"/>
          <w:color w:val="000000" w:themeColor="text1"/>
          <w:sz w:val="24"/>
          <w:szCs w:val="24"/>
        </w:rPr>
        <w:t xml:space="preserve">Source: </w:t>
      </w:r>
      <w:r w:rsidRPr="00841F47">
        <w:rPr>
          <w:rFonts w:ascii="Times New Roman" w:hAnsi="Times New Roman" w:cs="Times New Roman"/>
          <w:i/>
          <w:color w:val="000000" w:themeColor="text1"/>
          <w:sz w:val="24"/>
          <w:szCs w:val="24"/>
        </w:rPr>
        <w:t>Annual Report of concern Banks</w:t>
      </w:r>
    </w:p>
    <w:bookmarkEnd w:id="6"/>
    <w:p w14:paraId="7FBE170C" w14:textId="541CDE75" w:rsidR="00841F47" w:rsidRDefault="00841F47" w:rsidP="00444603">
      <w:pPr>
        <w:tabs>
          <w:tab w:val="left" w:pos="1155"/>
        </w:tabs>
        <w:spacing w:before="240" w:after="240" w:line="384" w:lineRule="auto"/>
        <w:jc w:val="both"/>
        <w:rPr>
          <w:rFonts w:ascii="Times New Roman" w:hAnsi="Times New Roman" w:cs="Times New Roman"/>
          <w:color w:val="000000" w:themeColor="text1"/>
          <w:sz w:val="24"/>
          <w:szCs w:val="24"/>
        </w:rPr>
      </w:pPr>
    </w:p>
    <w:p w14:paraId="184AB11B" w14:textId="2869D932" w:rsidR="000C013D" w:rsidRPr="00143B41" w:rsidRDefault="000C013D" w:rsidP="00444603">
      <w:pPr>
        <w:tabs>
          <w:tab w:val="left" w:pos="1155"/>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4.1 shows that the average earning per share varies widely within individual bank also. It has increased from Rs.11.79 to Rs.26.79 for GIBL, from Rs.2.61 to Rs.23.47 for NMBL &amp; similarly half of the bank have increasing EPS.</w:t>
      </w:r>
    </w:p>
    <w:p w14:paraId="04790A57" w14:textId="77777777" w:rsidR="000C013D" w:rsidRPr="00143B41" w:rsidRDefault="000C013D" w:rsidP="00444603">
      <w:pPr>
        <w:tabs>
          <w:tab w:val="left" w:pos="1155"/>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earning per share has been decreased from Rs.17.18 to Rs.14.17 for KBL, from Rs34.73 to Rs.32.44 for HBL and half of the bank has decreasing EPS. Thus, when earning per share is compared over a period of time for individual banks, it is noticed that earning per share has increasing in majority of selected commercial banks in recent year.</w:t>
      </w:r>
    </w:p>
    <w:p w14:paraId="328E618E" w14:textId="77777777" w:rsidR="000C013D" w:rsidRPr="00143B41" w:rsidRDefault="000C013D" w:rsidP="00444603">
      <w:pPr>
        <w:tabs>
          <w:tab w:val="left" w:pos="1155"/>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average earning per share is highest for NIBL is Rs.33.03 lowest average EPS is Rs.15.27 for KBL.</w:t>
      </w:r>
    </w:p>
    <w:p w14:paraId="1B415609" w14:textId="77777777" w:rsidR="000C013D" w:rsidRPr="00143B41" w:rsidRDefault="000C013D" w:rsidP="00444603">
      <w:pPr>
        <w:tabs>
          <w:tab w:val="left" w:pos="1155"/>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variation in earning per share as indicated by SD is lowest for KBL followed by HBL and so on, the highest variation in EPS is seen in NIBL’s EPS.</w:t>
      </w:r>
    </w:p>
    <w:p w14:paraId="348E5BC1" w14:textId="77777777" w:rsidR="000C013D" w:rsidRPr="00143B41" w:rsidRDefault="000C013D" w:rsidP="00444603">
      <w:pPr>
        <w:tabs>
          <w:tab w:val="left" w:pos="1155"/>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Similarly, earnings per share fluctuated far and wide from year to year. The computation of SD shows that variation in EPS is lowest in 2072/73 and highest in 2069/70.</w:t>
      </w:r>
    </w:p>
    <w:p w14:paraId="5462D5B3" w14:textId="62DE8B68" w:rsidR="000C013D" w:rsidRPr="00143B41" w:rsidRDefault="008C6D90" w:rsidP="00444603">
      <w:pPr>
        <w:tabs>
          <w:tab w:val="left" w:pos="1155"/>
        </w:tabs>
        <w:spacing w:before="240" w:after="240" w:line="384" w:lineRule="auto"/>
        <w:jc w:val="both"/>
        <w:rPr>
          <w:rFonts w:ascii="Times New Roman" w:hAnsi="Times New Roman" w:cs="Times New Roman"/>
          <w:b/>
          <w:bCs/>
          <w:color w:val="000000" w:themeColor="text1"/>
          <w:sz w:val="24"/>
          <w:szCs w:val="24"/>
        </w:rPr>
      </w:pPr>
      <w:r w:rsidRPr="008C6D90">
        <w:rPr>
          <w:rFonts w:ascii="Times New Roman" w:hAnsi="Times New Roman" w:cs="Times New Roman"/>
          <w:b/>
          <w:bCs/>
          <w:color w:val="000000" w:themeColor="text1"/>
          <w:sz w:val="24"/>
          <w:szCs w:val="24"/>
        </w:rPr>
        <w:t>Figure 4.</w:t>
      </w:r>
      <w:r>
        <w:rPr>
          <w:rFonts w:ascii="Times New Roman" w:hAnsi="Times New Roman" w:cs="Times New Roman"/>
          <w:b/>
          <w:bCs/>
          <w:color w:val="000000" w:themeColor="text1"/>
          <w:sz w:val="24"/>
          <w:szCs w:val="24"/>
        </w:rPr>
        <w:t>1</w:t>
      </w:r>
      <w:r w:rsidRPr="008C6D90">
        <w:rPr>
          <w:rFonts w:ascii="Times New Roman" w:hAnsi="Times New Roman" w:cs="Times New Roman"/>
          <w:b/>
          <w:bCs/>
          <w:color w:val="000000" w:themeColor="text1"/>
          <w:sz w:val="24"/>
          <w:szCs w:val="24"/>
        </w:rPr>
        <w:t xml:space="preserve"> shows average </w:t>
      </w:r>
      <w:r>
        <w:rPr>
          <w:rFonts w:ascii="Times New Roman" w:hAnsi="Times New Roman" w:cs="Times New Roman"/>
          <w:b/>
          <w:bCs/>
          <w:color w:val="000000" w:themeColor="text1"/>
          <w:sz w:val="24"/>
          <w:szCs w:val="24"/>
        </w:rPr>
        <w:t>earning</w:t>
      </w:r>
      <w:r w:rsidRPr="008C6D90">
        <w:rPr>
          <w:rFonts w:ascii="Times New Roman" w:hAnsi="Times New Roman" w:cs="Times New Roman"/>
          <w:b/>
          <w:bCs/>
          <w:color w:val="000000" w:themeColor="text1"/>
          <w:sz w:val="24"/>
          <w:szCs w:val="24"/>
        </w:rPr>
        <w:t xml:space="preserve"> per share of different commercial banks of Nepal.</w:t>
      </w:r>
    </w:p>
    <w:p w14:paraId="6EAD2504" w14:textId="77777777" w:rsidR="000C013D" w:rsidRPr="00143B41" w:rsidRDefault="000C013D" w:rsidP="00444603">
      <w:pPr>
        <w:tabs>
          <w:tab w:val="left" w:pos="1155"/>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noProof/>
          <w:color w:val="000000" w:themeColor="text1"/>
          <w:sz w:val="24"/>
          <w:szCs w:val="24"/>
          <w:lang w:bidi="ne-NP"/>
        </w:rPr>
        <w:drawing>
          <wp:inline distT="0" distB="0" distL="0" distR="0" wp14:anchorId="5E508057" wp14:editId="51586817">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8912678" w14:textId="77777777" w:rsidR="000C013D" w:rsidRPr="00143B41" w:rsidRDefault="000C013D" w:rsidP="00444603">
      <w:pPr>
        <w:tabs>
          <w:tab w:val="left" w:pos="1155"/>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average earning per share of Nepalese commercial banks shows the fluctuation pattern over the study period. The figure shows that earnings per share of Nepalese commercial banks have increased from 2068/69 to 2069/70. However, earning per share has decreased from 2069/70 to 2071/70. From the graph, it is observed that the average minimum earnings per share is Rs.18.78 in the year 2068/69 and average maximum earnings per share is Rs.25.77 in the year 2069/70. Overall, this figure shows that the average earnings per share is in fluctuating trend.</w:t>
      </w:r>
    </w:p>
    <w:p w14:paraId="037D9F77"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4.1.2 Dividend Per Share</w:t>
      </w:r>
    </w:p>
    <w:p w14:paraId="1B5FE5D3" w14:textId="161F6FAC"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Dividend per share for the period 2068/69 to 2075/76 has been presented in Table 4.</w:t>
      </w:r>
      <w:proofErr w:type="gramStart"/>
      <w:r w:rsidRPr="00143B41">
        <w:rPr>
          <w:rFonts w:ascii="Times New Roman" w:hAnsi="Times New Roman" w:cs="Times New Roman"/>
          <w:color w:val="000000" w:themeColor="text1"/>
          <w:sz w:val="24"/>
          <w:szCs w:val="24"/>
        </w:rPr>
        <w:t>2.Table</w:t>
      </w:r>
      <w:proofErr w:type="gramEnd"/>
      <w:r w:rsidRPr="00143B41">
        <w:rPr>
          <w:rFonts w:ascii="Times New Roman" w:hAnsi="Times New Roman" w:cs="Times New Roman"/>
          <w:color w:val="000000" w:themeColor="text1"/>
          <w:sz w:val="24"/>
          <w:szCs w:val="24"/>
        </w:rPr>
        <w:t xml:space="preserve"> 4.2 shows that the Dividend per share is highest for HBL (21.45 rupees) </w:t>
      </w:r>
      <w:r w:rsidRPr="00143B41">
        <w:rPr>
          <w:rFonts w:ascii="Times New Roman" w:hAnsi="Times New Roman" w:cs="Times New Roman"/>
          <w:color w:val="000000" w:themeColor="text1"/>
          <w:sz w:val="24"/>
          <w:szCs w:val="24"/>
        </w:rPr>
        <w:lastRenderedPageBreak/>
        <w:t>followed by NIBL (21.15 rupees), NMBL (19.66 rupees) and GIBL (17.37 rupees). The average DPS is lowest for KBL (13.44 rupees).</w:t>
      </w:r>
    </w:p>
    <w:p w14:paraId="49008A05" w14:textId="77777777" w:rsidR="000C013D" w:rsidRPr="00143B41" w:rsidRDefault="00A64B2D" w:rsidP="00444603">
      <w:pPr>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Table no</w:t>
      </w:r>
      <w:r w:rsidR="00241353" w:rsidRPr="00143B41">
        <w:rPr>
          <w:rFonts w:ascii="Times New Roman" w:hAnsi="Times New Roman" w:cs="Times New Roman"/>
          <w:b/>
          <w:bCs/>
          <w:color w:val="000000" w:themeColor="text1"/>
          <w:sz w:val="24"/>
          <w:szCs w:val="24"/>
        </w:rPr>
        <w:t>.</w:t>
      </w:r>
      <w:r w:rsidR="000C013D" w:rsidRPr="00143B41">
        <w:rPr>
          <w:rFonts w:ascii="Times New Roman" w:hAnsi="Times New Roman" w:cs="Times New Roman"/>
          <w:b/>
          <w:bCs/>
          <w:color w:val="000000" w:themeColor="text1"/>
          <w:sz w:val="24"/>
          <w:szCs w:val="24"/>
        </w:rPr>
        <w:t>4.2 Dividend per share of Banks under study of financial indicators.</w:t>
      </w:r>
    </w:p>
    <w:tbl>
      <w:tblPr>
        <w:tblW w:w="5000" w:type="pct"/>
        <w:tblLook w:val="04A0" w:firstRow="1" w:lastRow="0" w:firstColumn="1" w:lastColumn="0" w:noHBand="0" w:noVBand="1"/>
      </w:tblPr>
      <w:tblGrid>
        <w:gridCol w:w="1624"/>
        <w:gridCol w:w="1022"/>
        <w:gridCol w:w="1022"/>
        <w:gridCol w:w="1022"/>
        <w:gridCol w:w="1022"/>
        <w:gridCol w:w="1079"/>
        <w:gridCol w:w="1047"/>
        <w:gridCol w:w="1018"/>
      </w:tblGrid>
      <w:tr w:rsidR="000C013D" w:rsidRPr="005E0B4D" w14:paraId="5F0346E5" w14:textId="77777777" w:rsidTr="00495CCA">
        <w:trPr>
          <w:trHeight w:val="309"/>
        </w:trPr>
        <w:tc>
          <w:tcPr>
            <w:tcW w:w="91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BCEC3"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Year/Bank</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23F7ECB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NIBL</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794165E5"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KBL</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5CEF099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HBL</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594FA20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GIBL</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5F07948C"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NMBL</w:t>
            </w:r>
          </w:p>
        </w:tc>
        <w:tc>
          <w:tcPr>
            <w:tcW w:w="591" w:type="pct"/>
            <w:tcBorders>
              <w:top w:val="single" w:sz="4" w:space="0" w:color="auto"/>
              <w:left w:val="nil"/>
              <w:bottom w:val="single" w:sz="4" w:space="0" w:color="auto"/>
              <w:right w:val="single" w:sz="4" w:space="0" w:color="auto"/>
            </w:tcBorders>
            <w:shd w:val="clear" w:color="auto" w:fill="auto"/>
            <w:noWrap/>
            <w:vAlign w:val="bottom"/>
            <w:hideMark/>
          </w:tcPr>
          <w:p w14:paraId="40DAACEE"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Mean</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2028F9C9" w14:textId="77777777" w:rsidR="000C013D" w:rsidRPr="005E0B4D" w:rsidRDefault="000C013D" w:rsidP="005E0B4D">
            <w:pPr>
              <w:spacing w:after="0" w:line="240" w:lineRule="auto"/>
              <w:jc w:val="both"/>
              <w:rPr>
                <w:rFonts w:ascii="Times New Roman" w:eastAsia="Times New Roman" w:hAnsi="Times New Roman" w:cs="Times New Roman"/>
                <w:color w:val="000000"/>
              </w:rPr>
            </w:pPr>
            <w:proofErr w:type="gramStart"/>
            <w:r w:rsidRPr="005E0B4D">
              <w:rPr>
                <w:rFonts w:ascii="Times New Roman" w:eastAsia="Times New Roman" w:hAnsi="Times New Roman" w:cs="Times New Roman"/>
                <w:color w:val="000000"/>
              </w:rPr>
              <w:t>S.D</w:t>
            </w:r>
            <w:proofErr w:type="gramEnd"/>
          </w:p>
        </w:tc>
      </w:tr>
      <w:tr w:rsidR="000C013D" w:rsidRPr="005E0B4D" w14:paraId="5F0241E2"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1BC3A5D8"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2068/69</w:t>
            </w:r>
          </w:p>
        </w:tc>
        <w:tc>
          <w:tcPr>
            <w:tcW w:w="577" w:type="pct"/>
            <w:tcBorders>
              <w:top w:val="nil"/>
              <w:left w:val="nil"/>
              <w:bottom w:val="single" w:sz="4" w:space="0" w:color="auto"/>
              <w:right w:val="single" w:sz="4" w:space="0" w:color="auto"/>
            </w:tcBorders>
            <w:shd w:val="clear" w:color="auto" w:fill="auto"/>
            <w:noWrap/>
            <w:vAlign w:val="bottom"/>
            <w:hideMark/>
          </w:tcPr>
          <w:p w14:paraId="3BBE2377"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28.55</w:t>
            </w:r>
          </w:p>
        </w:tc>
        <w:tc>
          <w:tcPr>
            <w:tcW w:w="577" w:type="pct"/>
            <w:tcBorders>
              <w:top w:val="nil"/>
              <w:left w:val="nil"/>
              <w:bottom w:val="single" w:sz="4" w:space="0" w:color="auto"/>
              <w:right w:val="single" w:sz="4" w:space="0" w:color="auto"/>
            </w:tcBorders>
            <w:shd w:val="clear" w:color="auto" w:fill="auto"/>
            <w:noWrap/>
            <w:vAlign w:val="bottom"/>
            <w:hideMark/>
          </w:tcPr>
          <w:p w14:paraId="0863577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7.00</w:t>
            </w:r>
          </w:p>
        </w:tc>
        <w:tc>
          <w:tcPr>
            <w:tcW w:w="577" w:type="pct"/>
            <w:tcBorders>
              <w:top w:val="nil"/>
              <w:left w:val="nil"/>
              <w:bottom w:val="single" w:sz="4" w:space="0" w:color="auto"/>
              <w:right w:val="single" w:sz="4" w:space="0" w:color="auto"/>
            </w:tcBorders>
            <w:shd w:val="clear" w:color="auto" w:fill="auto"/>
            <w:noWrap/>
            <w:vAlign w:val="bottom"/>
            <w:hideMark/>
          </w:tcPr>
          <w:p w14:paraId="661F0B6D"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24.71</w:t>
            </w:r>
          </w:p>
        </w:tc>
        <w:tc>
          <w:tcPr>
            <w:tcW w:w="577" w:type="pct"/>
            <w:tcBorders>
              <w:top w:val="nil"/>
              <w:left w:val="nil"/>
              <w:bottom w:val="single" w:sz="4" w:space="0" w:color="auto"/>
              <w:right w:val="single" w:sz="4" w:space="0" w:color="auto"/>
            </w:tcBorders>
            <w:shd w:val="clear" w:color="auto" w:fill="auto"/>
            <w:noWrap/>
            <w:vAlign w:val="bottom"/>
            <w:hideMark/>
          </w:tcPr>
          <w:p w14:paraId="50065254"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12.62</w:t>
            </w:r>
          </w:p>
        </w:tc>
        <w:tc>
          <w:tcPr>
            <w:tcW w:w="609" w:type="pct"/>
            <w:tcBorders>
              <w:top w:val="nil"/>
              <w:left w:val="nil"/>
              <w:bottom w:val="single" w:sz="4" w:space="0" w:color="auto"/>
              <w:right w:val="single" w:sz="4" w:space="0" w:color="auto"/>
            </w:tcBorders>
            <w:shd w:val="clear" w:color="auto" w:fill="auto"/>
            <w:noWrap/>
            <w:vAlign w:val="bottom"/>
            <w:hideMark/>
          </w:tcPr>
          <w:p w14:paraId="1D91326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0.00</w:t>
            </w:r>
          </w:p>
        </w:tc>
        <w:tc>
          <w:tcPr>
            <w:tcW w:w="591" w:type="pct"/>
            <w:tcBorders>
              <w:top w:val="nil"/>
              <w:left w:val="nil"/>
              <w:bottom w:val="single" w:sz="4" w:space="0" w:color="auto"/>
              <w:right w:val="single" w:sz="4" w:space="0" w:color="auto"/>
            </w:tcBorders>
            <w:shd w:val="clear" w:color="auto" w:fill="auto"/>
            <w:noWrap/>
            <w:vAlign w:val="bottom"/>
            <w:hideMark/>
          </w:tcPr>
          <w:p w14:paraId="6647D47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14.58</w:t>
            </w:r>
          </w:p>
        </w:tc>
        <w:tc>
          <w:tcPr>
            <w:tcW w:w="577" w:type="pct"/>
            <w:tcBorders>
              <w:top w:val="nil"/>
              <w:left w:val="nil"/>
              <w:bottom w:val="single" w:sz="4" w:space="0" w:color="auto"/>
              <w:right w:val="single" w:sz="4" w:space="0" w:color="auto"/>
            </w:tcBorders>
            <w:shd w:val="clear" w:color="auto" w:fill="auto"/>
            <w:noWrap/>
            <w:vAlign w:val="bottom"/>
            <w:hideMark/>
          </w:tcPr>
          <w:p w14:paraId="6CADB4E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10.69</w:t>
            </w:r>
          </w:p>
        </w:tc>
      </w:tr>
      <w:tr w:rsidR="000C013D" w:rsidRPr="005E0B4D" w14:paraId="337CCA4B"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74A6630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2069/70</w:t>
            </w:r>
          </w:p>
        </w:tc>
        <w:tc>
          <w:tcPr>
            <w:tcW w:w="577" w:type="pct"/>
            <w:tcBorders>
              <w:top w:val="nil"/>
              <w:left w:val="nil"/>
              <w:bottom w:val="single" w:sz="4" w:space="0" w:color="auto"/>
              <w:right w:val="single" w:sz="4" w:space="0" w:color="auto"/>
            </w:tcBorders>
            <w:shd w:val="clear" w:color="auto" w:fill="auto"/>
            <w:noWrap/>
            <w:vAlign w:val="bottom"/>
            <w:hideMark/>
          </w:tcPr>
          <w:p w14:paraId="2E31DAE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15.75</w:t>
            </w:r>
          </w:p>
        </w:tc>
        <w:tc>
          <w:tcPr>
            <w:tcW w:w="577" w:type="pct"/>
            <w:tcBorders>
              <w:top w:val="nil"/>
              <w:left w:val="nil"/>
              <w:bottom w:val="single" w:sz="4" w:space="0" w:color="auto"/>
              <w:right w:val="single" w:sz="4" w:space="0" w:color="auto"/>
            </w:tcBorders>
            <w:shd w:val="clear" w:color="auto" w:fill="auto"/>
            <w:noWrap/>
            <w:vAlign w:val="bottom"/>
            <w:hideMark/>
          </w:tcPr>
          <w:p w14:paraId="49A7EEB1"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12.93</w:t>
            </w:r>
          </w:p>
        </w:tc>
        <w:tc>
          <w:tcPr>
            <w:tcW w:w="577" w:type="pct"/>
            <w:tcBorders>
              <w:top w:val="nil"/>
              <w:left w:val="nil"/>
              <w:bottom w:val="single" w:sz="4" w:space="0" w:color="auto"/>
              <w:right w:val="single" w:sz="4" w:space="0" w:color="auto"/>
            </w:tcBorders>
            <w:shd w:val="clear" w:color="auto" w:fill="auto"/>
            <w:noWrap/>
            <w:vAlign w:val="bottom"/>
            <w:hideMark/>
          </w:tcPr>
          <w:p w14:paraId="4A7CD22B"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14.29</w:t>
            </w:r>
          </w:p>
        </w:tc>
        <w:tc>
          <w:tcPr>
            <w:tcW w:w="577" w:type="pct"/>
            <w:tcBorders>
              <w:top w:val="nil"/>
              <w:left w:val="nil"/>
              <w:bottom w:val="single" w:sz="4" w:space="0" w:color="auto"/>
              <w:right w:val="single" w:sz="4" w:space="0" w:color="auto"/>
            </w:tcBorders>
            <w:shd w:val="clear" w:color="auto" w:fill="auto"/>
            <w:noWrap/>
            <w:vAlign w:val="bottom"/>
            <w:hideMark/>
          </w:tcPr>
          <w:p w14:paraId="31979B9B"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13.04</w:t>
            </w:r>
          </w:p>
        </w:tc>
        <w:tc>
          <w:tcPr>
            <w:tcW w:w="609" w:type="pct"/>
            <w:tcBorders>
              <w:top w:val="nil"/>
              <w:left w:val="nil"/>
              <w:bottom w:val="single" w:sz="4" w:space="0" w:color="auto"/>
              <w:right w:val="single" w:sz="4" w:space="0" w:color="auto"/>
            </w:tcBorders>
            <w:shd w:val="clear" w:color="auto" w:fill="auto"/>
            <w:noWrap/>
            <w:vAlign w:val="bottom"/>
            <w:hideMark/>
          </w:tcPr>
          <w:p w14:paraId="203956F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15.00</w:t>
            </w:r>
          </w:p>
        </w:tc>
        <w:tc>
          <w:tcPr>
            <w:tcW w:w="591" w:type="pct"/>
            <w:tcBorders>
              <w:top w:val="nil"/>
              <w:left w:val="nil"/>
              <w:bottom w:val="single" w:sz="4" w:space="0" w:color="auto"/>
              <w:right w:val="single" w:sz="4" w:space="0" w:color="auto"/>
            </w:tcBorders>
            <w:shd w:val="clear" w:color="auto" w:fill="auto"/>
            <w:noWrap/>
            <w:vAlign w:val="bottom"/>
            <w:hideMark/>
          </w:tcPr>
          <w:p w14:paraId="52C8EF8E"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14.20</w:t>
            </w:r>
          </w:p>
        </w:tc>
        <w:tc>
          <w:tcPr>
            <w:tcW w:w="577" w:type="pct"/>
            <w:tcBorders>
              <w:top w:val="nil"/>
              <w:left w:val="nil"/>
              <w:bottom w:val="single" w:sz="4" w:space="0" w:color="auto"/>
              <w:right w:val="single" w:sz="4" w:space="0" w:color="auto"/>
            </w:tcBorders>
            <w:shd w:val="clear" w:color="auto" w:fill="auto"/>
            <w:noWrap/>
            <w:vAlign w:val="bottom"/>
            <w:hideMark/>
          </w:tcPr>
          <w:p w14:paraId="019B078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1.10</w:t>
            </w:r>
          </w:p>
        </w:tc>
      </w:tr>
      <w:tr w:rsidR="000C013D" w:rsidRPr="005E0B4D" w14:paraId="3288FAA0"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55696993"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2070/71</w:t>
            </w:r>
          </w:p>
        </w:tc>
        <w:tc>
          <w:tcPr>
            <w:tcW w:w="577" w:type="pct"/>
            <w:tcBorders>
              <w:top w:val="nil"/>
              <w:left w:val="nil"/>
              <w:bottom w:val="single" w:sz="4" w:space="0" w:color="auto"/>
              <w:right w:val="single" w:sz="4" w:space="0" w:color="auto"/>
            </w:tcBorders>
            <w:shd w:val="clear" w:color="auto" w:fill="auto"/>
            <w:noWrap/>
            <w:vAlign w:val="bottom"/>
            <w:hideMark/>
          </w:tcPr>
          <w:p w14:paraId="480418F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16.72</w:t>
            </w:r>
          </w:p>
        </w:tc>
        <w:tc>
          <w:tcPr>
            <w:tcW w:w="577" w:type="pct"/>
            <w:tcBorders>
              <w:top w:val="nil"/>
              <w:left w:val="nil"/>
              <w:bottom w:val="single" w:sz="4" w:space="0" w:color="auto"/>
              <w:right w:val="single" w:sz="4" w:space="0" w:color="auto"/>
            </w:tcBorders>
            <w:shd w:val="clear" w:color="auto" w:fill="auto"/>
            <w:noWrap/>
            <w:vAlign w:val="bottom"/>
            <w:hideMark/>
          </w:tcPr>
          <w:p w14:paraId="603D79F7"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26.12</w:t>
            </w:r>
          </w:p>
        </w:tc>
        <w:tc>
          <w:tcPr>
            <w:tcW w:w="577" w:type="pct"/>
            <w:tcBorders>
              <w:top w:val="nil"/>
              <w:left w:val="nil"/>
              <w:bottom w:val="single" w:sz="4" w:space="0" w:color="auto"/>
              <w:right w:val="single" w:sz="4" w:space="0" w:color="auto"/>
            </w:tcBorders>
            <w:shd w:val="clear" w:color="auto" w:fill="auto"/>
            <w:noWrap/>
            <w:vAlign w:val="bottom"/>
            <w:hideMark/>
          </w:tcPr>
          <w:p w14:paraId="317CDD3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18.31</w:t>
            </w:r>
          </w:p>
        </w:tc>
        <w:tc>
          <w:tcPr>
            <w:tcW w:w="577" w:type="pct"/>
            <w:tcBorders>
              <w:top w:val="nil"/>
              <w:left w:val="nil"/>
              <w:bottom w:val="single" w:sz="4" w:space="0" w:color="auto"/>
              <w:right w:val="single" w:sz="4" w:space="0" w:color="auto"/>
            </w:tcBorders>
            <w:shd w:val="clear" w:color="auto" w:fill="auto"/>
            <w:noWrap/>
            <w:vAlign w:val="bottom"/>
            <w:hideMark/>
          </w:tcPr>
          <w:p w14:paraId="1E3F2A5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20.85</w:t>
            </w:r>
          </w:p>
        </w:tc>
        <w:tc>
          <w:tcPr>
            <w:tcW w:w="609" w:type="pct"/>
            <w:tcBorders>
              <w:top w:val="nil"/>
              <w:left w:val="nil"/>
              <w:bottom w:val="single" w:sz="4" w:space="0" w:color="auto"/>
              <w:right w:val="single" w:sz="4" w:space="0" w:color="auto"/>
            </w:tcBorders>
            <w:shd w:val="clear" w:color="auto" w:fill="auto"/>
            <w:noWrap/>
            <w:vAlign w:val="bottom"/>
            <w:hideMark/>
          </w:tcPr>
          <w:p w14:paraId="784867F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17.54</w:t>
            </w:r>
          </w:p>
        </w:tc>
        <w:tc>
          <w:tcPr>
            <w:tcW w:w="591" w:type="pct"/>
            <w:tcBorders>
              <w:top w:val="nil"/>
              <w:left w:val="nil"/>
              <w:bottom w:val="single" w:sz="4" w:space="0" w:color="auto"/>
              <w:right w:val="single" w:sz="4" w:space="0" w:color="auto"/>
            </w:tcBorders>
            <w:shd w:val="clear" w:color="auto" w:fill="auto"/>
            <w:noWrap/>
            <w:vAlign w:val="bottom"/>
            <w:hideMark/>
          </w:tcPr>
          <w:p w14:paraId="0CC9E53F"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19.91</w:t>
            </w:r>
          </w:p>
        </w:tc>
        <w:tc>
          <w:tcPr>
            <w:tcW w:w="577" w:type="pct"/>
            <w:tcBorders>
              <w:top w:val="nil"/>
              <w:left w:val="nil"/>
              <w:bottom w:val="single" w:sz="4" w:space="0" w:color="auto"/>
              <w:right w:val="single" w:sz="4" w:space="0" w:color="auto"/>
            </w:tcBorders>
            <w:shd w:val="clear" w:color="auto" w:fill="auto"/>
            <w:noWrap/>
            <w:vAlign w:val="bottom"/>
            <w:hideMark/>
          </w:tcPr>
          <w:p w14:paraId="386C6C71"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3.40</w:t>
            </w:r>
          </w:p>
        </w:tc>
      </w:tr>
      <w:tr w:rsidR="000C013D" w:rsidRPr="005E0B4D" w14:paraId="2A18AAE0"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4C03A238"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2071/72</w:t>
            </w:r>
          </w:p>
        </w:tc>
        <w:tc>
          <w:tcPr>
            <w:tcW w:w="577" w:type="pct"/>
            <w:tcBorders>
              <w:top w:val="nil"/>
              <w:left w:val="nil"/>
              <w:bottom w:val="single" w:sz="4" w:space="0" w:color="auto"/>
              <w:right w:val="single" w:sz="4" w:space="0" w:color="auto"/>
            </w:tcBorders>
            <w:shd w:val="clear" w:color="auto" w:fill="auto"/>
            <w:noWrap/>
            <w:vAlign w:val="bottom"/>
            <w:hideMark/>
          </w:tcPr>
          <w:p w14:paraId="42730CDE"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28.54</w:t>
            </w:r>
          </w:p>
        </w:tc>
        <w:tc>
          <w:tcPr>
            <w:tcW w:w="577" w:type="pct"/>
            <w:tcBorders>
              <w:top w:val="nil"/>
              <w:left w:val="nil"/>
              <w:bottom w:val="single" w:sz="4" w:space="0" w:color="auto"/>
              <w:right w:val="single" w:sz="4" w:space="0" w:color="auto"/>
            </w:tcBorders>
            <w:shd w:val="clear" w:color="auto" w:fill="auto"/>
            <w:noWrap/>
            <w:vAlign w:val="bottom"/>
            <w:hideMark/>
          </w:tcPr>
          <w:p w14:paraId="52C1884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10.43</w:t>
            </w:r>
          </w:p>
        </w:tc>
        <w:tc>
          <w:tcPr>
            <w:tcW w:w="577" w:type="pct"/>
            <w:tcBorders>
              <w:top w:val="nil"/>
              <w:left w:val="nil"/>
              <w:bottom w:val="single" w:sz="4" w:space="0" w:color="auto"/>
              <w:right w:val="single" w:sz="4" w:space="0" w:color="auto"/>
            </w:tcBorders>
            <w:shd w:val="clear" w:color="auto" w:fill="auto"/>
            <w:noWrap/>
            <w:vAlign w:val="bottom"/>
            <w:hideMark/>
          </w:tcPr>
          <w:p w14:paraId="6595C74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31.19</w:t>
            </w:r>
          </w:p>
        </w:tc>
        <w:tc>
          <w:tcPr>
            <w:tcW w:w="577" w:type="pct"/>
            <w:tcBorders>
              <w:top w:val="nil"/>
              <w:left w:val="nil"/>
              <w:bottom w:val="single" w:sz="4" w:space="0" w:color="auto"/>
              <w:right w:val="single" w:sz="4" w:space="0" w:color="auto"/>
            </w:tcBorders>
            <w:shd w:val="clear" w:color="auto" w:fill="auto"/>
            <w:noWrap/>
            <w:vAlign w:val="bottom"/>
            <w:hideMark/>
          </w:tcPr>
          <w:p w14:paraId="3E0B1DE7"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18.70</w:t>
            </w:r>
          </w:p>
        </w:tc>
        <w:tc>
          <w:tcPr>
            <w:tcW w:w="609" w:type="pct"/>
            <w:tcBorders>
              <w:top w:val="nil"/>
              <w:left w:val="nil"/>
              <w:bottom w:val="single" w:sz="4" w:space="0" w:color="auto"/>
              <w:right w:val="single" w:sz="4" w:space="0" w:color="auto"/>
            </w:tcBorders>
            <w:shd w:val="clear" w:color="auto" w:fill="auto"/>
            <w:noWrap/>
            <w:vAlign w:val="bottom"/>
            <w:hideMark/>
          </w:tcPr>
          <w:p w14:paraId="4B86ED5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12.80</w:t>
            </w:r>
          </w:p>
        </w:tc>
        <w:tc>
          <w:tcPr>
            <w:tcW w:w="591" w:type="pct"/>
            <w:tcBorders>
              <w:top w:val="nil"/>
              <w:left w:val="nil"/>
              <w:bottom w:val="single" w:sz="4" w:space="0" w:color="auto"/>
              <w:right w:val="single" w:sz="4" w:space="0" w:color="auto"/>
            </w:tcBorders>
            <w:shd w:val="clear" w:color="auto" w:fill="auto"/>
            <w:noWrap/>
            <w:vAlign w:val="bottom"/>
            <w:hideMark/>
          </w:tcPr>
          <w:p w14:paraId="124C65A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20.33</w:t>
            </w:r>
          </w:p>
        </w:tc>
        <w:tc>
          <w:tcPr>
            <w:tcW w:w="577" w:type="pct"/>
            <w:tcBorders>
              <w:top w:val="nil"/>
              <w:left w:val="nil"/>
              <w:bottom w:val="single" w:sz="4" w:space="0" w:color="auto"/>
              <w:right w:val="single" w:sz="4" w:space="0" w:color="auto"/>
            </w:tcBorders>
            <w:shd w:val="clear" w:color="auto" w:fill="auto"/>
            <w:noWrap/>
            <w:vAlign w:val="bottom"/>
            <w:hideMark/>
          </w:tcPr>
          <w:p w14:paraId="17E43D84"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8.28</w:t>
            </w:r>
          </w:p>
        </w:tc>
      </w:tr>
      <w:tr w:rsidR="000C013D" w:rsidRPr="005E0B4D" w14:paraId="49EB8EFA"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0F601684"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2072/73</w:t>
            </w:r>
          </w:p>
        </w:tc>
        <w:tc>
          <w:tcPr>
            <w:tcW w:w="577" w:type="pct"/>
            <w:tcBorders>
              <w:top w:val="nil"/>
              <w:left w:val="nil"/>
              <w:bottom w:val="single" w:sz="4" w:space="0" w:color="auto"/>
              <w:right w:val="single" w:sz="4" w:space="0" w:color="auto"/>
            </w:tcBorders>
            <w:shd w:val="clear" w:color="auto" w:fill="auto"/>
            <w:noWrap/>
            <w:vAlign w:val="bottom"/>
            <w:hideMark/>
          </w:tcPr>
          <w:p w14:paraId="744C6FD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17.48</w:t>
            </w:r>
          </w:p>
        </w:tc>
        <w:tc>
          <w:tcPr>
            <w:tcW w:w="577" w:type="pct"/>
            <w:tcBorders>
              <w:top w:val="nil"/>
              <w:left w:val="nil"/>
              <w:bottom w:val="single" w:sz="4" w:space="0" w:color="auto"/>
              <w:right w:val="single" w:sz="4" w:space="0" w:color="auto"/>
            </w:tcBorders>
            <w:shd w:val="clear" w:color="auto" w:fill="auto"/>
            <w:noWrap/>
            <w:vAlign w:val="bottom"/>
            <w:hideMark/>
          </w:tcPr>
          <w:p w14:paraId="336B533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18.27</w:t>
            </w:r>
          </w:p>
        </w:tc>
        <w:tc>
          <w:tcPr>
            <w:tcW w:w="577" w:type="pct"/>
            <w:tcBorders>
              <w:top w:val="nil"/>
              <w:left w:val="nil"/>
              <w:bottom w:val="single" w:sz="4" w:space="0" w:color="auto"/>
              <w:right w:val="single" w:sz="4" w:space="0" w:color="auto"/>
            </w:tcBorders>
            <w:shd w:val="clear" w:color="auto" w:fill="auto"/>
            <w:noWrap/>
            <w:vAlign w:val="bottom"/>
            <w:hideMark/>
          </w:tcPr>
          <w:p w14:paraId="37632863"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24.29</w:t>
            </w:r>
          </w:p>
        </w:tc>
        <w:tc>
          <w:tcPr>
            <w:tcW w:w="577" w:type="pct"/>
            <w:tcBorders>
              <w:top w:val="nil"/>
              <w:left w:val="nil"/>
              <w:bottom w:val="single" w:sz="4" w:space="0" w:color="auto"/>
              <w:right w:val="single" w:sz="4" w:space="0" w:color="auto"/>
            </w:tcBorders>
            <w:shd w:val="clear" w:color="auto" w:fill="auto"/>
            <w:noWrap/>
            <w:vAlign w:val="bottom"/>
            <w:hideMark/>
          </w:tcPr>
          <w:p w14:paraId="72113088"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13.79</w:t>
            </w:r>
          </w:p>
        </w:tc>
        <w:tc>
          <w:tcPr>
            <w:tcW w:w="609" w:type="pct"/>
            <w:tcBorders>
              <w:top w:val="nil"/>
              <w:left w:val="nil"/>
              <w:bottom w:val="single" w:sz="4" w:space="0" w:color="auto"/>
              <w:right w:val="single" w:sz="4" w:space="0" w:color="auto"/>
            </w:tcBorders>
            <w:shd w:val="clear" w:color="auto" w:fill="auto"/>
            <w:noWrap/>
            <w:vAlign w:val="bottom"/>
            <w:hideMark/>
          </w:tcPr>
          <w:p w14:paraId="187FD80E"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19.68</w:t>
            </w:r>
          </w:p>
        </w:tc>
        <w:tc>
          <w:tcPr>
            <w:tcW w:w="591" w:type="pct"/>
            <w:tcBorders>
              <w:top w:val="nil"/>
              <w:left w:val="nil"/>
              <w:bottom w:val="single" w:sz="4" w:space="0" w:color="auto"/>
              <w:right w:val="single" w:sz="4" w:space="0" w:color="auto"/>
            </w:tcBorders>
            <w:shd w:val="clear" w:color="auto" w:fill="auto"/>
            <w:noWrap/>
            <w:vAlign w:val="bottom"/>
            <w:hideMark/>
          </w:tcPr>
          <w:p w14:paraId="7B90544B"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18.70</w:t>
            </w:r>
          </w:p>
        </w:tc>
        <w:tc>
          <w:tcPr>
            <w:tcW w:w="577" w:type="pct"/>
            <w:tcBorders>
              <w:top w:val="nil"/>
              <w:left w:val="nil"/>
              <w:bottom w:val="single" w:sz="4" w:space="0" w:color="auto"/>
              <w:right w:val="single" w:sz="4" w:space="0" w:color="auto"/>
            </w:tcBorders>
            <w:shd w:val="clear" w:color="auto" w:fill="auto"/>
            <w:noWrap/>
            <w:vAlign w:val="bottom"/>
            <w:hideMark/>
          </w:tcPr>
          <w:p w14:paraId="6AFEBED3"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3.41</w:t>
            </w:r>
          </w:p>
        </w:tc>
      </w:tr>
      <w:tr w:rsidR="000C013D" w:rsidRPr="005E0B4D" w14:paraId="548CE6C4"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6CD8DD11"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2073/74</w:t>
            </w:r>
          </w:p>
        </w:tc>
        <w:tc>
          <w:tcPr>
            <w:tcW w:w="577" w:type="pct"/>
            <w:tcBorders>
              <w:top w:val="nil"/>
              <w:left w:val="nil"/>
              <w:bottom w:val="single" w:sz="4" w:space="0" w:color="auto"/>
              <w:right w:val="single" w:sz="4" w:space="0" w:color="auto"/>
            </w:tcBorders>
            <w:shd w:val="clear" w:color="auto" w:fill="auto"/>
            <w:noWrap/>
            <w:vAlign w:val="bottom"/>
            <w:hideMark/>
          </w:tcPr>
          <w:p w14:paraId="56A5C39E"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18.85</w:t>
            </w:r>
          </w:p>
        </w:tc>
        <w:tc>
          <w:tcPr>
            <w:tcW w:w="577" w:type="pct"/>
            <w:tcBorders>
              <w:top w:val="nil"/>
              <w:left w:val="nil"/>
              <w:bottom w:val="single" w:sz="4" w:space="0" w:color="auto"/>
              <w:right w:val="single" w:sz="4" w:space="0" w:color="auto"/>
            </w:tcBorders>
            <w:shd w:val="clear" w:color="auto" w:fill="auto"/>
            <w:noWrap/>
            <w:vAlign w:val="bottom"/>
            <w:hideMark/>
          </w:tcPr>
          <w:p w14:paraId="304E7AB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13.71</w:t>
            </w:r>
          </w:p>
        </w:tc>
        <w:tc>
          <w:tcPr>
            <w:tcW w:w="577" w:type="pct"/>
            <w:tcBorders>
              <w:top w:val="nil"/>
              <w:left w:val="nil"/>
              <w:bottom w:val="single" w:sz="4" w:space="0" w:color="auto"/>
              <w:right w:val="single" w:sz="4" w:space="0" w:color="auto"/>
            </w:tcBorders>
            <w:shd w:val="clear" w:color="auto" w:fill="auto"/>
            <w:noWrap/>
            <w:vAlign w:val="bottom"/>
            <w:hideMark/>
          </w:tcPr>
          <w:p w14:paraId="4DC66AB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21.05</w:t>
            </w:r>
          </w:p>
        </w:tc>
        <w:tc>
          <w:tcPr>
            <w:tcW w:w="577" w:type="pct"/>
            <w:tcBorders>
              <w:top w:val="nil"/>
              <w:left w:val="nil"/>
              <w:bottom w:val="single" w:sz="4" w:space="0" w:color="auto"/>
              <w:right w:val="single" w:sz="4" w:space="0" w:color="auto"/>
            </w:tcBorders>
            <w:shd w:val="clear" w:color="auto" w:fill="auto"/>
            <w:noWrap/>
            <w:vAlign w:val="bottom"/>
            <w:hideMark/>
          </w:tcPr>
          <w:p w14:paraId="4FF7C238"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18.18</w:t>
            </w:r>
          </w:p>
        </w:tc>
        <w:tc>
          <w:tcPr>
            <w:tcW w:w="609" w:type="pct"/>
            <w:tcBorders>
              <w:top w:val="nil"/>
              <w:left w:val="nil"/>
              <w:bottom w:val="single" w:sz="4" w:space="0" w:color="auto"/>
              <w:right w:val="single" w:sz="4" w:space="0" w:color="auto"/>
            </w:tcBorders>
            <w:shd w:val="clear" w:color="auto" w:fill="auto"/>
            <w:noWrap/>
            <w:vAlign w:val="bottom"/>
            <w:hideMark/>
          </w:tcPr>
          <w:p w14:paraId="6EE2C7D7"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15.79</w:t>
            </w:r>
          </w:p>
        </w:tc>
        <w:tc>
          <w:tcPr>
            <w:tcW w:w="591" w:type="pct"/>
            <w:tcBorders>
              <w:top w:val="nil"/>
              <w:left w:val="nil"/>
              <w:bottom w:val="single" w:sz="4" w:space="0" w:color="auto"/>
              <w:right w:val="single" w:sz="4" w:space="0" w:color="auto"/>
            </w:tcBorders>
            <w:shd w:val="clear" w:color="auto" w:fill="auto"/>
            <w:noWrap/>
            <w:vAlign w:val="bottom"/>
            <w:hideMark/>
          </w:tcPr>
          <w:p w14:paraId="0D1979B8"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17.52</w:t>
            </w:r>
          </w:p>
        </w:tc>
        <w:tc>
          <w:tcPr>
            <w:tcW w:w="577" w:type="pct"/>
            <w:tcBorders>
              <w:top w:val="nil"/>
              <w:left w:val="nil"/>
              <w:bottom w:val="single" w:sz="4" w:space="0" w:color="auto"/>
              <w:right w:val="single" w:sz="4" w:space="0" w:color="auto"/>
            </w:tcBorders>
            <w:shd w:val="clear" w:color="auto" w:fill="auto"/>
            <w:noWrap/>
            <w:vAlign w:val="bottom"/>
            <w:hideMark/>
          </w:tcPr>
          <w:p w14:paraId="255F500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2.54</w:t>
            </w:r>
          </w:p>
        </w:tc>
      </w:tr>
      <w:tr w:rsidR="000C013D" w:rsidRPr="005E0B4D" w14:paraId="300D6B2A"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3C7DD415"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2074/75</w:t>
            </w:r>
          </w:p>
        </w:tc>
        <w:tc>
          <w:tcPr>
            <w:tcW w:w="577" w:type="pct"/>
            <w:tcBorders>
              <w:top w:val="nil"/>
              <w:left w:val="nil"/>
              <w:bottom w:val="single" w:sz="4" w:space="0" w:color="auto"/>
              <w:right w:val="single" w:sz="4" w:space="0" w:color="auto"/>
            </w:tcBorders>
            <w:shd w:val="clear" w:color="auto" w:fill="auto"/>
            <w:noWrap/>
            <w:vAlign w:val="bottom"/>
            <w:hideMark/>
          </w:tcPr>
          <w:p w14:paraId="423DEC2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26.22</w:t>
            </w:r>
          </w:p>
        </w:tc>
        <w:tc>
          <w:tcPr>
            <w:tcW w:w="577" w:type="pct"/>
            <w:tcBorders>
              <w:top w:val="nil"/>
              <w:left w:val="nil"/>
              <w:bottom w:val="single" w:sz="4" w:space="0" w:color="auto"/>
              <w:right w:val="single" w:sz="4" w:space="0" w:color="auto"/>
            </w:tcBorders>
            <w:shd w:val="clear" w:color="auto" w:fill="auto"/>
            <w:noWrap/>
            <w:vAlign w:val="bottom"/>
            <w:hideMark/>
          </w:tcPr>
          <w:p w14:paraId="5C99EC7C"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8.50</w:t>
            </w:r>
          </w:p>
        </w:tc>
        <w:tc>
          <w:tcPr>
            <w:tcW w:w="577" w:type="pct"/>
            <w:tcBorders>
              <w:top w:val="nil"/>
              <w:left w:val="nil"/>
              <w:bottom w:val="single" w:sz="4" w:space="0" w:color="auto"/>
              <w:right w:val="single" w:sz="4" w:space="0" w:color="auto"/>
            </w:tcBorders>
            <w:shd w:val="clear" w:color="auto" w:fill="auto"/>
            <w:noWrap/>
            <w:vAlign w:val="bottom"/>
            <w:hideMark/>
          </w:tcPr>
          <w:p w14:paraId="18123A1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15.79</w:t>
            </w:r>
          </w:p>
        </w:tc>
        <w:tc>
          <w:tcPr>
            <w:tcW w:w="577" w:type="pct"/>
            <w:tcBorders>
              <w:top w:val="nil"/>
              <w:left w:val="nil"/>
              <w:bottom w:val="single" w:sz="4" w:space="0" w:color="auto"/>
              <w:right w:val="single" w:sz="4" w:space="0" w:color="auto"/>
            </w:tcBorders>
            <w:shd w:val="clear" w:color="auto" w:fill="auto"/>
            <w:noWrap/>
            <w:vAlign w:val="bottom"/>
            <w:hideMark/>
          </w:tcPr>
          <w:p w14:paraId="0E4B9DE3"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16.00</w:t>
            </w:r>
          </w:p>
        </w:tc>
        <w:tc>
          <w:tcPr>
            <w:tcW w:w="609" w:type="pct"/>
            <w:tcBorders>
              <w:top w:val="nil"/>
              <w:left w:val="nil"/>
              <w:bottom w:val="single" w:sz="4" w:space="0" w:color="auto"/>
              <w:right w:val="single" w:sz="4" w:space="0" w:color="auto"/>
            </w:tcBorders>
            <w:shd w:val="clear" w:color="auto" w:fill="auto"/>
            <w:noWrap/>
            <w:vAlign w:val="bottom"/>
            <w:hideMark/>
          </w:tcPr>
          <w:p w14:paraId="05F4C7E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34.50</w:t>
            </w:r>
          </w:p>
        </w:tc>
        <w:tc>
          <w:tcPr>
            <w:tcW w:w="591" w:type="pct"/>
            <w:tcBorders>
              <w:top w:val="nil"/>
              <w:left w:val="nil"/>
              <w:bottom w:val="single" w:sz="4" w:space="0" w:color="auto"/>
              <w:right w:val="single" w:sz="4" w:space="0" w:color="auto"/>
            </w:tcBorders>
            <w:shd w:val="clear" w:color="auto" w:fill="auto"/>
            <w:noWrap/>
            <w:vAlign w:val="bottom"/>
            <w:hideMark/>
          </w:tcPr>
          <w:p w14:paraId="1AA60333"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20.20</w:t>
            </w:r>
          </w:p>
        </w:tc>
        <w:tc>
          <w:tcPr>
            <w:tcW w:w="577" w:type="pct"/>
            <w:tcBorders>
              <w:top w:val="nil"/>
              <w:left w:val="nil"/>
              <w:bottom w:val="single" w:sz="4" w:space="0" w:color="auto"/>
              <w:right w:val="single" w:sz="4" w:space="0" w:color="auto"/>
            </w:tcBorders>
            <w:shd w:val="clear" w:color="auto" w:fill="auto"/>
            <w:noWrap/>
            <w:vAlign w:val="bottom"/>
            <w:hideMark/>
          </w:tcPr>
          <w:p w14:paraId="6DD56EED"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9.11</w:t>
            </w:r>
          </w:p>
        </w:tc>
      </w:tr>
      <w:tr w:rsidR="000C013D" w:rsidRPr="005E0B4D" w14:paraId="124D520B"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0DD507D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2075/76</w:t>
            </w:r>
          </w:p>
        </w:tc>
        <w:tc>
          <w:tcPr>
            <w:tcW w:w="577" w:type="pct"/>
            <w:tcBorders>
              <w:top w:val="nil"/>
              <w:left w:val="nil"/>
              <w:bottom w:val="single" w:sz="4" w:space="0" w:color="auto"/>
              <w:right w:val="single" w:sz="4" w:space="0" w:color="auto"/>
            </w:tcBorders>
            <w:shd w:val="clear" w:color="auto" w:fill="auto"/>
            <w:noWrap/>
            <w:vAlign w:val="bottom"/>
            <w:hideMark/>
          </w:tcPr>
          <w:p w14:paraId="409ABE4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17.12</w:t>
            </w:r>
          </w:p>
        </w:tc>
        <w:tc>
          <w:tcPr>
            <w:tcW w:w="577" w:type="pct"/>
            <w:tcBorders>
              <w:top w:val="nil"/>
              <w:left w:val="nil"/>
              <w:bottom w:val="single" w:sz="4" w:space="0" w:color="auto"/>
              <w:right w:val="single" w:sz="4" w:space="0" w:color="auto"/>
            </w:tcBorders>
            <w:shd w:val="clear" w:color="auto" w:fill="auto"/>
            <w:noWrap/>
            <w:vAlign w:val="bottom"/>
            <w:hideMark/>
          </w:tcPr>
          <w:p w14:paraId="0B82E80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10.53</w:t>
            </w:r>
          </w:p>
        </w:tc>
        <w:tc>
          <w:tcPr>
            <w:tcW w:w="577" w:type="pct"/>
            <w:tcBorders>
              <w:top w:val="nil"/>
              <w:left w:val="nil"/>
              <w:bottom w:val="single" w:sz="4" w:space="0" w:color="auto"/>
              <w:right w:val="single" w:sz="4" w:space="0" w:color="auto"/>
            </w:tcBorders>
            <w:shd w:val="clear" w:color="auto" w:fill="auto"/>
            <w:noWrap/>
            <w:vAlign w:val="bottom"/>
            <w:hideMark/>
          </w:tcPr>
          <w:p w14:paraId="380C823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22.00</w:t>
            </w:r>
          </w:p>
        </w:tc>
        <w:tc>
          <w:tcPr>
            <w:tcW w:w="577" w:type="pct"/>
            <w:tcBorders>
              <w:top w:val="nil"/>
              <w:left w:val="nil"/>
              <w:bottom w:val="single" w:sz="4" w:space="0" w:color="auto"/>
              <w:right w:val="single" w:sz="4" w:space="0" w:color="auto"/>
            </w:tcBorders>
            <w:shd w:val="clear" w:color="auto" w:fill="auto"/>
            <w:noWrap/>
            <w:vAlign w:val="bottom"/>
            <w:hideMark/>
          </w:tcPr>
          <w:p w14:paraId="52ECC68F"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25.81</w:t>
            </w:r>
          </w:p>
        </w:tc>
        <w:tc>
          <w:tcPr>
            <w:tcW w:w="609" w:type="pct"/>
            <w:tcBorders>
              <w:top w:val="nil"/>
              <w:left w:val="nil"/>
              <w:bottom w:val="single" w:sz="4" w:space="0" w:color="auto"/>
              <w:right w:val="single" w:sz="4" w:space="0" w:color="auto"/>
            </w:tcBorders>
            <w:shd w:val="clear" w:color="auto" w:fill="auto"/>
            <w:noWrap/>
            <w:vAlign w:val="bottom"/>
            <w:hideMark/>
          </w:tcPr>
          <w:p w14:paraId="608A2D78"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41.96</w:t>
            </w:r>
          </w:p>
        </w:tc>
        <w:tc>
          <w:tcPr>
            <w:tcW w:w="591" w:type="pct"/>
            <w:tcBorders>
              <w:top w:val="nil"/>
              <w:left w:val="nil"/>
              <w:bottom w:val="single" w:sz="4" w:space="0" w:color="auto"/>
              <w:right w:val="single" w:sz="4" w:space="0" w:color="auto"/>
            </w:tcBorders>
            <w:shd w:val="clear" w:color="auto" w:fill="auto"/>
            <w:noWrap/>
            <w:vAlign w:val="bottom"/>
            <w:hideMark/>
          </w:tcPr>
          <w:p w14:paraId="2FFF4669"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23.48</w:t>
            </w:r>
          </w:p>
        </w:tc>
        <w:tc>
          <w:tcPr>
            <w:tcW w:w="577" w:type="pct"/>
            <w:tcBorders>
              <w:top w:val="nil"/>
              <w:left w:val="nil"/>
              <w:bottom w:val="single" w:sz="4" w:space="0" w:color="auto"/>
              <w:right w:val="single" w:sz="4" w:space="0" w:color="auto"/>
            </w:tcBorders>
            <w:shd w:val="clear" w:color="auto" w:fill="auto"/>
            <w:noWrap/>
            <w:vAlign w:val="bottom"/>
            <w:hideMark/>
          </w:tcPr>
          <w:p w14:paraId="6F3D009C"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10.56</w:t>
            </w:r>
          </w:p>
        </w:tc>
      </w:tr>
      <w:tr w:rsidR="000C013D" w:rsidRPr="005E0B4D" w14:paraId="1D6861DF"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3B511CBB"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Mean</w:t>
            </w:r>
          </w:p>
        </w:tc>
        <w:tc>
          <w:tcPr>
            <w:tcW w:w="577" w:type="pct"/>
            <w:tcBorders>
              <w:top w:val="nil"/>
              <w:left w:val="nil"/>
              <w:bottom w:val="single" w:sz="4" w:space="0" w:color="auto"/>
              <w:right w:val="single" w:sz="4" w:space="0" w:color="auto"/>
            </w:tcBorders>
            <w:shd w:val="clear" w:color="auto" w:fill="auto"/>
            <w:noWrap/>
            <w:vAlign w:val="bottom"/>
            <w:hideMark/>
          </w:tcPr>
          <w:p w14:paraId="31C7F645"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21.15</w:t>
            </w:r>
          </w:p>
        </w:tc>
        <w:tc>
          <w:tcPr>
            <w:tcW w:w="577" w:type="pct"/>
            <w:tcBorders>
              <w:top w:val="nil"/>
              <w:left w:val="nil"/>
              <w:bottom w:val="single" w:sz="4" w:space="0" w:color="auto"/>
              <w:right w:val="single" w:sz="4" w:space="0" w:color="auto"/>
            </w:tcBorders>
            <w:shd w:val="clear" w:color="auto" w:fill="auto"/>
            <w:noWrap/>
            <w:vAlign w:val="bottom"/>
            <w:hideMark/>
          </w:tcPr>
          <w:p w14:paraId="5F3F81B7"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13.44</w:t>
            </w:r>
          </w:p>
        </w:tc>
        <w:tc>
          <w:tcPr>
            <w:tcW w:w="577" w:type="pct"/>
            <w:tcBorders>
              <w:top w:val="nil"/>
              <w:left w:val="nil"/>
              <w:bottom w:val="single" w:sz="4" w:space="0" w:color="auto"/>
              <w:right w:val="single" w:sz="4" w:space="0" w:color="auto"/>
            </w:tcBorders>
            <w:shd w:val="clear" w:color="auto" w:fill="auto"/>
            <w:noWrap/>
            <w:vAlign w:val="bottom"/>
            <w:hideMark/>
          </w:tcPr>
          <w:p w14:paraId="226042B7"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21.45</w:t>
            </w:r>
          </w:p>
        </w:tc>
        <w:tc>
          <w:tcPr>
            <w:tcW w:w="577" w:type="pct"/>
            <w:tcBorders>
              <w:top w:val="nil"/>
              <w:left w:val="nil"/>
              <w:bottom w:val="single" w:sz="4" w:space="0" w:color="auto"/>
              <w:right w:val="single" w:sz="4" w:space="0" w:color="auto"/>
            </w:tcBorders>
            <w:shd w:val="clear" w:color="auto" w:fill="auto"/>
            <w:noWrap/>
            <w:vAlign w:val="bottom"/>
            <w:hideMark/>
          </w:tcPr>
          <w:p w14:paraId="61EC3C46"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17.37</w:t>
            </w:r>
          </w:p>
        </w:tc>
        <w:tc>
          <w:tcPr>
            <w:tcW w:w="609" w:type="pct"/>
            <w:tcBorders>
              <w:top w:val="nil"/>
              <w:left w:val="nil"/>
              <w:bottom w:val="single" w:sz="4" w:space="0" w:color="auto"/>
              <w:right w:val="single" w:sz="4" w:space="0" w:color="auto"/>
            </w:tcBorders>
            <w:shd w:val="clear" w:color="auto" w:fill="auto"/>
            <w:noWrap/>
            <w:vAlign w:val="bottom"/>
            <w:hideMark/>
          </w:tcPr>
          <w:p w14:paraId="3ED12272"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19.66</w:t>
            </w:r>
          </w:p>
        </w:tc>
        <w:tc>
          <w:tcPr>
            <w:tcW w:w="591" w:type="pct"/>
            <w:tcBorders>
              <w:top w:val="nil"/>
              <w:left w:val="nil"/>
              <w:bottom w:val="single" w:sz="4" w:space="0" w:color="auto"/>
              <w:right w:val="single" w:sz="4" w:space="0" w:color="auto"/>
            </w:tcBorders>
            <w:shd w:val="clear" w:color="auto" w:fill="auto"/>
            <w:noWrap/>
            <w:vAlign w:val="bottom"/>
            <w:hideMark/>
          </w:tcPr>
          <w:p w14:paraId="78234128"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 </w:t>
            </w:r>
          </w:p>
        </w:tc>
        <w:tc>
          <w:tcPr>
            <w:tcW w:w="577" w:type="pct"/>
            <w:tcBorders>
              <w:top w:val="nil"/>
              <w:left w:val="nil"/>
              <w:bottom w:val="single" w:sz="4" w:space="0" w:color="auto"/>
              <w:right w:val="single" w:sz="4" w:space="0" w:color="auto"/>
            </w:tcBorders>
            <w:shd w:val="clear" w:color="auto" w:fill="auto"/>
            <w:noWrap/>
            <w:vAlign w:val="bottom"/>
            <w:hideMark/>
          </w:tcPr>
          <w:p w14:paraId="7B87A24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 </w:t>
            </w:r>
          </w:p>
        </w:tc>
      </w:tr>
      <w:tr w:rsidR="000C013D" w:rsidRPr="005E0B4D" w14:paraId="4E3D5D3A" w14:textId="77777777" w:rsidTr="00495CCA">
        <w:trPr>
          <w:trHeight w:val="309"/>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487F5BC9" w14:textId="77777777" w:rsidR="000C013D" w:rsidRPr="005E0B4D" w:rsidRDefault="000C013D" w:rsidP="005E0B4D">
            <w:pPr>
              <w:spacing w:after="0" w:line="240" w:lineRule="auto"/>
              <w:jc w:val="both"/>
              <w:rPr>
                <w:rFonts w:ascii="Times New Roman" w:eastAsia="Times New Roman" w:hAnsi="Times New Roman" w:cs="Times New Roman"/>
                <w:color w:val="000000"/>
              </w:rPr>
            </w:pPr>
            <w:proofErr w:type="gramStart"/>
            <w:r w:rsidRPr="005E0B4D">
              <w:rPr>
                <w:rFonts w:ascii="Times New Roman" w:eastAsia="Times New Roman" w:hAnsi="Times New Roman" w:cs="Times New Roman"/>
                <w:color w:val="000000"/>
              </w:rPr>
              <w:t>S.D</w:t>
            </w:r>
            <w:proofErr w:type="gramEnd"/>
          </w:p>
        </w:tc>
        <w:tc>
          <w:tcPr>
            <w:tcW w:w="577" w:type="pct"/>
            <w:tcBorders>
              <w:top w:val="nil"/>
              <w:left w:val="nil"/>
              <w:bottom w:val="single" w:sz="4" w:space="0" w:color="auto"/>
              <w:right w:val="single" w:sz="4" w:space="0" w:color="auto"/>
            </w:tcBorders>
            <w:shd w:val="clear" w:color="auto" w:fill="auto"/>
            <w:noWrap/>
            <w:vAlign w:val="bottom"/>
            <w:hideMark/>
          </w:tcPr>
          <w:p w14:paraId="58F11B90"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5.23</w:t>
            </w:r>
          </w:p>
        </w:tc>
        <w:tc>
          <w:tcPr>
            <w:tcW w:w="577" w:type="pct"/>
            <w:tcBorders>
              <w:top w:val="nil"/>
              <w:left w:val="nil"/>
              <w:bottom w:val="single" w:sz="4" w:space="0" w:color="auto"/>
              <w:right w:val="single" w:sz="4" w:space="0" w:color="auto"/>
            </w:tcBorders>
            <w:shd w:val="clear" w:color="auto" w:fill="auto"/>
            <w:noWrap/>
            <w:vAlign w:val="bottom"/>
            <w:hideMark/>
          </w:tcPr>
          <w:p w14:paraId="34BB5295"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5.79</w:t>
            </w:r>
          </w:p>
        </w:tc>
        <w:tc>
          <w:tcPr>
            <w:tcW w:w="577" w:type="pct"/>
            <w:tcBorders>
              <w:top w:val="nil"/>
              <w:left w:val="nil"/>
              <w:bottom w:val="single" w:sz="4" w:space="0" w:color="auto"/>
              <w:right w:val="single" w:sz="4" w:space="0" w:color="auto"/>
            </w:tcBorders>
            <w:shd w:val="clear" w:color="auto" w:fill="auto"/>
            <w:noWrap/>
            <w:vAlign w:val="bottom"/>
            <w:hideMark/>
          </w:tcPr>
          <w:p w14:paraId="115BEDDB"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5.09</w:t>
            </w:r>
          </w:p>
        </w:tc>
        <w:tc>
          <w:tcPr>
            <w:tcW w:w="577" w:type="pct"/>
            <w:tcBorders>
              <w:top w:val="nil"/>
              <w:left w:val="nil"/>
              <w:bottom w:val="single" w:sz="4" w:space="0" w:color="auto"/>
              <w:right w:val="single" w:sz="4" w:space="0" w:color="auto"/>
            </w:tcBorders>
            <w:shd w:val="clear" w:color="auto" w:fill="auto"/>
            <w:noWrap/>
            <w:vAlign w:val="bottom"/>
            <w:hideMark/>
          </w:tcPr>
          <w:p w14:paraId="0EC0A83A"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4.21</w:t>
            </w:r>
          </w:p>
        </w:tc>
        <w:tc>
          <w:tcPr>
            <w:tcW w:w="609" w:type="pct"/>
            <w:tcBorders>
              <w:top w:val="nil"/>
              <w:left w:val="nil"/>
              <w:bottom w:val="single" w:sz="4" w:space="0" w:color="auto"/>
              <w:right w:val="single" w:sz="4" w:space="0" w:color="auto"/>
            </w:tcBorders>
            <w:shd w:val="clear" w:color="auto" w:fill="auto"/>
            <w:noWrap/>
            <w:vAlign w:val="bottom"/>
            <w:hideMark/>
          </w:tcPr>
          <w:p w14:paraId="10027F5B"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12.21</w:t>
            </w:r>
          </w:p>
        </w:tc>
        <w:tc>
          <w:tcPr>
            <w:tcW w:w="591" w:type="pct"/>
            <w:tcBorders>
              <w:top w:val="nil"/>
              <w:left w:val="nil"/>
              <w:bottom w:val="single" w:sz="4" w:space="0" w:color="auto"/>
              <w:right w:val="single" w:sz="4" w:space="0" w:color="auto"/>
            </w:tcBorders>
            <w:shd w:val="clear" w:color="auto" w:fill="auto"/>
            <w:noWrap/>
            <w:vAlign w:val="bottom"/>
            <w:hideMark/>
          </w:tcPr>
          <w:p w14:paraId="4ADC8812"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 </w:t>
            </w:r>
          </w:p>
        </w:tc>
        <w:tc>
          <w:tcPr>
            <w:tcW w:w="577" w:type="pct"/>
            <w:tcBorders>
              <w:top w:val="nil"/>
              <w:left w:val="nil"/>
              <w:bottom w:val="single" w:sz="4" w:space="0" w:color="auto"/>
              <w:right w:val="single" w:sz="4" w:space="0" w:color="auto"/>
            </w:tcBorders>
            <w:shd w:val="clear" w:color="auto" w:fill="auto"/>
            <w:noWrap/>
            <w:vAlign w:val="bottom"/>
            <w:hideMark/>
          </w:tcPr>
          <w:p w14:paraId="095CF55B" w14:textId="77777777" w:rsidR="000C013D" w:rsidRPr="005E0B4D" w:rsidRDefault="000C013D" w:rsidP="005E0B4D">
            <w:pPr>
              <w:spacing w:after="0" w:line="240" w:lineRule="auto"/>
              <w:jc w:val="both"/>
              <w:rPr>
                <w:rFonts w:ascii="Times New Roman" w:eastAsia="Times New Roman" w:hAnsi="Times New Roman" w:cs="Times New Roman"/>
                <w:color w:val="000000"/>
              </w:rPr>
            </w:pPr>
            <w:r w:rsidRPr="005E0B4D">
              <w:rPr>
                <w:rFonts w:ascii="Times New Roman" w:eastAsia="Times New Roman" w:hAnsi="Times New Roman" w:cs="Times New Roman"/>
                <w:color w:val="000000"/>
              </w:rPr>
              <w:t> </w:t>
            </w:r>
          </w:p>
        </w:tc>
      </w:tr>
    </w:tbl>
    <w:p w14:paraId="636E412D" w14:textId="77800079" w:rsidR="00150AC7" w:rsidRPr="00150AC7" w:rsidRDefault="00150AC7" w:rsidP="00150AC7">
      <w:pPr>
        <w:spacing w:before="240" w:after="240" w:line="384"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bookmarkStart w:id="7" w:name="_Hlk81848784"/>
      <w:r w:rsidRPr="00150AC7">
        <w:rPr>
          <w:rFonts w:ascii="Times New Roman" w:hAnsi="Times New Roman" w:cs="Times New Roman"/>
          <w:color w:val="000000" w:themeColor="text1"/>
          <w:sz w:val="24"/>
          <w:szCs w:val="24"/>
        </w:rPr>
        <w:t xml:space="preserve">Source: </w:t>
      </w:r>
      <w:r w:rsidRPr="00150AC7">
        <w:rPr>
          <w:rFonts w:ascii="Times New Roman" w:hAnsi="Times New Roman" w:cs="Times New Roman"/>
          <w:i/>
          <w:color w:val="000000" w:themeColor="text1"/>
          <w:sz w:val="24"/>
          <w:szCs w:val="24"/>
        </w:rPr>
        <w:t>Annual Report of concern Banks</w:t>
      </w:r>
      <w:bookmarkEnd w:id="7"/>
    </w:p>
    <w:p w14:paraId="46BCDC21"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4.2 shows that the average Dividend per share varies widely within individual banks also. The Dividend per share fluctuated from 28.55 rupees to 17.12 rupees for NIBL, from 7.00 rupees to 10.53 rupees for KBL, from 24.71 rupees to 22.00 rupees for HBL, from 12.62 rupees to 25.81 rupees for GIBL and from 0.00 rupees to 41.96 rupees for NMBL. The table shows almost all banks DPS is in fluctuating trend.</w:t>
      </w:r>
    </w:p>
    <w:p w14:paraId="5655C8AF"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variation in Dividend per share as indicated by SD is lowest for GIBL followed by HBL. However, the highest SD for Dividend per share is for NMBL.</w:t>
      </w:r>
    </w:p>
    <w:p w14:paraId="3400D497" w14:textId="7574B9AF" w:rsidR="00495CCA" w:rsidRDefault="00495CCA">
      <w:pPr>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br w:type="page"/>
      </w:r>
    </w:p>
    <w:p w14:paraId="1A04760C" w14:textId="39E87A13" w:rsidR="00DA2E3D" w:rsidRPr="00143B41" w:rsidRDefault="00DA2E3D">
      <w:pPr>
        <w:rPr>
          <w:rFonts w:ascii="Times New Roman" w:hAnsi="Times New Roman" w:cs="Times New Roman"/>
          <w:b/>
          <w:bCs/>
          <w:color w:val="000000" w:themeColor="text1"/>
          <w:sz w:val="24"/>
          <w:szCs w:val="24"/>
        </w:rPr>
      </w:pPr>
      <w:r w:rsidRPr="00DA2E3D">
        <w:rPr>
          <w:rFonts w:ascii="Times New Roman" w:hAnsi="Times New Roman" w:cs="Times New Roman"/>
          <w:b/>
          <w:bCs/>
          <w:color w:val="000000" w:themeColor="text1"/>
          <w:sz w:val="24"/>
          <w:szCs w:val="24"/>
        </w:rPr>
        <w:lastRenderedPageBreak/>
        <w:t>Figure 4.2 shows average dividend per share of different commercial banks of Nepal.</w:t>
      </w:r>
    </w:p>
    <w:p w14:paraId="1EE877BA" w14:textId="77777777" w:rsidR="000C013D" w:rsidRPr="00143B41" w:rsidRDefault="000C013D" w:rsidP="00444603">
      <w:pPr>
        <w:spacing w:before="240" w:after="240" w:line="384" w:lineRule="auto"/>
        <w:jc w:val="both"/>
        <w:rPr>
          <w:rFonts w:ascii="Times New Roman" w:hAnsi="Times New Roman" w:cs="Times New Roman"/>
          <w:color w:val="000000" w:themeColor="text1"/>
          <w:sz w:val="28"/>
          <w:szCs w:val="28"/>
        </w:rPr>
      </w:pPr>
      <w:r w:rsidRPr="00143B41">
        <w:rPr>
          <w:rFonts w:ascii="Times New Roman" w:hAnsi="Times New Roman" w:cs="Times New Roman"/>
          <w:noProof/>
          <w:color w:val="000000" w:themeColor="text1"/>
          <w:sz w:val="28"/>
          <w:szCs w:val="28"/>
          <w:lang w:bidi="ne-NP"/>
        </w:rPr>
        <w:drawing>
          <wp:inline distT="0" distB="0" distL="0" distR="0" wp14:anchorId="479E1611" wp14:editId="16C1709B">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122F8CD"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Figure 4.2 shows the fluctuation pattern of the Divided per share over the study period. The figure shows the highest for year 2075/76 and lowest for year 2069/70. The rate DPS slightly decreases in year 2069/70 than 2068/69 and then increases in year 2072/73 and 2073/74 and increases again year 2074/75 and 2075/76.</w:t>
      </w:r>
    </w:p>
    <w:p w14:paraId="25AFA239" w14:textId="77777777" w:rsidR="000C013D" w:rsidRPr="00143B41" w:rsidRDefault="000C013D" w:rsidP="00444603">
      <w:pPr>
        <w:tabs>
          <w:tab w:val="left" w:pos="1260"/>
        </w:tabs>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4.1.3 Price Earnings Ratio</w:t>
      </w:r>
    </w:p>
    <w:p w14:paraId="5DEF1EB3"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price Earnings ratio for the period of 2068/69 to 2075/76 has been presented in Table 4.3.</w:t>
      </w:r>
    </w:p>
    <w:p w14:paraId="3979A97F"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4.3 shows that the price earnings ratio is highest for NMBL (29.90 rupees) followed by HBL (28.35 rupees), NIBL (23.01 rupees), KBL (22.05 rupees) and GIBL (21.66 rupees).</w:t>
      </w:r>
    </w:p>
    <w:p w14:paraId="0B683944"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p>
    <w:p w14:paraId="3869AE29" w14:textId="77777777" w:rsidR="000C013D" w:rsidRPr="00143B41" w:rsidRDefault="000C013D" w:rsidP="00444603">
      <w:pPr>
        <w:tabs>
          <w:tab w:val="left" w:pos="1260"/>
        </w:tabs>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lastRenderedPageBreak/>
        <w:t xml:space="preserve">Table 4.3 Price </w:t>
      </w:r>
      <w:proofErr w:type="spellStart"/>
      <w:r w:rsidRPr="00143B41">
        <w:rPr>
          <w:rFonts w:ascii="Times New Roman" w:hAnsi="Times New Roman" w:cs="Times New Roman"/>
          <w:b/>
          <w:bCs/>
          <w:color w:val="000000" w:themeColor="text1"/>
          <w:sz w:val="24"/>
          <w:szCs w:val="24"/>
        </w:rPr>
        <w:t>Earning</w:t>
      </w:r>
      <w:proofErr w:type="spellEnd"/>
      <w:r w:rsidRPr="00143B41">
        <w:rPr>
          <w:rFonts w:ascii="Times New Roman" w:hAnsi="Times New Roman" w:cs="Times New Roman"/>
          <w:b/>
          <w:bCs/>
          <w:color w:val="000000" w:themeColor="text1"/>
          <w:sz w:val="24"/>
          <w:szCs w:val="24"/>
        </w:rPr>
        <w:t xml:space="preserve"> Ratio of Banks under study of Financial Indicators.</w:t>
      </w:r>
    </w:p>
    <w:tbl>
      <w:tblPr>
        <w:tblW w:w="5000" w:type="pct"/>
        <w:tblLook w:val="04A0" w:firstRow="1" w:lastRow="0" w:firstColumn="1" w:lastColumn="0" w:noHBand="0" w:noVBand="1"/>
      </w:tblPr>
      <w:tblGrid>
        <w:gridCol w:w="1624"/>
        <w:gridCol w:w="1022"/>
        <w:gridCol w:w="1022"/>
        <w:gridCol w:w="1022"/>
        <w:gridCol w:w="1022"/>
        <w:gridCol w:w="1079"/>
        <w:gridCol w:w="1045"/>
        <w:gridCol w:w="1020"/>
      </w:tblGrid>
      <w:tr w:rsidR="000C013D" w:rsidRPr="00976938" w14:paraId="64703CD2" w14:textId="77777777" w:rsidTr="00BA2453">
        <w:trPr>
          <w:trHeight w:val="307"/>
        </w:trPr>
        <w:tc>
          <w:tcPr>
            <w:tcW w:w="91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4B272C"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Year/Bank</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632A996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NIBL</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744AE24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KBL</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77D76E91"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HBL</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1EB9BA79"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GIBL</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563368EE"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NMBL</w:t>
            </w:r>
          </w:p>
        </w:tc>
        <w:tc>
          <w:tcPr>
            <w:tcW w:w="590" w:type="pct"/>
            <w:tcBorders>
              <w:top w:val="single" w:sz="4" w:space="0" w:color="auto"/>
              <w:left w:val="nil"/>
              <w:bottom w:val="single" w:sz="4" w:space="0" w:color="auto"/>
              <w:right w:val="single" w:sz="4" w:space="0" w:color="auto"/>
            </w:tcBorders>
            <w:shd w:val="clear" w:color="auto" w:fill="auto"/>
            <w:noWrap/>
            <w:vAlign w:val="bottom"/>
            <w:hideMark/>
          </w:tcPr>
          <w:p w14:paraId="0D4D5C6A"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Mean</w:t>
            </w:r>
          </w:p>
        </w:tc>
        <w:tc>
          <w:tcPr>
            <w:tcW w:w="577" w:type="pct"/>
            <w:tcBorders>
              <w:top w:val="single" w:sz="4" w:space="0" w:color="auto"/>
              <w:left w:val="nil"/>
              <w:bottom w:val="single" w:sz="4" w:space="0" w:color="auto"/>
              <w:right w:val="single" w:sz="4" w:space="0" w:color="auto"/>
            </w:tcBorders>
            <w:shd w:val="clear" w:color="auto" w:fill="auto"/>
            <w:noWrap/>
            <w:vAlign w:val="bottom"/>
            <w:hideMark/>
          </w:tcPr>
          <w:p w14:paraId="6BDEFBD6"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proofErr w:type="gramStart"/>
            <w:r w:rsidRPr="00976938">
              <w:rPr>
                <w:rFonts w:ascii="Times New Roman" w:eastAsia="Times New Roman" w:hAnsi="Times New Roman" w:cs="Times New Roman"/>
                <w:color w:val="000000"/>
                <w:sz w:val="24"/>
                <w:szCs w:val="24"/>
              </w:rPr>
              <w:t>S.D</w:t>
            </w:r>
            <w:proofErr w:type="gramEnd"/>
          </w:p>
        </w:tc>
      </w:tr>
      <w:tr w:rsidR="000C013D" w:rsidRPr="00976938" w14:paraId="0D2ACCB2"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40DA3CB3"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2068/69</w:t>
            </w:r>
          </w:p>
        </w:tc>
        <w:tc>
          <w:tcPr>
            <w:tcW w:w="577" w:type="pct"/>
            <w:tcBorders>
              <w:top w:val="nil"/>
              <w:left w:val="nil"/>
              <w:bottom w:val="single" w:sz="4" w:space="0" w:color="auto"/>
              <w:right w:val="single" w:sz="4" w:space="0" w:color="auto"/>
            </w:tcBorders>
            <w:shd w:val="clear" w:color="auto" w:fill="auto"/>
            <w:noWrap/>
            <w:vAlign w:val="bottom"/>
            <w:hideMark/>
          </w:tcPr>
          <w:p w14:paraId="0F5774E6"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18.51</w:t>
            </w:r>
          </w:p>
        </w:tc>
        <w:tc>
          <w:tcPr>
            <w:tcW w:w="577" w:type="pct"/>
            <w:tcBorders>
              <w:top w:val="nil"/>
              <w:left w:val="nil"/>
              <w:bottom w:val="single" w:sz="4" w:space="0" w:color="auto"/>
              <w:right w:val="single" w:sz="4" w:space="0" w:color="auto"/>
            </w:tcBorders>
            <w:shd w:val="clear" w:color="auto" w:fill="auto"/>
            <w:noWrap/>
            <w:vAlign w:val="bottom"/>
            <w:hideMark/>
          </w:tcPr>
          <w:p w14:paraId="292C552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14.32</w:t>
            </w:r>
          </w:p>
        </w:tc>
        <w:tc>
          <w:tcPr>
            <w:tcW w:w="577" w:type="pct"/>
            <w:tcBorders>
              <w:top w:val="nil"/>
              <w:left w:val="nil"/>
              <w:bottom w:val="single" w:sz="4" w:space="0" w:color="auto"/>
              <w:right w:val="single" w:sz="4" w:space="0" w:color="auto"/>
            </w:tcBorders>
            <w:shd w:val="clear" w:color="auto" w:fill="auto"/>
            <w:noWrap/>
            <w:vAlign w:val="bottom"/>
            <w:hideMark/>
          </w:tcPr>
          <w:p w14:paraId="24CC6CFA"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18.80</w:t>
            </w:r>
          </w:p>
        </w:tc>
        <w:tc>
          <w:tcPr>
            <w:tcW w:w="577" w:type="pct"/>
            <w:tcBorders>
              <w:top w:val="nil"/>
              <w:left w:val="nil"/>
              <w:bottom w:val="single" w:sz="4" w:space="0" w:color="auto"/>
              <w:right w:val="single" w:sz="4" w:space="0" w:color="auto"/>
            </w:tcBorders>
            <w:shd w:val="clear" w:color="auto" w:fill="auto"/>
            <w:noWrap/>
            <w:vAlign w:val="bottom"/>
            <w:hideMark/>
          </w:tcPr>
          <w:p w14:paraId="517D6D3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14.84</w:t>
            </w:r>
          </w:p>
        </w:tc>
        <w:tc>
          <w:tcPr>
            <w:tcW w:w="609" w:type="pct"/>
            <w:tcBorders>
              <w:top w:val="nil"/>
              <w:left w:val="nil"/>
              <w:bottom w:val="single" w:sz="4" w:space="0" w:color="auto"/>
              <w:right w:val="single" w:sz="4" w:space="0" w:color="auto"/>
            </w:tcBorders>
            <w:shd w:val="clear" w:color="auto" w:fill="auto"/>
            <w:noWrap/>
            <w:vAlign w:val="bottom"/>
            <w:hideMark/>
          </w:tcPr>
          <w:p w14:paraId="53D2B762"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69.35</w:t>
            </w:r>
          </w:p>
        </w:tc>
        <w:tc>
          <w:tcPr>
            <w:tcW w:w="590" w:type="pct"/>
            <w:tcBorders>
              <w:top w:val="nil"/>
              <w:left w:val="nil"/>
              <w:bottom w:val="single" w:sz="4" w:space="0" w:color="auto"/>
              <w:right w:val="single" w:sz="4" w:space="0" w:color="auto"/>
            </w:tcBorders>
            <w:shd w:val="clear" w:color="auto" w:fill="auto"/>
            <w:noWrap/>
            <w:vAlign w:val="bottom"/>
            <w:hideMark/>
          </w:tcPr>
          <w:p w14:paraId="55D2087C"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27.16</w:t>
            </w:r>
          </w:p>
        </w:tc>
        <w:tc>
          <w:tcPr>
            <w:tcW w:w="577" w:type="pct"/>
            <w:tcBorders>
              <w:top w:val="nil"/>
              <w:left w:val="nil"/>
              <w:bottom w:val="single" w:sz="4" w:space="0" w:color="auto"/>
              <w:right w:val="single" w:sz="4" w:space="0" w:color="auto"/>
            </w:tcBorders>
            <w:shd w:val="clear" w:color="auto" w:fill="auto"/>
            <w:noWrap/>
            <w:vAlign w:val="bottom"/>
            <w:hideMark/>
          </w:tcPr>
          <w:p w14:paraId="759C6DBC"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21.17</w:t>
            </w:r>
          </w:p>
        </w:tc>
      </w:tr>
      <w:tr w:rsidR="000C013D" w:rsidRPr="00976938" w14:paraId="77957209"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3DFB84D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2069/70</w:t>
            </w:r>
          </w:p>
        </w:tc>
        <w:tc>
          <w:tcPr>
            <w:tcW w:w="577" w:type="pct"/>
            <w:tcBorders>
              <w:top w:val="nil"/>
              <w:left w:val="nil"/>
              <w:bottom w:val="single" w:sz="4" w:space="0" w:color="auto"/>
              <w:right w:val="single" w:sz="4" w:space="0" w:color="auto"/>
            </w:tcBorders>
            <w:shd w:val="clear" w:color="auto" w:fill="auto"/>
            <w:noWrap/>
            <w:vAlign w:val="bottom"/>
            <w:hideMark/>
          </w:tcPr>
          <w:p w14:paraId="7523B3BF"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17.10</w:t>
            </w:r>
          </w:p>
        </w:tc>
        <w:tc>
          <w:tcPr>
            <w:tcW w:w="577" w:type="pct"/>
            <w:tcBorders>
              <w:top w:val="nil"/>
              <w:left w:val="nil"/>
              <w:bottom w:val="single" w:sz="4" w:space="0" w:color="auto"/>
              <w:right w:val="single" w:sz="4" w:space="0" w:color="auto"/>
            </w:tcBorders>
            <w:shd w:val="clear" w:color="auto" w:fill="auto"/>
            <w:noWrap/>
            <w:vAlign w:val="bottom"/>
            <w:hideMark/>
          </w:tcPr>
          <w:p w14:paraId="75B39474"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16.31</w:t>
            </w:r>
          </w:p>
        </w:tc>
        <w:tc>
          <w:tcPr>
            <w:tcW w:w="577" w:type="pct"/>
            <w:tcBorders>
              <w:top w:val="nil"/>
              <w:left w:val="nil"/>
              <w:bottom w:val="single" w:sz="4" w:space="0" w:color="auto"/>
              <w:right w:val="single" w:sz="4" w:space="0" w:color="auto"/>
            </w:tcBorders>
            <w:shd w:val="clear" w:color="auto" w:fill="auto"/>
            <w:noWrap/>
            <w:vAlign w:val="bottom"/>
            <w:hideMark/>
          </w:tcPr>
          <w:p w14:paraId="05531FE7"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21.50</w:t>
            </w:r>
          </w:p>
        </w:tc>
        <w:tc>
          <w:tcPr>
            <w:tcW w:w="577" w:type="pct"/>
            <w:tcBorders>
              <w:top w:val="nil"/>
              <w:left w:val="nil"/>
              <w:bottom w:val="single" w:sz="4" w:space="0" w:color="auto"/>
              <w:right w:val="single" w:sz="4" w:space="0" w:color="auto"/>
            </w:tcBorders>
            <w:shd w:val="clear" w:color="auto" w:fill="auto"/>
            <w:noWrap/>
            <w:vAlign w:val="bottom"/>
            <w:hideMark/>
          </w:tcPr>
          <w:p w14:paraId="60FB9AD6"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27.37</w:t>
            </w:r>
          </w:p>
        </w:tc>
        <w:tc>
          <w:tcPr>
            <w:tcW w:w="609" w:type="pct"/>
            <w:tcBorders>
              <w:top w:val="nil"/>
              <w:left w:val="nil"/>
              <w:bottom w:val="single" w:sz="4" w:space="0" w:color="auto"/>
              <w:right w:val="single" w:sz="4" w:space="0" w:color="auto"/>
            </w:tcBorders>
            <w:shd w:val="clear" w:color="auto" w:fill="auto"/>
            <w:noWrap/>
            <w:vAlign w:val="bottom"/>
            <w:hideMark/>
          </w:tcPr>
          <w:p w14:paraId="2F6FED3E"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14.15</w:t>
            </w:r>
          </w:p>
        </w:tc>
        <w:tc>
          <w:tcPr>
            <w:tcW w:w="590" w:type="pct"/>
            <w:tcBorders>
              <w:top w:val="nil"/>
              <w:left w:val="nil"/>
              <w:bottom w:val="single" w:sz="4" w:space="0" w:color="auto"/>
              <w:right w:val="single" w:sz="4" w:space="0" w:color="auto"/>
            </w:tcBorders>
            <w:shd w:val="clear" w:color="auto" w:fill="auto"/>
            <w:noWrap/>
            <w:vAlign w:val="bottom"/>
            <w:hideMark/>
          </w:tcPr>
          <w:p w14:paraId="73ED33C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19.29</w:t>
            </w:r>
          </w:p>
        </w:tc>
        <w:tc>
          <w:tcPr>
            <w:tcW w:w="577" w:type="pct"/>
            <w:tcBorders>
              <w:top w:val="nil"/>
              <w:left w:val="nil"/>
              <w:bottom w:val="single" w:sz="4" w:space="0" w:color="auto"/>
              <w:right w:val="single" w:sz="4" w:space="0" w:color="auto"/>
            </w:tcBorders>
            <w:shd w:val="clear" w:color="auto" w:fill="auto"/>
            <w:noWrap/>
            <w:vAlign w:val="bottom"/>
            <w:hideMark/>
          </w:tcPr>
          <w:p w14:paraId="6DE7FB02"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4.70</w:t>
            </w:r>
          </w:p>
        </w:tc>
      </w:tr>
      <w:tr w:rsidR="000C013D" w:rsidRPr="00976938" w14:paraId="0423233A"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3B44BC48"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2070/71</w:t>
            </w:r>
          </w:p>
        </w:tc>
        <w:tc>
          <w:tcPr>
            <w:tcW w:w="577" w:type="pct"/>
            <w:tcBorders>
              <w:top w:val="nil"/>
              <w:left w:val="nil"/>
              <w:bottom w:val="single" w:sz="4" w:space="0" w:color="auto"/>
              <w:right w:val="single" w:sz="4" w:space="0" w:color="auto"/>
            </w:tcBorders>
            <w:shd w:val="clear" w:color="auto" w:fill="auto"/>
            <w:noWrap/>
            <w:vAlign w:val="bottom"/>
            <w:hideMark/>
          </w:tcPr>
          <w:p w14:paraId="56F7D71E"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24.02</w:t>
            </w:r>
          </w:p>
        </w:tc>
        <w:tc>
          <w:tcPr>
            <w:tcW w:w="577" w:type="pct"/>
            <w:tcBorders>
              <w:top w:val="nil"/>
              <w:left w:val="nil"/>
              <w:bottom w:val="single" w:sz="4" w:space="0" w:color="auto"/>
              <w:right w:val="single" w:sz="4" w:space="0" w:color="auto"/>
            </w:tcBorders>
            <w:shd w:val="clear" w:color="auto" w:fill="auto"/>
            <w:noWrap/>
            <w:vAlign w:val="bottom"/>
            <w:hideMark/>
          </w:tcPr>
          <w:p w14:paraId="7D04863E"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38.08</w:t>
            </w:r>
          </w:p>
        </w:tc>
        <w:tc>
          <w:tcPr>
            <w:tcW w:w="577" w:type="pct"/>
            <w:tcBorders>
              <w:top w:val="nil"/>
              <w:left w:val="nil"/>
              <w:bottom w:val="single" w:sz="4" w:space="0" w:color="auto"/>
              <w:right w:val="single" w:sz="4" w:space="0" w:color="auto"/>
            </w:tcBorders>
            <w:shd w:val="clear" w:color="auto" w:fill="auto"/>
            <w:noWrap/>
            <w:vAlign w:val="bottom"/>
            <w:hideMark/>
          </w:tcPr>
          <w:p w14:paraId="319EEB64"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33.15</w:t>
            </w:r>
          </w:p>
        </w:tc>
        <w:tc>
          <w:tcPr>
            <w:tcW w:w="577" w:type="pct"/>
            <w:tcBorders>
              <w:top w:val="nil"/>
              <w:left w:val="nil"/>
              <w:bottom w:val="single" w:sz="4" w:space="0" w:color="auto"/>
              <w:right w:val="single" w:sz="4" w:space="0" w:color="auto"/>
            </w:tcBorders>
            <w:shd w:val="clear" w:color="auto" w:fill="auto"/>
            <w:noWrap/>
            <w:vAlign w:val="bottom"/>
            <w:hideMark/>
          </w:tcPr>
          <w:p w14:paraId="38B92056"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34.54</w:t>
            </w:r>
          </w:p>
        </w:tc>
        <w:tc>
          <w:tcPr>
            <w:tcW w:w="609" w:type="pct"/>
            <w:tcBorders>
              <w:top w:val="nil"/>
              <w:left w:val="nil"/>
              <w:bottom w:val="single" w:sz="4" w:space="0" w:color="auto"/>
              <w:right w:val="single" w:sz="4" w:space="0" w:color="auto"/>
            </w:tcBorders>
            <w:shd w:val="clear" w:color="auto" w:fill="auto"/>
            <w:noWrap/>
            <w:vAlign w:val="bottom"/>
            <w:hideMark/>
          </w:tcPr>
          <w:p w14:paraId="311A683F"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30.80</w:t>
            </w:r>
          </w:p>
        </w:tc>
        <w:tc>
          <w:tcPr>
            <w:tcW w:w="590" w:type="pct"/>
            <w:tcBorders>
              <w:top w:val="nil"/>
              <w:left w:val="nil"/>
              <w:bottom w:val="single" w:sz="4" w:space="0" w:color="auto"/>
              <w:right w:val="single" w:sz="4" w:space="0" w:color="auto"/>
            </w:tcBorders>
            <w:shd w:val="clear" w:color="auto" w:fill="auto"/>
            <w:noWrap/>
            <w:vAlign w:val="bottom"/>
            <w:hideMark/>
          </w:tcPr>
          <w:p w14:paraId="5D1E0D08"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32.12</w:t>
            </w:r>
          </w:p>
        </w:tc>
        <w:tc>
          <w:tcPr>
            <w:tcW w:w="577" w:type="pct"/>
            <w:tcBorders>
              <w:top w:val="nil"/>
              <w:left w:val="nil"/>
              <w:bottom w:val="single" w:sz="4" w:space="0" w:color="auto"/>
              <w:right w:val="single" w:sz="4" w:space="0" w:color="auto"/>
            </w:tcBorders>
            <w:shd w:val="clear" w:color="auto" w:fill="auto"/>
            <w:noWrap/>
            <w:vAlign w:val="bottom"/>
            <w:hideMark/>
          </w:tcPr>
          <w:p w14:paraId="64E6C512"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4.69</w:t>
            </w:r>
          </w:p>
        </w:tc>
      </w:tr>
      <w:tr w:rsidR="000C013D" w:rsidRPr="00976938" w14:paraId="6F6517EE"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530B19D2"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2071/72</w:t>
            </w:r>
          </w:p>
        </w:tc>
        <w:tc>
          <w:tcPr>
            <w:tcW w:w="577" w:type="pct"/>
            <w:tcBorders>
              <w:top w:val="nil"/>
              <w:left w:val="nil"/>
              <w:bottom w:val="single" w:sz="4" w:space="0" w:color="auto"/>
              <w:right w:val="single" w:sz="4" w:space="0" w:color="auto"/>
            </w:tcBorders>
            <w:shd w:val="clear" w:color="auto" w:fill="auto"/>
            <w:noWrap/>
            <w:vAlign w:val="bottom"/>
            <w:hideMark/>
          </w:tcPr>
          <w:p w14:paraId="6BEA7E81"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22.93</w:t>
            </w:r>
          </w:p>
        </w:tc>
        <w:tc>
          <w:tcPr>
            <w:tcW w:w="577" w:type="pct"/>
            <w:tcBorders>
              <w:top w:val="nil"/>
              <w:left w:val="nil"/>
              <w:bottom w:val="single" w:sz="4" w:space="0" w:color="auto"/>
              <w:right w:val="single" w:sz="4" w:space="0" w:color="auto"/>
            </w:tcBorders>
            <w:shd w:val="clear" w:color="auto" w:fill="auto"/>
            <w:noWrap/>
            <w:vAlign w:val="bottom"/>
            <w:hideMark/>
          </w:tcPr>
          <w:p w14:paraId="1E04065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25.63</w:t>
            </w:r>
          </w:p>
        </w:tc>
        <w:tc>
          <w:tcPr>
            <w:tcW w:w="577" w:type="pct"/>
            <w:tcBorders>
              <w:top w:val="nil"/>
              <w:left w:val="nil"/>
              <w:bottom w:val="single" w:sz="4" w:space="0" w:color="auto"/>
              <w:right w:val="single" w:sz="4" w:space="0" w:color="auto"/>
            </w:tcBorders>
            <w:shd w:val="clear" w:color="auto" w:fill="auto"/>
            <w:noWrap/>
            <w:vAlign w:val="bottom"/>
            <w:hideMark/>
          </w:tcPr>
          <w:p w14:paraId="1B72F0D3"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32.89</w:t>
            </w:r>
          </w:p>
        </w:tc>
        <w:tc>
          <w:tcPr>
            <w:tcW w:w="577" w:type="pct"/>
            <w:tcBorders>
              <w:top w:val="nil"/>
              <w:left w:val="nil"/>
              <w:bottom w:val="single" w:sz="4" w:space="0" w:color="auto"/>
              <w:right w:val="single" w:sz="4" w:space="0" w:color="auto"/>
            </w:tcBorders>
            <w:shd w:val="clear" w:color="auto" w:fill="auto"/>
            <w:noWrap/>
            <w:vAlign w:val="bottom"/>
            <w:hideMark/>
          </w:tcPr>
          <w:p w14:paraId="238D864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28.37</w:t>
            </w:r>
          </w:p>
        </w:tc>
        <w:tc>
          <w:tcPr>
            <w:tcW w:w="609" w:type="pct"/>
            <w:tcBorders>
              <w:top w:val="nil"/>
              <w:left w:val="nil"/>
              <w:bottom w:val="single" w:sz="4" w:space="0" w:color="auto"/>
              <w:right w:val="single" w:sz="4" w:space="0" w:color="auto"/>
            </w:tcBorders>
            <w:shd w:val="clear" w:color="auto" w:fill="auto"/>
            <w:noWrap/>
            <w:vAlign w:val="bottom"/>
            <w:hideMark/>
          </w:tcPr>
          <w:p w14:paraId="0764168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25.95</w:t>
            </w:r>
          </w:p>
        </w:tc>
        <w:tc>
          <w:tcPr>
            <w:tcW w:w="590" w:type="pct"/>
            <w:tcBorders>
              <w:top w:val="nil"/>
              <w:left w:val="nil"/>
              <w:bottom w:val="single" w:sz="4" w:space="0" w:color="auto"/>
              <w:right w:val="single" w:sz="4" w:space="0" w:color="auto"/>
            </w:tcBorders>
            <w:shd w:val="clear" w:color="auto" w:fill="auto"/>
            <w:noWrap/>
            <w:vAlign w:val="bottom"/>
            <w:hideMark/>
          </w:tcPr>
          <w:p w14:paraId="25C1D5C6"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27.15</w:t>
            </w:r>
          </w:p>
        </w:tc>
        <w:tc>
          <w:tcPr>
            <w:tcW w:w="577" w:type="pct"/>
            <w:tcBorders>
              <w:top w:val="nil"/>
              <w:left w:val="nil"/>
              <w:bottom w:val="single" w:sz="4" w:space="0" w:color="auto"/>
              <w:right w:val="single" w:sz="4" w:space="0" w:color="auto"/>
            </w:tcBorders>
            <w:shd w:val="clear" w:color="auto" w:fill="auto"/>
            <w:noWrap/>
            <w:vAlign w:val="bottom"/>
            <w:hideMark/>
          </w:tcPr>
          <w:p w14:paraId="1832C966"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3.35</w:t>
            </w:r>
          </w:p>
        </w:tc>
      </w:tr>
      <w:tr w:rsidR="000C013D" w:rsidRPr="00976938" w14:paraId="36F85327"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1454096A"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2072/73</w:t>
            </w:r>
          </w:p>
        </w:tc>
        <w:tc>
          <w:tcPr>
            <w:tcW w:w="577" w:type="pct"/>
            <w:tcBorders>
              <w:top w:val="nil"/>
              <w:left w:val="nil"/>
              <w:bottom w:val="single" w:sz="4" w:space="0" w:color="auto"/>
              <w:right w:val="single" w:sz="4" w:space="0" w:color="auto"/>
            </w:tcBorders>
            <w:shd w:val="clear" w:color="auto" w:fill="auto"/>
            <w:noWrap/>
            <w:vAlign w:val="bottom"/>
            <w:hideMark/>
          </w:tcPr>
          <w:p w14:paraId="76F9D609"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35.97</w:t>
            </w:r>
          </w:p>
        </w:tc>
        <w:tc>
          <w:tcPr>
            <w:tcW w:w="577" w:type="pct"/>
            <w:tcBorders>
              <w:top w:val="nil"/>
              <w:left w:val="nil"/>
              <w:bottom w:val="single" w:sz="4" w:space="0" w:color="auto"/>
              <w:right w:val="single" w:sz="4" w:space="0" w:color="auto"/>
            </w:tcBorders>
            <w:shd w:val="clear" w:color="auto" w:fill="auto"/>
            <w:noWrap/>
            <w:vAlign w:val="bottom"/>
            <w:hideMark/>
          </w:tcPr>
          <w:p w14:paraId="69950FC1"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17.38</w:t>
            </w:r>
          </w:p>
        </w:tc>
        <w:tc>
          <w:tcPr>
            <w:tcW w:w="577" w:type="pct"/>
            <w:tcBorders>
              <w:top w:val="nil"/>
              <w:left w:val="nil"/>
              <w:bottom w:val="single" w:sz="4" w:space="0" w:color="auto"/>
              <w:right w:val="single" w:sz="4" w:space="0" w:color="auto"/>
            </w:tcBorders>
            <w:shd w:val="clear" w:color="auto" w:fill="auto"/>
            <w:noWrap/>
            <w:vAlign w:val="bottom"/>
            <w:hideMark/>
          </w:tcPr>
          <w:p w14:paraId="168A3BF4"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45.83</w:t>
            </w:r>
          </w:p>
        </w:tc>
        <w:tc>
          <w:tcPr>
            <w:tcW w:w="577" w:type="pct"/>
            <w:tcBorders>
              <w:top w:val="nil"/>
              <w:left w:val="nil"/>
              <w:bottom w:val="single" w:sz="4" w:space="0" w:color="auto"/>
              <w:right w:val="single" w:sz="4" w:space="0" w:color="auto"/>
            </w:tcBorders>
            <w:shd w:val="clear" w:color="auto" w:fill="auto"/>
            <w:noWrap/>
            <w:vAlign w:val="bottom"/>
            <w:hideMark/>
          </w:tcPr>
          <w:p w14:paraId="502AB524"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27.11</w:t>
            </w:r>
          </w:p>
        </w:tc>
        <w:tc>
          <w:tcPr>
            <w:tcW w:w="609" w:type="pct"/>
            <w:tcBorders>
              <w:top w:val="nil"/>
              <w:left w:val="nil"/>
              <w:bottom w:val="single" w:sz="4" w:space="0" w:color="auto"/>
              <w:right w:val="single" w:sz="4" w:space="0" w:color="auto"/>
            </w:tcBorders>
            <w:shd w:val="clear" w:color="auto" w:fill="auto"/>
            <w:noWrap/>
            <w:vAlign w:val="bottom"/>
            <w:hideMark/>
          </w:tcPr>
          <w:p w14:paraId="1173F41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39.29</w:t>
            </w:r>
          </w:p>
        </w:tc>
        <w:tc>
          <w:tcPr>
            <w:tcW w:w="590" w:type="pct"/>
            <w:tcBorders>
              <w:top w:val="nil"/>
              <w:left w:val="nil"/>
              <w:bottom w:val="single" w:sz="4" w:space="0" w:color="auto"/>
              <w:right w:val="single" w:sz="4" w:space="0" w:color="auto"/>
            </w:tcBorders>
            <w:shd w:val="clear" w:color="auto" w:fill="auto"/>
            <w:noWrap/>
            <w:vAlign w:val="bottom"/>
            <w:hideMark/>
          </w:tcPr>
          <w:p w14:paraId="2867807A"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33.12</w:t>
            </w:r>
          </w:p>
        </w:tc>
        <w:tc>
          <w:tcPr>
            <w:tcW w:w="577" w:type="pct"/>
            <w:tcBorders>
              <w:top w:val="nil"/>
              <w:left w:val="nil"/>
              <w:bottom w:val="single" w:sz="4" w:space="0" w:color="auto"/>
              <w:right w:val="single" w:sz="4" w:space="0" w:color="auto"/>
            </w:tcBorders>
            <w:shd w:val="clear" w:color="auto" w:fill="auto"/>
            <w:noWrap/>
            <w:vAlign w:val="bottom"/>
            <w:hideMark/>
          </w:tcPr>
          <w:p w14:paraId="25B8A0AA"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9.92</w:t>
            </w:r>
          </w:p>
        </w:tc>
      </w:tr>
      <w:tr w:rsidR="000C013D" w:rsidRPr="00976938" w14:paraId="1E9FC488"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6F9ADE4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2073/74</w:t>
            </w:r>
          </w:p>
        </w:tc>
        <w:tc>
          <w:tcPr>
            <w:tcW w:w="577" w:type="pct"/>
            <w:tcBorders>
              <w:top w:val="nil"/>
              <w:left w:val="nil"/>
              <w:bottom w:val="single" w:sz="4" w:space="0" w:color="auto"/>
              <w:right w:val="single" w:sz="4" w:space="0" w:color="auto"/>
            </w:tcBorders>
            <w:shd w:val="clear" w:color="auto" w:fill="auto"/>
            <w:noWrap/>
            <w:vAlign w:val="bottom"/>
            <w:hideMark/>
          </w:tcPr>
          <w:p w14:paraId="234D2A59"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27.29</w:t>
            </w:r>
          </w:p>
        </w:tc>
        <w:tc>
          <w:tcPr>
            <w:tcW w:w="577" w:type="pct"/>
            <w:tcBorders>
              <w:top w:val="nil"/>
              <w:left w:val="nil"/>
              <w:bottom w:val="single" w:sz="4" w:space="0" w:color="auto"/>
              <w:right w:val="single" w:sz="4" w:space="0" w:color="auto"/>
            </w:tcBorders>
            <w:shd w:val="clear" w:color="auto" w:fill="auto"/>
            <w:noWrap/>
            <w:vAlign w:val="bottom"/>
            <w:hideMark/>
          </w:tcPr>
          <w:p w14:paraId="625E5DCA"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35.52</w:t>
            </w:r>
          </w:p>
        </w:tc>
        <w:tc>
          <w:tcPr>
            <w:tcW w:w="577" w:type="pct"/>
            <w:tcBorders>
              <w:top w:val="nil"/>
              <w:left w:val="nil"/>
              <w:bottom w:val="single" w:sz="4" w:space="0" w:color="auto"/>
              <w:right w:val="single" w:sz="4" w:space="0" w:color="auto"/>
            </w:tcBorders>
            <w:shd w:val="clear" w:color="auto" w:fill="auto"/>
            <w:noWrap/>
            <w:vAlign w:val="bottom"/>
            <w:hideMark/>
          </w:tcPr>
          <w:p w14:paraId="5940F6D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33.90</w:t>
            </w:r>
          </w:p>
        </w:tc>
        <w:tc>
          <w:tcPr>
            <w:tcW w:w="577" w:type="pct"/>
            <w:tcBorders>
              <w:top w:val="nil"/>
              <w:left w:val="nil"/>
              <w:bottom w:val="single" w:sz="4" w:space="0" w:color="auto"/>
              <w:right w:val="single" w:sz="4" w:space="0" w:color="auto"/>
            </w:tcBorders>
            <w:shd w:val="clear" w:color="auto" w:fill="auto"/>
            <w:noWrap/>
            <w:vAlign w:val="bottom"/>
            <w:hideMark/>
          </w:tcPr>
          <w:p w14:paraId="2C4A2B29"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17.37</w:t>
            </w:r>
          </w:p>
        </w:tc>
        <w:tc>
          <w:tcPr>
            <w:tcW w:w="609" w:type="pct"/>
            <w:tcBorders>
              <w:top w:val="nil"/>
              <w:left w:val="nil"/>
              <w:bottom w:val="single" w:sz="4" w:space="0" w:color="auto"/>
              <w:right w:val="single" w:sz="4" w:space="0" w:color="auto"/>
            </w:tcBorders>
            <w:shd w:val="clear" w:color="auto" w:fill="auto"/>
            <w:noWrap/>
            <w:vAlign w:val="bottom"/>
            <w:hideMark/>
          </w:tcPr>
          <w:p w14:paraId="34669F4F"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28.76</w:t>
            </w:r>
          </w:p>
        </w:tc>
        <w:tc>
          <w:tcPr>
            <w:tcW w:w="590" w:type="pct"/>
            <w:tcBorders>
              <w:top w:val="nil"/>
              <w:left w:val="nil"/>
              <w:bottom w:val="single" w:sz="4" w:space="0" w:color="auto"/>
              <w:right w:val="single" w:sz="4" w:space="0" w:color="auto"/>
            </w:tcBorders>
            <w:shd w:val="clear" w:color="auto" w:fill="auto"/>
            <w:noWrap/>
            <w:vAlign w:val="bottom"/>
            <w:hideMark/>
          </w:tcPr>
          <w:p w14:paraId="5FFA644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28.57</w:t>
            </w:r>
          </w:p>
        </w:tc>
        <w:tc>
          <w:tcPr>
            <w:tcW w:w="577" w:type="pct"/>
            <w:tcBorders>
              <w:top w:val="nil"/>
              <w:left w:val="nil"/>
              <w:bottom w:val="single" w:sz="4" w:space="0" w:color="auto"/>
              <w:right w:val="single" w:sz="4" w:space="0" w:color="auto"/>
            </w:tcBorders>
            <w:shd w:val="clear" w:color="auto" w:fill="auto"/>
            <w:noWrap/>
            <w:vAlign w:val="bottom"/>
            <w:hideMark/>
          </w:tcPr>
          <w:p w14:paraId="23E4E13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6.38</w:t>
            </w:r>
          </w:p>
        </w:tc>
      </w:tr>
      <w:tr w:rsidR="000C013D" w:rsidRPr="00976938" w14:paraId="0C13D1D3"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724363EE"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2074/75</w:t>
            </w:r>
          </w:p>
        </w:tc>
        <w:tc>
          <w:tcPr>
            <w:tcW w:w="577" w:type="pct"/>
            <w:tcBorders>
              <w:top w:val="nil"/>
              <w:left w:val="nil"/>
              <w:bottom w:val="single" w:sz="4" w:space="0" w:color="auto"/>
              <w:right w:val="single" w:sz="4" w:space="0" w:color="auto"/>
            </w:tcBorders>
            <w:shd w:val="clear" w:color="auto" w:fill="auto"/>
            <w:noWrap/>
            <w:vAlign w:val="bottom"/>
            <w:hideMark/>
          </w:tcPr>
          <w:p w14:paraId="1E5D8917"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18.16</w:t>
            </w:r>
          </w:p>
        </w:tc>
        <w:tc>
          <w:tcPr>
            <w:tcW w:w="577" w:type="pct"/>
            <w:tcBorders>
              <w:top w:val="nil"/>
              <w:left w:val="nil"/>
              <w:bottom w:val="single" w:sz="4" w:space="0" w:color="auto"/>
              <w:right w:val="single" w:sz="4" w:space="0" w:color="auto"/>
            </w:tcBorders>
            <w:shd w:val="clear" w:color="auto" w:fill="auto"/>
            <w:noWrap/>
            <w:vAlign w:val="bottom"/>
            <w:hideMark/>
          </w:tcPr>
          <w:p w14:paraId="0560F2E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13.52</w:t>
            </w:r>
          </w:p>
        </w:tc>
        <w:tc>
          <w:tcPr>
            <w:tcW w:w="577" w:type="pct"/>
            <w:tcBorders>
              <w:top w:val="nil"/>
              <w:left w:val="nil"/>
              <w:bottom w:val="single" w:sz="4" w:space="0" w:color="auto"/>
              <w:right w:val="single" w:sz="4" w:space="0" w:color="auto"/>
            </w:tcBorders>
            <w:shd w:val="clear" w:color="auto" w:fill="auto"/>
            <w:noWrap/>
            <w:vAlign w:val="bottom"/>
            <w:hideMark/>
          </w:tcPr>
          <w:p w14:paraId="7354311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23.84</w:t>
            </w:r>
          </w:p>
        </w:tc>
        <w:tc>
          <w:tcPr>
            <w:tcW w:w="577" w:type="pct"/>
            <w:tcBorders>
              <w:top w:val="nil"/>
              <w:left w:val="nil"/>
              <w:bottom w:val="single" w:sz="4" w:space="0" w:color="auto"/>
              <w:right w:val="single" w:sz="4" w:space="0" w:color="auto"/>
            </w:tcBorders>
            <w:shd w:val="clear" w:color="auto" w:fill="auto"/>
            <w:noWrap/>
            <w:vAlign w:val="bottom"/>
            <w:hideMark/>
          </w:tcPr>
          <w:p w14:paraId="7FEBDB4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12.27</w:t>
            </w:r>
          </w:p>
        </w:tc>
        <w:tc>
          <w:tcPr>
            <w:tcW w:w="609" w:type="pct"/>
            <w:tcBorders>
              <w:top w:val="nil"/>
              <w:left w:val="nil"/>
              <w:bottom w:val="single" w:sz="4" w:space="0" w:color="auto"/>
              <w:right w:val="single" w:sz="4" w:space="0" w:color="auto"/>
            </w:tcBorders>
            <w:shd w:val="clear" w:color="auto" w:fill="auto"/>
            <w:noWrap/>
            <w:vAlign w:val="bottom"/>
            <w:hideMark/>
          </w:tcPr>
          <w:p w14:paraId="16490FB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14.52</w:t>
            </w:r>
          </w:p>
        </w:tc>
        <w:tc>
          <w:tcPr>
            <w:tcW w:w="590" w:type="pct"/>
            <w:tcBorders>
              <w:top w:val="nil"/>
              <w:left w:val="nil"/>
              <w:bottom w:val="single" w:sz="4" w:space="0" w:color="auto"/>
              <w:right w:val="single" w:sz="4" w:space="0" w:color="auto"/>
            </w:tcBorders>
            <w:shd w:val="clear" w:color="auto" w:fill="auto"/>
            <w:noWrap/>
            <w:vAlign w:val="bottom"/>
            <w:hideMark/>
          </w:tcPr>
          <w:p w14:paraId="0BED756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16.46</w:t>
            </w:r>
          </w:p>
        </w:tc>
        <w:tc>
          <w:tcPr>
            <w:tcW w:w="577" w:type="pct"/>
            <w:tcBorders>
              <w:top w:val="nil"/>
              <w:left w:val="nil"/>
              <w:bottom w:val="single" w:sz="4" w:space="0" w:color="auto"/>
              <w:right w:val="single" w:sz="4" w:space="0" w:color="auto"/>
            </w:tcBorders>
            <w:shd w:val="clear" w:color="auto" w:fill="auto"/>
            <w:noWrap/>
            <w:vAlign w:val="bottom"/>
            <w:hideMark/>
          </w:tcPr>
          <w:p w14:paraId="2FBD4BDB"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4.18</w:t>
            </w:r>
          </w:p>
        </w:tc>
      </w:tr>
      <w:tr w:rsidR="000C013D" w:rsidRPr="00976938" w14:paraId="055D1CB4"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6F65472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2075/76</w:t>
            </w:r>
          </w:p>
        </w:tc>
        <w:tc>
          <w:tcPr>
            <w:tcW w:w="577" w:type="pct"/>
            <w:tcBorders>
              <w:top w:val="nil"/>
              <w:left w:val="nil"/>
              <w:bottom w:val="single" w:sz="4" w:space="0" w:color="auto"/>
              <w:right w:val="single" w:sz="4" w:space="0" w:color="auto"/>
            </w:tcBorders>
            <w:shd w:val="clear" w:color="auto" w:fill="auto"/>
            <w:noWrap/>
            <w:vAlign w:val="bottom"/>
            <w:hideMark/>
          </w:tcPr>
          <w:p w14:paraId="1B6738D3"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20.13</w:t>
            </w:r>
          </w:p>
        </w:tc>
        <w:tc>
          <w:tcPr>
            <w:tcW w:w="577" w:type="pct"/>
            <w:tcBorders>
              <w:top w:val="nil"/>
              <w:left w:val="nil"/>
              <w:bottom w:val="single" w:sz="4" w:space="0" w:color="auto"/>
              <w:right w:val="single" w:sz="4" w:space="0" w:color="auto"/>
            </w:tcBorders>
            <w:shd w:val="clear" w:color="auto" w:fill="auto"/>
            <w:noWrap/>
            <w:vAlign w:val="bottom"/>
            <w:hideMark/>
          </w:tcPr>
          <w:p w14:paraId="61FBBD28"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15.67</w:t>
            </w:r>
          </w:p>
        </w:tc>
        <w:tc>
          <w:tcPr>
            <w:tcW w:w="577" w:type="pct"/>
            <w:tcBorders>
              <w:top w:val="nil"/>
              <w:left w:val="nil"/>
              <w:bottom w:val="single" w:sz="4" w:space="0" w:color="auto"/>
              <w:right w:val="single" w:sz="4" w:space="0" w:color="auto"/>
            </w:tcBorders>
            <w:shd w:val="clear" w:color="auto" w:fill="auto"/>
            <w:noWrap/>
            <w:vAlign w:val="bottom"/>
            <w:hideMark/>
          </w:tcPr>
          <w:p w14:paraId="1194A4D1"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16.86</w:t>
            </w:r>
          </w:p>
        </w:tc>
        <w:tc>
          <w:tcPr>
            <w:tcW w:w="577" w:type="pct"/>
            <w:tcBorders>
              <w:top w:val="nil"/>
              <w:left w:val="nil"/>
              <w:bottom w:val="single" w:sz="4" w:space="0" w:color="auto"/>
              <w:right w:val="single" w:sz="4" w:space="0" w:color="auto"/>
            </w:tcBorders>
            <w:shd w:val="clear" w:color="auto" w:fill="auto"/>
            <w:noWrap/>
            <w:vAlign w:val="bottom"/>
            <w:hideMark/>
          </w:tcPr>
          <w:p w14:paraId="0E838E04"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11.38</w:t>
            </w:r>
          </w:p>
        </w:tc>
        <w:tc>
          <w:tcPr>
            <w:tcW w:w="609" w:type="pct"/>
            <w:tcBorders>
              <w:top w:val="nil"/>
              <w:left w:val="nil"/>
              <w:bottom w:val="single" w:sz="4" w:space="0" w:color="auto"/>
              <w:right w:val="single" w:sz="4" w:space="0" w:color="auto"/>
            </w:tcBorders>
            <w:shd w:val="clear" w:color="auto" w:fill="auto"/>
            <w:noWrap/>
            <w:vAlign w:val="bottom"/>
            <w:hideMark/>
          </w:tcPr>
          <w:p w14:paraId="67EBE9BF"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16.40</w:t>
            </w:r>
          </w:p>
        </w:tc>
        <w:tc>
          <w:tcPr>
            <w:tcW w:w="590" w:type="pct"/>
            <w:tcBorders>
              <w:top w:val="nil"/>
              <w:left w:val="nil"/>
              <w:bottom w:val="single" w:sz="4" w:space="0" w:color="auto"/>
              <w:right w:val="single" w:sz="4" w:space="0" w:color="auto"/>
            </w:tcBorders>
            <w:shd w:val="clear" w:color="auto" w:fill="auto"/>
            <w:noWrap/>
            <w:vAlign w:val="bottom"/>
            <w:hideMark/>
          </w:tcPr>
          <w:p w14:paraId="60732A5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16.09</w:t>
            </w:r>
          </w:p>
        </w:tc>
        <w:tc>
          <w:tcPr>
            <w:tcW w:w="577" w:type="pct"/>
            <w:tcBorders>
              <w:top w:val="nil"/>
              <w:left w:val="nil"/>
              <w:bottom w:val="single" w:sz="4" w:space="0" w:color="auto"/>
              <w:right w:val="single" w:sz="4" w:space="0" w:color="auto"/>
            </w:tcBorders>
            <w:shd w:val="clear" w:color="auto" w:fill="auto"/>
            <w:noWrap/>
            <w:vAlign w:val="bottom"/>
            <w:hideMark/>
          </w:tcPr>
          <w:p w14:paraId="3D2D13CB"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2.81</w:t>
            </w:r>
          </w:p>
        </w:tc>
      </w:tr>
      <w:tr w:rsidR="000C013D" w:rsidRPr="00976938" w14:paraId="349B758A"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6022E394"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Mean</w:t>
            </w:r>
          </w:p>
        </w:tc>
        <w:tc>
          <w:tcPr>
            <w:tcW w:w="577" w:type="pct"/>
            <w:tcBorders>
              <w:top w:val="nil"/>
              <w:left w:val="nil"/>
              <w:bottom w:val="single" w:sz="4" w:space="0" w:color="auto"/>
              <w:right w:val="single" w:sz="4" w:space="0" w:color="auto"/>
            </w:tcBorders>
            <w:shd w:val="clear" w:color="auto" w:fill="auto"/>
            <w:noWrap/>
            <w:vAlign w:val="bottom"/>
            <w:hideMark/>
          </w:tcPr>
          <w:p w14:paraId="35819BD4"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23.01</w:t>
            </w:r>
          </w:p>
        </w:tc>
        <w:tc>
          <w:tcPr>
            <w:tcW w:w="577" w:type="pct"/>
            <w:tcBorders>
              <w:top w:val="nil"/>
              <w:left w:val="nil"/>
              <w:bottom w:val="single" w:sz="4" w:space="0" w:color="auto"/>
              <w:right w:val="single" w:sz="4" w:space="0" w:color="auto"/>
            </w:tcBorders>
            <w:shd w:val="clear" w:color="auto" w:fill="auto"/>
            <w:noWrap/>
            <w:vAlign w:val="bottom"/>
            <w:hideMark/>
          </w:tcPr>
          <w:p w14:paraId="4843DF8B"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22.05</w:t>
            </w:r>
          </w:p>
        </w:tc>
        <w:tc>
          <w:tcPr>
            <w:tcW w:w="577" w:type="pct"/>
            <w:tcBorders>
              <w:top w:val="nil"/>
              <w:left w:val="nil"/>
              <w:bottom w:val="single" w:sz="4" w:space="0" w:color="auto"/>
              <w:right w:val="single" w:sz="4" w:space="0" w:color="auto"/>
            </w:tcBorders>
            <w:shd w:val="clear" w:color="auto" w:fill="auto"/>
            <w:noWrap/>
            <w:vAlign w:val="bottom"/>
            <w:hideMark/>
          </w:tcPr>
          <w:p w14:paraId="6EE3B4EE"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28.35</w:t>
            </w:r>
          </w:p>
        </w:tc>
        <w:tc>
          <w:tcPr>
            <w:tcW w:w="577" w:type="pct"/>
            <w:tcBorders>
              <w:top w:val="nil"/>
              <w:left w:val="nil"/>
              <w:bottom w:val="single" w:sz="4" w:space="0" w:color="auto"/>
              <w:right w:val="single" w:sz="4" w:space="0" w:color="auto"/>
            </w:tcBorders>
            <w:shd w:val="clear" w:color="auto" w:fill="auto"/>
            <w:noWrap/>
            <w:vAlign w:val="bottom"/>
            <w:hideMark/>
          </w:tcPr>
          <w:p w14:paraId="30A0FBB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21.66</w:t>
            </w:r>
          </w:p>
        </w:tc>
        <w:tc>
          <w:tcPr>
            <w:tcW w:w="609" w:type="pct"/>
            <w:tcBorders>
              <w:top w:val="nil"/>
              <w:left w:val="nil"/>
              <w:bottom w:val="single" w:sz="4" w:space="0" w:color="auto"/>
              <w:right w:val="single" w:sz="4" w:space="0" w:color="auto"/>
            </w:tcBorders>
            <w:shd w:val="clear" w:color="auto" w:fill="auto"/>
            <w:noWrap/>
            <w:vAlign w:val="bottom"/>
            <w:hideMark/>
          </w:tcPr>
          <w:p w14:paraId="2AE5224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29.90</w:t>
            </w:r>
          </w:p>
        </w:tc>
        <w:tc>
          <w:tcPr>
            <w:tcW w:w="590" w:type="pct"/>
            <w:tcBorders>
              <w:top w:val="nil"/>
              <w:left w:val="nil"/>
              <w:bottom w:val="single" w:sz="4" w:space="0" w:color="auto"/>
              <w:right w:val="single" w:sz="4" w:space="0" w:color="auto"/>
            </w:tcBorders>
            <w:shd w:val="clear" w:color="auto" w:fill="auto"/>
            <w:noWrap/>
            <w:vAlign w:val="bottom"/>
            <w:hideMark/>
          </w:tcPr>
          <w:p w14:paraId="3361ABC1"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 </w:t>
            </w:r>
          </w:p>
        </w:tc>
        <w:tc>
          <w:tcPr>
            <w:tcW w:w="577" w:type="pct"/>
            <w:tcBorders>
              <w:top w:val="nil"/>
              <w:left w:val="nil"/>
              <w:bottom w:val="single" w:sz="4" w:space="0" w:color="auto"/>
              <w:right w:val="single" w:sz="4" w:space="0" w:color="auto"/>
            </w:tcBorders>
            <w:shd w:val="clear" w:color="auto" w:fill="auto"/>
            <w:noWrap/>
            <w:vAlign w:val="bottom"/>
            <w:hideMark/>
          </w:tcPr>
          <w:p w14:paraId="4506E567"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 </w:t>
            </w:r>
          </w:p>
        </w:tc>
      </w:tr>
      <w:tr w:rsidR="000C013D" w:rsidRPr="00976938" w14:paraId="7FE1C4D2" w14:textId="77777777" w:rsidTr="00BA2453">
        <w:trPr>
          <w:trHeight w:val="307"/>
        </w:trPr>
        <w:tc>
          <w:tcPr>
            <w:tcW w:w="917" w:type="pct"/>
            <w:tcBorders>
              <w:top w:val="nil"/>
              <w:left w:val="single" w:sz="4" w:space="0" w:color="auto"/>
              <w:bottom w:val="single" w:sz="4" w:space="0" w:color="auto"/>
              <w:right w:val="single" w:sz="4" w:space="0" w:color="auto"/>
            </w:tcBorders>
            <w:shd w:val="clear" w:color="auto" w:fill="auto"/>
            <w:noWrap/>
            <w:vAlign w:val="bottom"/>
            <w:hideMark/>
          </w:tcPr>
          <w:p w14:paraId="4AF8EFCC"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proofErr w:type="gramStart"/>
            <w:r w:rsidRPr="00976938">
              <w:rPr>
                <w:rFonts w:ascii="Times New Roman" w:eastAsia="Times New Roman" w:hAnsi="Times New Roman" w:cs="Times New Roman"/>
                <w:color w:val="000000"/>
                <w:sz w:val="24"/>
                <w:szCs w:val="24"/>
              </w:rPr>
              <w:t>S.D</w:t>
            </w:r>
            <w:proofErr w:type="gramEnd"/>
          </w:p>
        </w:tc>
        <w:tc>
          <w:tcPr>
            <w:tcW w:w="577" w:type="pct"/>
            <w:tcBorders>
              <w:top w:val="nil"/>
              <w:left w:val="nil"/>
              <w:bottom w:val="single" w:sz="4" w:space="0" w:color="auto"/>
              <w:right w:val="single" w:sz="4" w:space="0" w:color="auto"/>
            </w:tcBorders>
            <w:shd w:val="clear" w:color="auto" w:fill="auto"/>
            <w:noWrap/>
            <w:vAlign w:val="bottom"/>
            <w:hideMark/>
          </w:tcPr>
          <w:p w14:paraId="4B14359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5.86</w:t>
            </w:r>
          </w:p>
        </w:tc>
        <w:tc>
          <w:tcPr>
            <w:tcW w:w="577" w:type="pct"/>
            <w:tcBorders>
              <w:top w:val="nil"/>
              <w:left w:val="nil"/>
              <w:bottom w:val="single" w:sz="4" w:space="0" w:color="auto"/>
              <w:right w:val="single" w:sz="4" w:space="0" w:color="auto"/>
            </w:tcBorders>
            <w:shd w:val="clear" w:color="auto" w:fill="auto"/>
            <w:noWrap/>
            <w:vAlign w:val="bottom"/>
            <w:hideMark/>
          </w:tcPr>
          <w:p w14:paraId="6158721D"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9.21</w:t>
            </w:r>
          </w:p>
        </w:tc>
        <w:tc>
          <w:tcPr>
            <w:tcW w:w="577" w:type="pct"/>
            <w:tcBorders>
              <w:top w:val="nil"/>
              <w:left w:val="nil"/>
              <w:bottom w:val="single" w:sz="4" w:space="0" w:color="auto"/>
              <w:right w:val="single" w:sz="4" w:space="0" w:color="auto"/>
            </w:tcBorders>
            <w:shd w:val="clear" w:color="auto" w:fill="auto"/>
            <w:noWrap/>
            <w:vAlign w:val="bottom"/>
            <w:hideMark/>
          </w:tcPr>
          <w:p w14:paraId="191EAC56"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9.15</w:t>
            </w:r>
          </w:p>
        </w:tc>
        <w:tc>
          <w:tcPr>
            <w:tcW w:w="577" w:type="pct"/>
            <w:tcBorders>
              <w:top w:val="nil"/>
              <w:left w:val="nil"/>
              <w:bottom w:val="single" w:sz="4" w:space="0" w:color="auto"/>
              <w:right w:val="single" w:sz="4" w:space="0" w:color="auto"/>
            </w:tcBorders>
            <w:shd w:val="clear" w:color="auto" w:fill="auto"/>
            <w:noWrap/>
            <w:vAlign w:val="bottom"/>
            <w:hideMark/>
          </w:tcPr>
          <w:p w14:paraId="48C62500"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8.15</w:t>
            </w:r>
          </w:p>
        </w:tc>
        <w:tc>
          <w:tcPr>
            <w:tcW w:w="609" w:type="pct"/>
            <w:tcBorders>
              <w:top w:val="nil"/>
              <w:left w:val="nil"/>
              <w:bottom w:val="single" w:sz="4" w:space="0" w:color="auto"/>
              <w:right w:val="single" w:sz="4" w:space="0" w:color="auto"/>
            </w:tcBorders>
            <w:shd w:val="clear" w:color="auto" w:fill="auto"/>
            <w:noWrap/>
            <w:vAlign w:val="bottom"/>
            <w:hideMark/>
          </w:tcPr>
          <w:p w14:paraId="74864EF5"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17.06</w:t>
            </w:r>
          </w:p>
        </w:tc>
        <w:tc>
          <w:tcPr>
            <w:tcW w:w="590" w:type="pct"/>
            <w:tcBorders>
              <w:top w:val="nil"/>
              <w:left w:val="nil"/>
              <w:bottom w:val="single" w:sz="4" w:space="0" w:color="auto"/>
              <w:right w:val="single" w:sz="4" w:space="0" w:color="auto"/>
            </w:tcBorders>
            <w:shd w:val="clear" w:color="auto" w:fill="auto"/>
            <w:noWrap/>
            <w:vAlign w:val="bottom"/>
            <w:hideMark/>
          </w:tcPr>
          <w:p w14:paraId="5F9004AA"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 </w:t>
            </w:r>
          </w:p>
        </w:tc>
        <w:tc>
          <w:tcPr>
            <w:tcW w:w="577" w:type="pct"/>
            <w:tcBorders>
              <w:top w:val="nil"/>
              <w:left w:val="nil"/>
              <w:bottom w:val="single" w:sz="4" w:space="0" w:color="auto"/>
              <w:right w:val="single" w:sz="4" w:space="0" w:color="auto"/>
            </w:tcBorders>
            <w:shd w:val="clear" w:color="auto" w:fill="auto"/>
            <w:noWrap/>
            <w:vAlign w:val="bottom"/>
            <w:hideMark/>
          </w:tcPr>
          <w:p w14:paraId="330FCABF" w14:textId="77777777" w:rsidR="000C013D" w:rsidRPr="00976938" w:rsidRDefault="000C013D" w:rsidP="00976938">
            <w:pPr>
              <w:spacing w:after="0" w:line="240" w:lineRule="auto"/>
              <w:jc w:val="both"/>
              <w:rPr>
                <w:rFonts w:ascii="Times New Roman" w:eastAsia="Times New Roman" w:hAnsi="Times New Roman" w:cs="Times New Roman"/>
                <w:color w:val="000000"/>
                <w:sz w:val="24"/>
                <w:szCs w:val="24"/>
              </w:rPr>
            </w:pPr>
            <w:r w:rsidRPr="00976938">
              <w:rPr>
                <w:rFonts w:ascii="Times New Roman" w:eastAsia="Times New Roman" w:hAnsi="Times New Roman" w:cs="Times New Roman"/>
                <w:color w:val="000000"/>
                <w:sz w:val="24"/>
                <w:szCs w:val="24"/>
              </w:rPr>
              <w:t> </w:t>
            </w:r>
          </w:p>
        </w:tc>
      </w:tr>
    </w:tbl>
    <w:p w14:paraId="4B470605" w14:textId="30336C40" w:rsidR="00FB2B94" w:rsidRPr="000328D2" w:rsidRDefault="00FB2B94"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0328D2">
        <w:rPr>
          <w:rFonts w:ascii="Times New Roman" w:hAnsi="Times New Roman" w:cs="Times New Roman"/>
          <w:color w:val="000000" w:themeColor="text1"/>
          <w:sz w:val="24"/>
          <w:szCs w:val="24"/>
        </w:rPr>
        <w:t xml:space="preserve">                                                                           Source: </w:t>
      </w:r>
      <w:r w:rsidRPr="000328D2">
        <w:rPr>
          <w:rFonts w:ascii="Times New Roman" w:hAnsi="Times New Roman" w:cs="Times New Roman"/>
          <w:i/>
          <w:color w:val="000000" w:themeColor="text1"/>
          <w:sz w:val="24"/>
          <w:szCs w:val="24"/>
        </w:rPr>
        <w:t>Annual Report of concern Banks</w:t>
      </w:r>
    </w:p>
    <w:p w14:paraId="1348986A" w14:textId="28010C71"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4.3 shows that the average P/E ratio varies widely within individually banks also. The P/E ratio fluctuated from 18.51 to 20.13 for NIBL, from 18.80 to28.35 for HBL, from 14.32 to 22.05 for KBL, from 14.84 to 21.66 for GIBL and from 69.35 to 29.90 for NMBL.</w:t>
      </w:r>
    </w:p>
    <w:p w14:paraId="630BD22D"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variation in P/E ratio as indicated by SD is lowest for NIBL followed by GIBL, HBL, KBL with highest of NMBL. The computation of SD shows that in P/E ratio is lowest in 2075/76 and highest in 2072/73.</w:t>
      </w:r>
    </w:p>
    <w:p w14:paraId="578B06FA"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Figure 4.3 shows the average P/E ratio of different commercial banks of Nepal (in rupees).</w:t>
      </w:r>
    </w:p>
    <w:p w14:paraId="299CA660" w14:textId="77777777" w:rsidR="00E31F1A" w:rsidRDefault="00E31F1A" w:rsidP="00444603">
      <w:pPr>
        <w:tabs>
          <w:tab w:val="left" w:pos="1260"/>
        </w:tabs>
        <w:spacing w:before="240" w:after="240" w:line="384" w:lineRule="auto"/>
        <w:jc w:val="both"/>
        <w:rPr>
          <w:rFonts w:ascii="Times New Roman" w:hAnsi="Times New Roman" w:cs="Times New Roman"/>
          <w:b/>
          <w:bCs/>
          <w:color w:val="000000" w:themeColor="text1"/>
          <w:sz w:val="24"/>
          <w:szCs w:val="24"/>
        </w:rPr>
      </w:pPr>
    </w:p>
    <w:p w14:paraId="2A1170B5" w14:textId="77777777" w:rsidR="00E31F1A" w:rsidRDefault="00E31F1A" w:rsidP="00444603">
      <w:pPr>
        <w:tabs>
          <w:tab w:val="left" w:pos="1260"/>
        </w:tabs>
        <w:spacing w:before="240" w:after="240" w:line="384" w:lineRule="auto"/>
        <w:jc w:val="both"/>
        <w:rPr>
          <w:rFonts w:ascii="Times New Roman" w:hAnsi="Times New Roman" w:cs="Times New Roman"/>
          <w:b/>
          <w:bCs/>
          <w:color w:val="000000" w:themeColor="text1"/>
          <w:sz w:val="24"/>
          <w:szCs w:val="24"/>
        </w:rPr>
      </w:pPr>
    </w:p>
    <w:p w14:paraId="5D848EF6" w14:textId="77777777" w:rsidR="00E31F1A" w:rsidRDefault="00E31F1A" w:rsidP="00444603">
      <w:pPr>
        <w:tabs>
          <w:tab w:val="left" w:pos="1260"/>
        </w:tabs>
        <w:spacing w:before="240" w:after="240" w:line="384" w:lineRule="auto"/>
        <w:jc w:val="both"/>
        <w:rPr>
          <w:rFonts w:ascii="Times New Roman" w:hAnsi="Times New Roman" w:cs="Times New Roman"/>
          <w:b/>
          <w:bCs/>
          <w:color w:val="000000" w:themeColor="text1"/>
          <w:sz w:val="24"/>
          <w:szCs w:val="24"/>
        </w:rPr>
      </w:pPr>
    </w:p>
    <w:p w14:paraId="0B977D9D" w14:textId="7A1D9FB3" w:rsidR="00927576" w:rsidRPr="002B7024" w:rsidRDefault="002B7024" w:rsidP="00444603">
      <w:pPr>
        <w:tabs>
          <w:tab w:val="left" w:pos="1260"/>
        </w:tabs>
        <w:spacing w:before="240" w:after="240" w:line="384" w:lineRule="auto"/>
        <w:jc w:val="both"/>
        <w:rPr>
          <w:rFonts w:ascii="Times New Roman" w:hAnsi="Times New Roman" w:cs="Times New Roman"/>
          <w:b/>
          <w:bCs/>
          <w:color w:val="000000" w:themeColor="text1"/>
          <w:sz w:val="24"/>
          <w:szCs w:val="24"/>
        </w:rPr>
      </w:pPr>
      <w:r w:rsidRPr="002B7024">
        <w:rPr>
          <w:rFonts w:ascii="Times New Roman" w:hAnsi="Times New Roman" w:cs="Times New Roman"/>
          <w:b/>
          <w:bCs/>
          <w:color w:val="000000" w:themeColor="text1"/>
          <w:sz w:val="24"/>
          <w:szCs w:val="24"/>
        </w:rPr>
        <w:lastRenderedPageBreak/>
        <w:t xml:space="preserve">Figure 4.3 shows average price </w:t>
      </w:r>
      <w:proofErr w:type="spellStart"/>
      <w:r w:rsidRPr="002B7024">
        <w:rPr>
          <w:rFonts w:ascii="Times New Roman" w:hAnsi="Times New Roman" w:cs="Times New Roman"/>
          <w:b/>
          <w:bCs/>
          <w:color w:val="000000" w:themeColor="text1"/>
          <w:sz w:val="24"/>
          <w:szCs w:val="24"/>
        </w:rPr>
        <w:t>earning</w:t>
      </w:r>
      <w:proofErr w:type="spellEnd"/>
      <w:r w:rsidRPr="002B7024">
        <w:rPr>
          <w:rFonts w:ascii="Times New Roman" w:hAnsi="Times New Roman" w:cs="Times New Roman"/>
          <w:b/>
          <w:bCs/>
          <w:color w:val="000000" w:themeColor="text1"/>
          <w:sz w:val="24"/>
          <w:szCs w:val="24"/>
        </w:rPr>
        <w:t xml:space="preserve"> ratio of different commercial banks of Nepal.</w:t>
      </w:r>
    </w:p>
    <w:p w14:paraId="4DBAACE0"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8"/>
          <w:szCs w:val="28"/>
        </w:rPr>
      </w:pPr>
      <w:r w:rsidRPr="00143B41">
        <w:rPr>
          <w:rFonts w:ascii="Times New Roman" w:hAnsi="Times New Roman" w:cs="Times New Roman"/>
          <w:noProof/>
          <w:color w:val="000000" w:themeColor="text1"/>
          <w:sz w:val="28"/>
          <w:szCs w:val="28"/>
          <w:lang w:bidi="ne-NP"/>
        </w:rPr>
        <w:drawing>
          <wp:inline distT="0" distB="0" distL="0" distR="0" wp14:anchorId="1609A967" wp14:editId="0BB485A6">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E355A11"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Price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of Nepalese commercial banks shows fluctuation. The figures show the highest P/E ratio for 2072/73 and lowest for 2075/76. The ratio slightly decreases in 2069/70 than 2068/69 and then increases in year 2070/71, Thereafter the ratio decreases in year 2071/72. The ratio rises to highest 9.92 rupees in year 2072/73 and the decreases </w:t>
      </w:r>
      <w:r w:rsidR="00001541" w:rsidRPr="00143B41">
        <w:rPr>
          <w:rFonts w:ascii="Times New Roman" w:hAnsi="Times New Roman" w:cs="Times New Roman"/>
          <w:color w:val="000000" w:themeColor="text1"/>
          <w:sz w:val="24"/>
          <w:szCs w:val="24"/>
        </w:rPr>
        <w:t>again in</w:t>
      </w:r>
      <w:r w:rsidRPr="00143B41">
        <w:rPr>
          <w:rFonts w:ascii="Times New Roman" w:hAnsi="Times New Roman" w:cs="Times New Roman"/>
          <w:color w:val="000000" w:themeColor="text1"/>
          <w:sz w:val="24"/>
          <w:szCs w:val="24"/>
        </w:rPr>
        <w:t xml:space="preserve"> 2073/74, 2074/75 and 2075/76.</w:t>
      </w:r>
    </w:p>
    <w:p w14:paraId="2FCCEE81" w14:textId="77777777" w:rsidR="000C013D" w:rsidRPr="00143B41" w:rsidRDefault="000C013D" w:rsidP="00444603">
      <w:pPr>
        <w:tabs>
          <w:tab w:val="left" w:pos="1260"/>
        </w:tabs>
        <w:spacing w:before="240" w:after="240" w:line="384" w:lineRule="auto"/>
        <w:jc w:val="both"/>
        <w:rPr>
          <w:rFonts w:ascii="Times New Roman" w:hAnsi="Times New Roman" w:cs="Times New Roman"/>
          <w:b/>
          <w:bCs/>
          <w:color w:val="000000" w:themeColor="text1"/>
          <w:sz w:val="28"/>
          <w:szCs w:val="28"/>
        </w:rPr>
      </w:pPr>
    </w:p>
    <w:p w14:paraId="193A3BC9" w14:textId="77777777" w:rsidR="007C7E75" w:rsidRDefault="007C7E75" w:rsidP="00444603">
      <w:pPr>
        <w:tabs>
          <w:tab w:val="left" w:pos="1260"/>
        </w:tabs>
        <w:spacing w:before="240" w:after="240" w:line="384" w:lineRule="auto"/>
        <w:jc w:val="both"/>
        <w:rPr>
          <w:rFonts w:ascii="Times New Roman" w:hAnsi="Times New Roman" w:cs="Times New Roman"/>
          <w:b/>
          <w:bCs/>
          <w:color w:val="000000" w:themeColor="text1"/>
          <w:sz w:val="28"/>
          <w:szCs w:val="28"/>
        </w:rPr>
      </w:pPr>
    </w:p>
    <w:p w14:paraId="28353EE3" w14:textId="77777777" w:rsidR="007C7E75" w:rsidRDefault="007C7E75" w:rsidP="00444603">
      <w:pPr>
        <w:tabs>
          <w:tab w:val="left" w:pos="1260"/>
        </w:tabs>
        <w:spacing w:before="240" w:after="240" w:line="384" w:lineRule="auto"/>
        <w:jc w:val="both"/>
        <w:rPr>
          <w:rFonts w:ascii="Times New Roman" w:hAnsi="Times New Roman" w:cs="Times New Roman"/>
          <w:b/>
          <w:bCs/>
          <w:color w:val="000000" w:themeColor="text1"/>
          <w:sz w:val="28"/>
          <w:szCs w:val="28"/>
        </w:rPr>
      </w:pPr>
    </w:p>
    <w:p w14:paraId="1A34B08C" w14:textId="77777777" w:rsidR="00E31F1A" w:rsidRDefault="00E31F1A" w:rsidP="00444603">
      <w:pPr>
        <w:tabs>
          <w:tab w:val="left" w:pos="1260"/>
        </w:tabs>
        <w:spacing w:before="240" w:after="240" w:line="384" w:lineRule="auto"/>
        <w:jc w:val="both"/>
        <w:rPr>
          <w:rFonts w:ascii="Times New Roman" w:hAnsi="Times New Roman" w:cs="Times New Roman"/>
          <w:b/>
          <w:bCs/>
          <w:color w:val="000000" w:themeColor="text1"/>
          <w:sz w:val="28"/>
          <w:szCs w:val="28"/>
        </w:rPr>
      </w:pPr>
    </w:p>
    <w:p w14:paraId="63E6AAC5" w14:textId="416D53CD" w:rsidR="000C013D" w:rsidRPr="00143B41" w:rsidRDefault="000C013D" w:rsidP="00444603">
      <w:pPr>
        <w:tabs>
          <w:tab w:val="left" w:pos="1260"/>
        </w:tabs>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lastRenderedPageBreak/>
        <w:t>4.</w:t>
      </w:r>
      <w:r w:rsidR="00241353" w:rsidRPr="00143B41">
        <w:rPr>
          <w:rFonts w:ascii="Times New Roman" w:hAnsi="Times New Roman" w:cs="Times New Roman"/>
          <w:b/>
          <w:bCs/>
          <w:color w:val="000000" w:themeColor="text1"/>
          <w:sz w:val="28"/>
          <w:szCs w:val="28"/>
        </w:rPr>
        <w:t>1.</w:t>
      </w:r>
      <w:r w:rsidRPr="00143B41">
        <w:rPr>
          <w:rFonts w:ascii="Times New Roman" w:hAnsi="Times New Roman" w:cs="Times New Roman"/>
          <w:b/>
          <w:bCs/>
          <w:color w:val="000000" w:themeColor="text1"/>
          <w:sz w:val="28"/>
          <w:szCs w:val="28"/>
        </w:rPr>
        <w:t>4 Return on Assets</w:t>
      </w:r>
    </w:p>
    <w:p w14:paraId="23323497"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Return on assets for period of 2068/69 to 2075/76 has been presented in Table 4.4.</w:t>
      </w:r>
    </w:p>
    <w:p w14:paraId="58184358" w14:textId="77777777" w:rsidR="000C013D" w:rsidRPr="00143B41" w:rsidRDefault="00AC30CB" w:rsidP="00444603">
      <w:pPr>
        <w:tabs>
          <w:tab w:val="left" w:pos="1260"/>
        </w:tabs>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 xml:space="preserve">Table no. </w:t>
      </w:r>
      <w:r w:rsidR="000C013D" w:rsidRPr="00143B41">
        <w:rPr>
          <w:rFonts w:ascii="Times New Roman" w:hAnsi="Times New Roman" w:cs="Times New Roman"/>
          <w:b/>
          <w:bCs/>
          <w:color w:val="000000" w:themeColor="text1"/>
          <w:sz w:val="24"/>
          <w:szCs w:val="24"/>
        </w:rPr>
        <w:t>4.4 Return on Assets of Banks under Study of Financial Indicators.</w:t>
      </w:r>
    </w:p>
    <w:tbl>
      <w:tblPr>
        <w:tblW w:w="5000" w:type="pct"/>
        <w:tblLook w:val="04A0" w:firstRow="1" w:lastRow="0" w:firstColumn="1" w:lastColumn="0" w:noHBand="0" w:noVBand="1"/>
      </w:tblPr>
      <w:tblGrid>
        <w:gridCol w:w="1772"/>
        <w:gridCol w:w="971"/>
        <w:gridCol w:w="942"/>
        <w:gridCol w:w="942"/>
        <w:gridCol w:w="967"/>
        <w:gridCol w:w="1178"/>
        <w:gridCol w:w="1142"/>
        <w:gridCol w:w="942"/>
      </w:tblGrid>
      <w:tr w:rsidR="000C013D" w:rsidRPr="007C7E75" w14:paraId="4301B837" w14:textId="77777777" w:rsidTr="00BD753D">
        <w:trPr>
          <w:trHeight w:val="305"/>
        </w:trPr>
        <w:tc>
          <w:tcPr>
            <w:tcW w:w="1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C738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Year/Bank</w:t>
            </w:r>
          </w:p>
        </w:tc>
        <w:tc>
          <w:tcPr>
            <w:tcW w:w="548" w:type="pct"/>
            <w:tcBorders>
              <w:top w:val="single" w:sz="4" w:space="0" w:color="auto"/>
              <w:left w:val="nil"/>
              <w:bottom w:val="single" w:sz="4" w:space="0" w:color="auto"/>
              <w:right w:val="single" w:sz="4" w:space="0" w:color="auto"/>
            </w:tcBorders>
            <w:shd w:val="clear" w:color="auto" w:fill="auto"/>
            <w:noWrap/>
            <w:vAlign w:val="bottom"/>
            <w:hideMark/>
          </w:tcPr>
          <w:p w14:paraId="6549568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NIBL</w:t>
            </w:r>
          </w:p>
        </w:tc>
        <w:tc>
          <w:tcPr>
            <w:tcW w:w="532" w:type="pct"/>
            <w:tcBorders>
              <w:top w:val="single" w:sz="4" w:space="0" w:color="auto"/>
              <w:left w:val="nil"/>
              <w:bottom w:val="single" w:sz="4" w:space="0" w:color="auto"/>
              <w:right w:val="single" w:sz="4" w:space="0" w:color="auto"/>
            </w:tcBorders>
            <w:shd w:val="clear" w:color="auto" w:fill="auto"/>
            <w:noWrap/>
            <w:vAlign w:val="bottom"/>
            <w:hideMark/>
          </w:tcPr>
          <w:p w14:paraId="4989CB1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KBL</w:t>
            </w:r>
          </w:p>
        </w:tc>
        <w:tc>
          <w:tcPr>
            <w:tcW w:w="532" w:type="pct"/>
            <w:tcBorders>
              <w:top w:val="single" w:sz="4" w:space="0" w:color="auto"/>
              <w:left w:val="nil"/>
              <w:bottom w:val="single" w:sz="4" w:space="0" w:color="auto"/>
              <w:right w:val="single" w:sz="4" w:space="0" w:color="auto"/>
            </w:tcBorders>
            <w:shd w:val="clear" w:color="auto" w:fill="auto"/>
            <w:noWrap/>
            <w:vAlign w:val="bottom"/>
            <w:hideMark/>
          </w:tcPr>
          <w:p w14:paraId="46402A5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HBL</w:t>
            </w:r>
          </w:p>
        </w:tc>
        <w:tc>
          <w:tcPr>
            <w:tcW w:w="546" w:type="pct"/>
            <w:tcBorders>
              <w:top w:val="single" w:sz="4" w:space="0" w:color="auto"/>
              <w:left w:val="nil"/>
              <w:bottom w:val="single" w:sz="4" w:space="0" w:color="auto"/>
              <w:right w:val="single" w:sz="4" w:space="0" w:color="auto"/>
            </w:tcBorders>
            <w:shd w:val="clear" w:color="auto" w:fill="auto"/>
            <w:noWrap/>
            <w:vAlign w:val="bottom"/>
            <w:hideMark/>
          </w:tcPr>
          <w:p w14:paraId="26A4F2F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GIBL</w:t>
            </w:r>
          </w:p>
        </w:tc>
        <w:tc>
          <w:tcPr>
            <w:tcW w:w="665" w:type="pct"/>
            <w:tcBorders>
              <w:top w:val="single" w:sz="4" w:space="0" w:color="auto"/>
              <w:left w:val="nil"/>
              <w:bottom w:val="single" w:sz="4" w:space="0" w:color="auto"/>
              <w:right w:val="single" w:sz="4" w:space="0" w:color="auto"/>
            </w:tcBorders>
            <w:shd w:val="clear" w:color="auto" w:fill="auto"/>
            <w:noWrap/>
            <w:vAlign w:val="bottom"/>
            <w:hideMark/>
          </w:tcPr>
          <w:p w14:paraId="2108EF4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NMBL</w:t>
            </w:r>
          </w:p>
        </w:tc>
        <w:tc>
          <w:tcPr>
            <w:tcW w:w="645" w:type="pct"/>
            <w:tcBorders>
              <w:top w:val="single" w:sz="4" w:space="0" w:color="auto"/>
              <w:left w:val="nil"/>
              <w:bottom w:val="single" w:sz="4" w:space="0" w:color="auto"/>
              <w:right w:val="single" w:sz="4" w:space="0" w:color="auto"/>
            </w:tcBorders>
            <w:shd w:val="clear" w:color="auto" w:fill="auto"/>
            <w:noWrap/>
            <w:vAlign w:val="bottom"/>
            <w:hideMark/>
          </w:tcPr>
          <w:p w14:paraId="6ECF531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Mean</w:t>
            </w:r>
          </w:p>
        </w:tc>
        <w:tc>
          <w:tcPr>
            <w:tcW w:w="532" w:type="pct"/>
            <w:tcBorders>
              <w:top w:val="single" w:sz="4" w:space="0" w:color="auto"/>
              <w:left w:val="nil"/>
              <w:bottom w:val="single" w:sz="4" w:space="0" w:color="auto"/>
              <w:right w:val="single" w:sz="4" w:space="0" w:color="auto"/>
            </w:tcBorders>
            <w:shd w:val="clear" w:color="auto" w:fill="auto"/>
            <w:noWrap/>
            <w:vAlign w:val="bottom"/>
            <w:hideMark/>
          </w:tcPr>
          <w:p w14:paraId="22B2DE2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proofErr w:type="gramStart"/>
            <w:r w:rsidRPr="007C7E75">
              <w:rPr>
                <w:rFonts w:ascii="Times New Roman" w:eastAsia="Times New Roman" w:hAnsi="Times New Roman" w:cs="Times New Roman"/>
                <w:color w:val="000000"/>
                <w:sz w:val="24"/>
                <w:szCs w:val="24"/>
              </w:rPr>
              <w:t>S.D</w:t>
            </w:r>
            <w:proofErr w:type="gramEnd"/>
          </w:p>
        </w:tc>
      </w:tr>
      <w:tr w:rsidR="000C013D" w:rsidRPr="007C7E75" w14:paraId="480B1014"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3404F058"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2068/69</w:t>
            </w:r>
          </w:p>
        </w:tc>
        <w:tc>
          <w:tcPr>
            <w:tcW w:w="548" w:type="pct"/>
            <w:tcBorders>
              <w:top w:val="nil"/>
              <w:left w:val="nil"/>
              <w:bottom w:val="single" w:sz="4" w:space="0" w:color="auto"/>
              <w:right w:val="single" w:sz="4" w:space="0" w:color="auto"/>
            </w:tcBorders>
            <w:shd w:val="clear" w:color="auto" w:fill="auto"/>
            <w:noWrap/>
            <w:vAlign w:val="bottom"/>
            <w:hideMark/>
          </w:tcPr>
          <w:p w14:paraId="3C853C0E"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5E5DC7F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32" w:type="pct"/>
            <w:tcBorders>
              <w:top w:val="nil"/>
              <w:left w:val="nil"/>
              <w:bottom w:val="single" w:sz="4" w:space="0" w:color="auto"/>
              <w:right w:val="single" w:sz="4" w:space="0" w:color="auto"/>
            </w:tcBorders>
            <w:shd w:val="clear" w:color="auto" w:fill="auto"/>
            <w:noWrap/>
            <w:vAlign w:val="bottom"/>
            <w:hideMark/>
          </w:tcPr>
          <w:p w14:paraId="4ECE2C1F"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46" w:type="pct"/>
            <w:tcBorders>
              <w:top w:val="nil"/>
              <w:left w:val="nil"/>
              <w:bottom w:val="single" w:sz="4" w:space="0" w:color="auto"/>
              <w:right w:val="single" w:sz="4" w:space="0" w:color="auto"/>
            </w:tcBorders>
            <w:shd w:val="clear" w:color="auto" w:fill="auto"/>
            <w:noWrap/>
            <w:vAlign w:val="bottom"/>
            <w:hideMark/>
          </w:tcPr>
          <w:p w14:paraId="567F7AB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665" w:type="pct"/>
            <w:tcBorders>
              <w:top w:val="nil"/>
              <w:left w:val="nil"/>
              <w:bottom w:val="single" w:sz="4" w:space="0" w:color="auto"/>
              <w:right w:val="single" w:sz="4" w:space="0" w:color="auto"/>
            </w:tcBorders>
            <w:shd w:val="clear" w:color="auto" w:fill="auto"/>
            <w:noWrap/>
            <w:vAlign w:val="bottom"/>
            <w:hideMark/>
          </w:tcPr>
          <w:p w14:paraId="739406C3"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0.30</w:t>
            </w:r>
          </w:p>
        </w:tc>
        <w:tc>
          <w:tcPr>
            <w:tcW w:w="645" w:type="pct"/>
            <w:tcBorders>
              <w:top w:val="nil"/>
              <w:left w:val="nil"/>
              <w:bottom w:val="single" w:sz="4" w:space="0" w:color="auto"/>
              <w:right w:val="single" w:sz="4" w:space="0" w:color="auto"/>
            </w:tcBorders>
            <w:shd w:val="clear" w:color="auto" w:fill="auto"/>
            <w:noWrap/>
            <w:vAlign w:val="bottom"/>
            <w:hideMark/>
          </w:tcPr>
          <w:p w14:paraId="10D454D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1.26</w:t>
            </w:r>
          </w:p>
        </w:tc>
        <w:tc>
          <w:tcPr>
            <w:tcW w:w="532" w:type="pct"/>
            <w:tcBorders>
              <w:top w:val="nil"/>
              <w:left w:val="nil"/>
              <w:bottom w:val="single" w:sz="4" w:space="0" w:color="auto"/>
              <w:right w:val="single" w:sz="4" w:space="0" w:color="auto"/>
            </w:tcBorders>
            <w:shd w:val="clear" w:color="auto" w:fill="auto"/>
            <w:noWrap/>
            <w:vAlign w:val="bottom"/>
            <w:hideMark/>
          </w:tcPr>
          <w:p w14:paraId="3CC76218"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0.66</w:t>
            </w:r>
          </w:p>
        </w:tc>
      </w:tr>
      <w:tr w:rsidR="000C013D" w:rsidRPr="007C7E75" w14:paraId="151E2BC1"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6B74B58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2069/70</w:t>
            </w:r>
          </w:p>
        </w:tc>
        <w:tc>
          <w:tcPr>
            <w:tcW w:w="548" w:type="pct"/>
            <w:tcBorders>
              <w:top w:val="nil"/>
              <w:left w:val="nil"/>
              <w:bottom w:val="single" w:sz="4" w:space="0" w:color="auto"/>
              <w:right w:val="single" w:sz="4" w:space="0" w:color="auto"/>
            </w:tcBorders>
            <w:shd w:val="clear" w:color="auto" w:fill="auto"/>
            <w:noWrap/>
            <w:vAlign w:val="bottom"/>
            <w:hideMark/>
          </w:tcPr>
          <w:p w14:paraId="77656D0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3.00</w:t>
            </w:r>
          </w:p>
        </w:tc>
        <w:tc>
          <w:tcPr>
            <w:tcW w:w="532" w:type="pct"/>
            <w:tcBorders>
              <w:top w:val="nil"/>
              <w:left w:val="nil"/>
              <w:bottom w:val="single" w:sz="4" w:space="0" w:color="auto"/>
              <w:right w:val="single" w:sz="4" w:space="0" w:color="auto"/>
            </w:tcBorders>
            <w:shd w:val="clear" w:color="auto" w:fill="auto"/>
            <w:noWrap/>
            <w:vAlign w:val="bottom"/>
            <w:hideMark/>
          </w:tcPr>
          <w:p w14:paraId="0913EBE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32" w:type="pct"/>
            <w:tcBorders>
              <w:top w:val="nil"/>
              <w:left w:val="nil"/>
              <w:bottom w:val="single" w:sz="4" w:space="0" w:color="auto"/>
              <w:right w:val="single" w:sz="4" w:space="0" w:color="auto"/>
            </w:tcBorders>
            <w:shd w:val="clear" w:color="auto" w:fill="auto"/>
            <w:noWrap/>
            <w:vAlign w:val="bottom"/>
            <w:hideMark/>
          </w:tcPr>
          <w:p w14:paraId="5C4EA2DC"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46" w:type="pct"/>
            <w:tcBorders>
              <w:top w:val="nil"/>
              <w:left w:val="nil"/>
              <w:bottom w:val="single" w:sz="4" w:space="0" w:color="auto"/>
              <w:right w:val="single" w:sz="4" w:space="0" w:color="auto"/>
            </w:tcBorders>
            <w:shd w:val="clear" w:color="auto" w:fill="auto"/>
            <w:noWrap/>
            <w:vAlign w:val="bottom"/>
            <w:hideMark/>
          </w:tcPr>
          <w:p w14:paraId="4FCAC1D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665" w:type="pct"/>
            <w:tcBorders>
              <w:top w:val="nil"/>
              <w:left w:val="nil"/>
              <w:bottom w:val="single" w:sz="4" w:space="0" w:color="auto"/>
              <w:right w:val="single" w:sz="4" w:space="0" w:color="auto"/>
            </w:tcBorders>
            <w:shd w:val="clear" w:color="auto" w:fill="auto"/>
            <w:noWrap/>
            <w:vAlign w:val="bottom"/>
            <w:hideMark/>
          </w:tcPr>
          <w:p w14:paraId="307C235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645" w:type="pct"/>
            <w:tcBorders>
              <w:top w:val="nil"/>
              <w:left w:val="nil"/>
              <w:bottom w:val="single" w:sz="4" w:space="0" w:color="auto"/>
              <w:right w:val="single" w:sz="4" w:space="0" w:color="auto"/>
            </w:tcBorders>
            <w:shd w:val="clear" w:color="auto" w:fill="auto"/>
            <w:noWrap/>
            <w:vAlign w:val="bottom"/>
            <w:hideMark/>
          </w:tcPr>
          <w:p w14:paraId="256565B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1.60</w:t>
            </w:r>
          </w:p>
        </w:tc>
        <w:tc>
          <w:tcPr>
            <w:tcW w:w="532" w:type="pct"/>
            <w:tcBorders>
              <w:top w:val="nil"/>
              <w:left w:val="nil"/>
              <w:bottom w:val="single" w:sz="4" w:space="0" w:color="auto"/>
              <w:right w:val="single" w:sz="4" w:space="0" w:color="auto"/>
            </w:tcBorders>
            <w:shd w:val="clear" w:color="auto" w:fill="auto"/>
            <w:noWrap/>
            <w:vAlign w:val="bottom"/>
            <w:hideMark/>
          </w:tcPr>
          <w:p w14:paraId="3DFC5A3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0.80</w:t>
            </w:r>
          </w:p>
        </w:tc>
      </w:tr>
      <w:tr w:rsidR="000C013D" w:rsidRPr="007C7E75" w14:paraId="0C318194"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418145EF"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2070/71</w:t>
            </w:r>
          </w:p>
        </w:tc>
        <w:tc>
          <w:tcPr>
            <w:tcW w:w="548" w:type="pct"/>
            <w:tcBorders>
              <w:top w:val="nil"/>
              <w:left w:val="nil"/>
              <w:bottom w:val="single" w:sz="4" w:space="0" w:color="auto"/>
              <w:right w:val="single" w:sz="4" w:space="0" w:color="auto"/>
            </w:tcBorders>
            <w:shd w:val="clear" w:color="auto" w:fill="auto"/>
            <w:noWrap/>
            <w:vAlign w:val="bottom"/>
            <w:hideMark/>
          </w:tcPr>
          <w:p w14:paraId="1764ABDB"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0C21B5B9"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32" w:type="pct"/>
            <w:tcBorders>
              <w:top w:val="nil"/>
              <w:left w:val="nil"/>
              <w:bottom w:val="single" w:sz="4" w:space="0" w:color="auto"/>
              <w:right w:val="single" w:sz="4" w:space="0" w:color="auto"/>
            </w:tcBorders>
            <w:shd w:val="clear" w:color="auto" w:fill="auto"/>
            <w:noWrap/>
            <w:vAlign w:val="bottom"/>
            <w:hideMark/>
          </w:tcPr>
          <w:p w14:paraId="0445206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46" w:type="pct"/>
            <w:tcBorders>
              <w:top w:val="nil"/>
              <w:left w:val="nil"/>
              <w:bottom w:val="single" w:sz="4" w:space="0" w:color="auto"/>
              <w:right w:val="single" w:sz="4" w:space="0" w:color="auto"/>
            </w:tcBorders>
            <w:shd w:val="clear" w:color="auto" w:fill="auto"/>
            <w:noWrap/>
            <w:vAlign w:val="bottom"/>
            <w:hideMark/>
          </w:tcPr>
          <w:p w14:paraId="6AF99B2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65" w:type="pct"/>
            <w:tcBorders>
              <w:top w:val="nil"/>
              <w:left w:val="nil"/>
              <w:bottom w:val="single" w:sz="4" w:space="0" w:color="auto"/>
              <w:right w:val="single" w:sz="4" w:space="0" w:color="auto"/>
            </w:tcBorders>
            <w:shd w:val="clear" w:color="auto" w:fill="auto"/>
            <w:noWrap/>
            <w:vAlign w:val="bottom"/>
            <w:hideMark/>
          </w:tcPr>
          <w:p w14:paraId="04C167A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645" w:type="pct"/>
            <w:tcBorders>
              <w:top w:val="nil"/>
              <w:left w:val="nil"/>
              <w:bottom w:val="single" w:sz="4" w:space="0" w:color="auto"/>
              <w:right w:val="single" w:sz="4" w:space="0" w:color="auto"/>
            </w:tcBorders>
            <w:shd w:val="clear" w:color="auto" w:fill="auto"/>
            <w:noWrap/>
            <w:vAlign w:val="bottom"/>
            <w:hideMark/>
          </w:tcPr>
          <w:p w14:paraId="0AB1642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1.40</w:t>
            </w:r>
          </w:p>
        </w:tc>
        <w:tc>
          <w:tcPr>
            <w:tcW w:w="532" w:type="pct"/>
            <w:tcBorders>
              <w:top w:val="nil"/>
              <w:left w:val="nil"/>
              <w:bottom w:val="single" w:sz="4" w:space="0" w:color="auto"/>
              <w:right w:val="single" w:sz="4" w:space="0" w:color="auto"/>
            </w:tcBorders>
            <w:shd w:val="clear" w:color="auto" w:fill="auto"/>
            <w:noWrap/>
            <w:vAlign w:val="bottom"/>
            <w:hideMark/>
          </w:tcPr>
          <w:p w14:paraId="525B1B4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0.49</w:t>
            </w:r>
          </w:p>
        </w:tc>
      </w:tr>
      <w:tr w:rsidR="000C013D" w:rsidRPr="007C7E75" w14:paraId="3DDD5F6A"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6244D2FF"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2071/72</w:t>
            </w:r>
          </w:p>
        </w:tc>
        <w:tc>
          <w:tcPr>
            <w:tcW w:w="548" w:type="pct"/>
            <w:tcBorders>
              <w:top w:val="nil"/>
              <w:left w:val="nil"/>
              <w:bottom w:val="single" w:sz="4" w:space="0" w:color="auto"/>
              <w:right w:val="single" w:sz="4" w:space="0" w:color="auto"/>
            </w:tcBorders>
            <w:shd w:val="clear" w:color="auto" w:fill="auto"/>
            <w:noWrap/>
            <w:vAlign w:val="bottom"/>
            <w:hideMark/>
          </w:tcPr>
          <w:p w14:paraId="055F5E60"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36B44545"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32" w:type="pct"/>
            <w:tcBorders>
              <w:top w:val="nil"/>
              <w:left w:val="nil"/>
              <w:bottom w:val="single" w:sz="4" w:space="0" w:color="auto"/>
              <w:right w:val="single" w:sz="4" w:space="0" w:color="auto"/>
            </w:tcBorders>
            <w:shd w:val="clear" w:color="auto" w:fill="auto"/>
            <w:noWrap/>
            <w:vAlign w:val="bottom"/>
            <w:hideMark/>
          </w:tcPr>
          <w:p w14:paraId="3CD22AF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46" w:type="pct"/>
            <w:tcBorders>
              <w:top w:val="nil"/>
              <w:left w:val="nil"/>
              <w:bottom w:val="single" w:sz="4" w:space="0" w:color="auto"/>
              <w:right w:val="single" w:sz="4" w:space="0" w:color="auto"/>
            </w:tcBorders>
            <w:shd w:val="clear" w:color="auto" w:fill="auto"/>
            <w:noWrap/>
            <w:vAlign w:val="bottom"/>
            <w:hideMark/>
          </w:tcPr>
          <w:p w14:paraId="65C79A8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665" w:type="pct"/>
            <w:tcBorders>
              <w:top w:val="nil"/>
              <w:left w:val="nil"/>
              <w:bottom w:val="single" w:sz="4" w:space="0" w:color="auto"/>
              <w:right w:val="single" w:sz="4" w:space="0" w:color="auto"/>
            </w:tcBorders>
            <w:shd w:val="clear" w:color="auto" w:fill="auto"/>
            <w:noWrap/>
            <w:vAlign w:val="bottom"/>
            <w:hideMark/>
          </w:tcPr>
          <w:p w14:paraId="3580017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645" w:type="pct"/>
            <w:tcBorders>
              <w:top w:val="nil"/>
              <w:left w:val="nil"/>
              <w:bottom w:val="single" w:sz="4" w:space="0" w:color="auto"/>
              <w:right w:val="single" w:sz="4" w:space="0" w:color="auto"/>
            </w:tcBorders>
            <w:shd w:val="clear" w:color="auto" w:fill="auto"/>
            <w:noWrap/>
            <w:vAlign w:val="bottom"/>
            <w:hideMark/>
          </w:tcPr>
          <w:p w14:paraId="0AC5E717"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1.20</w:t>
            </w:r>
          </w:p>
        </w:tc>
        <w:tc>
          <w:tcPr>
            <w:tcW w:w="532" w:type="pct"/>
            <w:tcBorders>
              <w:top w:val="nil"/>
              <w:left w:val="nil"/>
              <w:bottom w:val="single" w:sz="4" w:space="0" w:color="auto"/>
              <w:right w:val="single" w:sz="4" w:space="0" w:color="auto"/>
            </w:tcBorders>
            <w:shd w:val="clear" w:color="auto" w:fill="auto"/>
            <w:noWrap/>
            <w:vAlign w:val="bottom"/>
            <w:hideMark/>
          </w:tcPr>
          <w:p w14:paraId="653F0630"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0.40</w:t>
            </w:r>
          </w:p>
        </w:tc>
      </w:tr>
      <w:tr w:rsidR="000C013D" w:rsidRPr="007C7E75" w14:paraId="46E33160"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70A248A3"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2072/73</w:t>
            </w:r>
          </w:p>
        </w:tc>
        <w:tc>
          <w:tcPr>
            <w:tcW w:w="548" w:type="pct"/>
            <w:tcBorders>
              <w:top w:val="nil"/>
              <w:left w:val="nil"/>
              <w:bottom w:val="single" w:sz="4" w:space="0" w:color="auto"/>
              <w:right w:val="single" w:sz="4" w:space="0" w:color="auto"/>
            </w:tcBorders>
            <w:shd w:val="clear" w:color="auto" w:fill="auto"/>
            <w:noWrap/>
            <w:vAlign w:val="bottom"/>
            <w:hideMark/>
          </w:tcPr>
          <w:p w14:paraId="1CC97AF8"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787F4957"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462D9939"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46" w:type="pct"/>
            <w:tcBorders>
              <w:top w:val="nil"/>
              <w:left w:val="nil"/>
              <w:bottom w:val="single" w:sz="4" w:space="0" w:color="auto"/>
              <w:right w:val="single" w:sz="4" w:space="0" w:color="auto"/>
            </w:tcBorders>
            <w:shd w:val="clear" w:color="auto" w:fill="auto"/>
            <w:noWrap/>
            <w:vAlign w:val="bottom"/>
            <w:hideMark/>
          </w:tcPr>
          <w:p w14:paraId="5E5BFB0B"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65" w:type="pct"/>
            <w:tcBorders>
              <w:top w:val="nil"/>
              <w:left w:val="nil"/>
              <w:bottom w:val="single" w:sz="4" w:space="0" w:color="auto"/>
              <w:right w:val="single" w:sz="4" w:space="0" w:color="auto"/>
            </w:tcBorders>
            <w:shd w:val="clear" w:color="auto" w:fill="auto"/>
            <w:noWrap/>
            <w:vAlign w:val="bottom"/>
            <w:hideMark/>
          </w:tcPr>
          <w:p w14:paraId="09BABEF3"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645" w:type="pct"/>
            <w:tcBorders>
              <w:top w:val="nil"/>
              <w:left w:val="nil"/>
              <w:bottom w:val="single" w:sz="4" w:space="0" w:color="auto"/>
              <w:right w:val="single" w:sz="4" w:space="0" w:color="auto"/>
            </w:tcBorders>
            <w:shd w:val="clear" w:color="auto" w:fill="auto"/>
            <w:noWrap/>
            <w:vAlign w:val="bottom"/>
            <w:hideMark/>
          </w:tcPr>
          <w:p w14:paraId="5C3C1D9C"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1.80</w:t>
            </w:r>
          </w:p>
        </w:tc>
        <w:tc>
          <w:tcPr>
            <w:tcW w:w="532" w:type="pct"/>
            <w:tcBorders>
              <w:top w:val="nil"/>
              <w:left w:val="nil"/>
              <w:bottom w:val="single" w:sz="4" w:space="0" w:color="auto"/>
              <w:right w:val="single" w:sz="4" w:space="0" w:color="auto"/>
            </w:tcBorders>
            <w:shd w:val="clear" w:color="auto" w:fill="auto"/>
            <w:noWrap/>
            <w:vAlign w:val="bottom"/>
            <w:hideMark/>
          </w:tcPr>
          <w:p w14:paraId="0948BF65"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0.40</w:t>
            </w:r>
          </w:p>
        </w:tc>
      </w:tr>
      <w:tr w:rsidR="000C013D" w:rsidRPr="007C7E75" w14:paraId="126955A3"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14EA05BF"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2073/74</w:t>
            </w:r>
          </w:p>
        </w:tc>
        <w:tc>
          <w:tcPr>
            <w:tcW w:w="548" w:type="pct"/>
            <w:tcBorders>
              <w:top w:val="nil"/>
              <w:left w:val="nil"/>
              <w:bottom w:val="single" w:sz="4" w:space="0" w:color="auto"/>
              <w:right w:val="single" w:sz="4" w:space="0" w:color="auto"/>
            </w:tcBorders>
            <w:shd w:val="clear" w:color="auto" w:fill="auto"/>
            <w:noWrap/>
            <w:vAlign w:val="bottom"/>
            <w:hideMark/>
          </w:tcPr>
          <w:p w14:paraId="70EB2A0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08B75C5B"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32" w:type="pct"/>
            <w:tcBorders>
              <w:top w:val="nil"/>
              <w:left w:val="nil"/>
              <w:bottom w:val="single" w:sz="4" w:space="0" w:color="auto"/>
              <w:right w:val="single" w:sz="4" w:space="0" w:color="auto"/>
            </w:tcBorders>
            <w:shd w:val="clear" w:color="auto" w:fill="auto"/>
            <w:noWrap/>
            <w:vAlign w:val="bottom"/>
            <w:hideMark/>
          </w:tcPr>
          <w:p w14:paraId="7D5EC96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46" w:type="pct"/>
            <w:tcBorders>
              <w:top w:val="nil"/>
              <w:left w:val="nil"/>
              <w:bottom w:val="single" w:sz="4" w:space="0" w:color="auto"/>
              <w:right w:val="single" w:sz="4" w:space="0" w:color="auto"/>
            </w:tcBorders>
            <w:shd w:val="clear" w:color="auto" w:fill="auto"/>
            <w:noWrap/>
            <w:vAlign w:val="bottom"/>
            <w:hideMark/>
          </w:tcPr>
          <w:p w14:paraId="3862478B"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65" w:type="pct"/>
            <w:tcBorders>
              <w:top w:val="nil"/>
              <w:left w:val="nil"/>
              <w:bottom w:val="single" w:sz="4" w:space="0" w:color="auto"/>
              <w:right w:val="single" w:sz="4" w:space="0" w:color="auto"/>
            </w:tcBorders>
            <w:shd w:val="clear" w:color="auto" w:fill="auto"/>
            <w:noWrap/>
            <w:vAlign w:val="bottom"/>
            <w:hideMark/>
          </w:tcPr>
          <w:p w14:paraId="2D5F7D88"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45" w:type="pct"/>
            <w:tcBorders>
              <w:top w:val="nil"/>
              <w:left w:val="nil"/>
              <w:bottom w:val="single" w:sz="4" w:space="0" w:color="auto"/>
              <w:right w:val="single" w:sz="4" w:space="0" w:color="auto"/>
            </w:tcBorders>
            <w:shd w:val="clear" w:color="auto" w:fill="auto"/>
            <w:noWrap/>
            <w:vAlign w:val="bottom"/>
            <w:hideMark/>
          </w:tcPr>
          <w:p w14:paraId="435FA2AC"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1.80</w:t>
            </w:r>
          </w:p>
        </w:tc>
        <w:tc>
          <w:tcPr>
            <w:tcW w:w="532" w:type="pct"/>
            <w:tcBorders>
              <w:top w:val="nil"/>
              <w:left w:val="nil"/>
              <w:bottom w:val="single" w:sz="4" w:space="0" w:color="auto"/>
              <w:right w:val="single" w:sz="4" w:space="0" w:color="auto"/>
            </w:tcBorders>
            <w:shd w:val="clear" w:color="auto" w:fill="auto"/>
            <w:noWrap/>
            <w:vAlign w:val="bottom"/>
            <w:hideMark/>
          </w:tcPr>
          <w:p w14:paraId="46F0794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0.40</w:t>
            </w:r>
          </w:p>
        </w:tc>
      </w:tr>
      <w:tr w:rsidR="000C013D" w:rsidRPr="007C7E75" w14:paraId="0104E21B"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6E07149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2074/75</w:t>
            </w:r>
          </w:p>
        </w:tc>
        <w:tc>
          <w:tcPr>
            <w:tcW w:w="548" w:type="pct"/>
            <w:tcBorders>
              <w:top w:val="nil"/>
              <w:left w:val="nil"/>
              <w:bottom w:val="single" w:sz="4" w:space="0" w:color="auto"/>
              <w:right w:val="single" w:sz="4" w:space="0" w:color="auto"/>
            </w:tcBorders>
            <w:shd w:val="clear" w:color="auto" w:fill="auto"/>
            <w:noWrap/>
            <w:vAlign w:val="bottom"/>
            <w:hideMark/>
          </w:tcPr>
          <w:p w14:paraId="20AD146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2AF3CA7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65AA3EE5"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46" w:type="pct"/>
            <w:tcBorders>
              <w:top w:val="nil"/>
              <w:left w:val="nil"/>
              <w:bottom w:val="single" w:sz="4" w:space="0" w:color="auto"/>
              <w:right w:val="single" w:sz="4" w:space="0" w:color="auto"/>
            </w:tcBorders>
            <w:shd w:val="clear" w:color="auto" w:fill="auto"/>
            <w:noWrap/>
            <w:vAlign w:val="bottom"/>
            <w:hideMark/>
          </w:tcPr>
          <w:p w14:paraId="4F3BBBF8"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65" w:type="pct"/>
            <w:tcBorders>
              <w:top w:val="nil"/>
              <w:left w:val="nil"/>
              <w:bottom w:val="single" w:sz="4" w:space="0" w:color="auto"/>
              <w:right w:val="single" w:sz="4" w:space="0" w:color="auto"/>
            </w:tcBorders>
            <w:shd w:val="clear" w:color="auto" w:fill="auto"/>
            <w:noWrap/>
            <w:vAlign w:val="bottom"/>
            <w:hideMark/>
          </w:tcPr>
          <w:p w14:paraId="41A6FEB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45" w:type="pct"/>
            <w:tcBorders>
              <w:top w:val="nil"/>
              <w:left w:val="nil"/>
              <w:bottom w:val="single" w:sz="4" w:space="0" w:color="auto"/>
              <w:right w:val="single" w:sz="4" w:space="0" w:color="auto"/>
            </w:tcBorders>
            <w:shd w:val="clear" w:color="auto" w:fill="auto"/>
            <w:noWrap/>
            <w:vAlign w:val="bottom"/>
            <w:hideMark/>
          </w:tcPr>
          <w:p w14:paraId="3E85D83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1.80</w:t>
            </w:r>
          </w:p>
        </w:tc>
        <w:tc>
          <w:tcPr>
            <w:tcW w:w="532" w:type="pct"/>
            <w:tcBorders>
              <w:top w:val="nil"/>
              <w:left w:val="nil"/>
              <w:bottom w:val="single" w:sz="4" w:space="0" w:color="auto"/>
              <w:right w:val="single" w:sz="4" w:space="0" w:color="auto"/>
            </w:tcBorders>
            <w:shd w:val="clear" w:color="auto" w:fill="auto"/>
            <w:noWrap/>
            <w:vAlign w:val="bottom"/>
            <w:hideMark/>
          </w:tcPr>
          <w:p w14:paraId="2FC3AE5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0.40</w:t>
            </w:r>
          </w:p>
        </w:tc>
      </w:tr>
      <w:tr w:rsidR="000C013D" w:rsidRPr="007C7E75" w14:paraId="3A11CBA7"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3362E1C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2075/76</w:t>
            </w:r>
          </w:p>
        </w:tc>
        <w:tc>
          <w:tcPr>
            <w:tcW w:w="548" w:type="pct"/>
            <w:tcBorders>
              <w:top w:val="nil"/>
              <w:left w:val="nil"/>
              <w:bottom w:val="single" w:sz="4" w:space="0" w:color="auto"/>
              <w:right w:val="single" w:sz="4" w:space="0" w:color="auto"/>
            </w:tcBorders>
            <w:shd w:val="clear" w:color="auto" w:fill="auto"/>
            <w:noWrap/>
            <w:vAlign w:val="bottom"/>
            <w:hideMark/>
          </w:tcPr>
          <w:p w14:paraId="737B6893"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32" w:type="pct"/>
            <w:tcBorders>
              <w:top w:val="nil"/>
              <w:left w:val="nil"/>
              <w:bottom w:val="single" w:sz="4" w:space="0" w:color="auto"/>
              <w:right w:val="single" w:sz="4" w:space="0" w:color="auto"/>
            </w:tcBorders>
            <w:shd w:val="clear" w:color="auto" w:fill="auto"/>
            <w:noWrap/>
            <w:vAlign w:val="bottom"/>
            <w:hideMark/>
          </w:tcPr>
          <w:p w14:paraId="6067D55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1.00</w:t>
            </w:r>
          </w:p>
        </w:tc>
        <w:tc>
          <w:tcPr>
            <w:tcW w:w="532" w:type="pct"/>
            <w:tcBorders>
              <w:top w:val="nil"/>
              <w:left w:val="nil"/>
              <w:bottom w:val="single" w:sz="4" w:space="0" w:color="auto"/>
              <w:right w:val="single" w:sz="4" w:space="0" w:color="auto"/>
            </w:tcBorders>
            <w:shd w:val="clear" w:color="auto" w:fill="auto"/>
            <w:noWrap/>
            <w:vAlign w:val="bottom"/>
            <w:hideMark/>
          </w:tcPr>
          <w:p w14:paraId="0A70252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546" w:type="pct"/>
            <w:tcBorders>
              <w:top w:val="nil"/>
              <w:left w:val="nil"/>
              <w:bottom w:val="single" w:sz="4" w:space="0" w:color="auto"/>
              <w:right w:val="single" w:sz="4" w:space="0" w:color="auto"/>
            </w:tcBorders>
            <w:shd w:val="clear" w:color="auto" w:fill="auto"/>
            <w:noWrap/>
            <w:vAlign w:val="bottom"/>
            <w:hideMark/>
          </w:tcPr>
          <w:p w14:paraId="0B4D112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65" w:type="pct"/>
            <w:tcBorders>
              <w:top w:val="nil"/>
              <w:left w:val="nil"/>
              <w:bottom w:val="single" w:sz="4" w:space="0" w:color="auto"/>
              <w:right w:val="single" w:sz="4" w:space="0" w:color="auto"/>
            </w:tcBorders>
            <w:shd w:val="clear" w:color="auto" w:fill="auto"/>
            <w:noWrap/>
            <w:vAlign w:val="bottom"/>
            <w:hideMark/>
          </w:tcPr>
          <w:p w14:paraId="26978E1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2.00</w:t>
            </w:r>
          </w:p>
        </w:tc>
        <w:tc>
          <w:tcPr>
            <w:tcW w:w="645" w:type="pct"/>
            <w:tcBorders>
              <w:top w:val="nil"/>
              <w:left w:val="nil"/>
              <w:bottom w:val="single" w:sz="4" w:space="0" w:color="auto"/>
              <w:right w:val="single" w:sz="4" w:space="0" w:color="auto"/>
            </w:tcBorders>
            <w:shd w:val="clear" w:color="auto" w:fill="auto"/>
            <w:noWrap/>
            <w:vAlign w:val="bottom"/>
            <w:hideMark/>
          </w:tcPr>
          <w:p w14:paraId="1F32AD13"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1.80</w:t>
            </w:r>
          </w:p>
        </w:tc>
        <w:tc>
          <w:tcPr>
            <w:tcW w:w="532" w:type="pct"/>
            <w:tcBorders>
              <w:top w:val="nil"/>
              <w:left w:val="nil"/>
              <w:bottom w:val="single" w:sz="4" w:space="0" w:color="auto"/>
              <w:right w:val="single" w:sz="4" w:space="0" w:color="auto"/>
            </w:tcBorders>
            <w:shd w:val="clear" w:color="auto" w:fill="auto"/>
            <w:noWrap/>
            <w:vAlign w:val="bottom"/>
            <w:hideMark/>
          </w:tcPr>
          <w:p w14:paraId="7626658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0.40</w:t>
            </w:r>
          </w:p>
        </w:tc>
      </w:tr>
      <w:tr w:rsidR="000C013D" w:rsidRPr="007C7E75" w14:paraId="1B9CA4A3"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57BE96D0"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Mean</w:t>
            </w:r>
          </w:p>
        </w:tc>
        <w:tc>
          <w:tcPr>
            <w:tcW w:w="548" w:type="pct"/>
            <w:tcBorders>
              <w:top w:val="nil"/>
              <w:left w:val="nil"/>
              <w:bottom w:val="single" w:sz="4" w:space="0" w:color="auto"/>
              <w:right w:val="single" w:sz="4" w:space="0" w:color="auto"/>
            </w:tcBorders>
            <w:shd w:val="clear" w:color="auto" w:fill="auto"/>
            <w:noWrap/>
            <w:vAlign w:val="bottom"/>
            <w:hideMark/>
          </w:tcPr>
          <w:p w14:paraId="45AC9EE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2.13</w:t>
            </w:r>
          </w:p>
        </w:tc>
        <w:tc>
          <w:tcPr>
            <w:tcW w:w="532" w:type="pct"/>
            <w:tcBorders>
              <w:top w:val="nil"/>
              <w:left w:val="nil"/>
              <w:bottom w:val="single" w:sz="4" w:space="0" w:color="auto"/>
              <w:right w:val="single" w:sz="4" w:space="0" w:color="auto"/>
            </w:tcBorders>
            <w:shd w:val="clear" w:color="auto" w:fill="auto"/>
            <w:noWrap/>
            <w:vAlign w:val="bottom"/>
            <w:hideMark/>
          </w:tcPr>
          <w:p w14:paraId="0A58C8A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1.25</w:t>
            </w:r>
          </w:p>
        </w:tc>
        <w:tc>
          <w:tcPr>
            <w:tcW w:w="532" w:type="pct"/>
            <w:tcBorders>
              <w:top w:val="nil"/>
              <w:left w:val="nil"/>
              <w:bottom w:val="single" w:sz="4" w:space="0" w:color="auto"/>
              <w:right w:val="single" w:sz="4" w:space="0" w:color="auto"/>
            </w:tcBorders>
            <w:shd w:val="clear" w:color="auto" w:fill="auto"/>
            <w:noWrap/>
            <w:vAlign w:val="bottom"/>
            <w:hideMark/>
          </w:tcPr>
          <w:p w14:paraId="0B15919F"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1.63</w:t>
            </w:r>
          </w:p>
        </w:tc>
        <w:tc>
          <w:tcPr>
            <w:tcW w:w="546" w:type="pct"/>
            <w:tcBorders>
              <w:top w:val="nil"/>
              <w:left w:val="nil"/>
              <w:bottom w:val="single" w:sz="4" w:space="0" w:color="auto"/>
              <w:right w:val="single" w:sz="4" w:space="0" w:color="auto"/>
            </w:tcBorders>
            <w:shd w:val="clear" w:color="auto" w:fill="auto"/>
            <w:noWrap/>
            <w:vAlign w:val="bottom"/>
            <w:hideMark/>
          </w:tcPr>
          <w:p w14:paraId="55803F07"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1.63</w:t>
            </w:r>
          </w:p>
        </w:tc>
        <w:tc>
          <w:tcPr>
            <w:tcW w:w="665" w:type="pct"/>
            <w:tcBorders>
              <w:top w:val="nil"/>
              <w:left w:val="nil"/>
              <w:bottom w:val="single" w:sz="4" w:space="0" w:color="auto"/>
              <w:right w:val="single" w:sz="4" w:space="0" w:color="auto"/>
            </w:tcBorders>
            <w:shd w:val="clear" w:color="auto" w:fill="auto"/>
            <w:noWrap/>
            <w:vAlign w:val="bottom"/>
            <w:hideMark/>
          </w:tcPr>
          <w:p w14:paraId="33FEC73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1.29</w:t>
            </w:r>
          </w:p>
        </w:tc>
        <w:tc>
          <w:tcPr>
            <w:tcW w:w="645" w:type="pct"/>
            <w:tcBorders>
              <w:top w:val="nil"/>
              <w:left w:val="nil"/>
              <w:bottom w:val="single" w:sz="4" w:space="0" w:color="auto"/>
              <w:right w:val="single" w:sz="4" w:space="0" w:color="auto"/>
            </w:tcBorders>
            <w:shd w:val="clear" w:color="auto" w:fill="auto"/>
            <w:noWrap/>
            <w:vAlign w:val="bottom"/>
            <w:hideMark/>
          </w:tcPr>
          <w:p w14:paraId="502D2A0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 </w:t>
            </w:r>
          </w:p>
        </w:tc>
        <w:tc>
          <w:tcPr>
            <w:tcW w:w="532" w:type="pct"/>
            <w:tcBorders>
              <w:top w:val="nil"/>
              <w:left w:val="nil"/>
              <w:bottom w:val="single" w:sz="4" w:space="0" w:color="auto"/>
              <w:right w:val="single" w:sz="4" w:space="0" w:color="auto"/>
            </w:tcBorders>
            <w:shd w:val="clear" w:color="auto" w:fill="auto"/>
            <w:noWrap/>
            <w:vAlign w:val="bottom"/>
            <w:hideMark/>
          </w:tcPr>
          <w:p w14:paraId="6FB205FD"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 </w:t>
            </w:r>
          </w:p>
        </w:tc>
      </w:tr>
      <w:tr w:rsidR="000C013D" w:rsidRPr="007C7E75" w14:paraId="20873103" w14:textId="77777777" w:rsidTr="00BD753D">
        <w:trPr>
          <w:trHeight w:val="30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6364C014"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proofErr w:type="gramStart"/>
            <w:r w:rsidRPr="007C7E75">
              <w:rPr>
                <w:rFonts w:ascii="Times New Roman" w:eastAsia="Times New Roman" w:hAnsi="Times New Roman" w:cs="Times New Roman"/>
                <w:color w:val="000000"/>
                <w:sz w:val="24"/>
                <w:szCs w:val="24"/>
              </w:rPr>
              <w:t>S.D</w:t>
            </w:r>
            <w:proofErr w:type="gramEnd"/>
          </w:p>
        </w:tc>
        <w:tc>
          <w:tcPr>
            <w:tcW w:w="548" w:type="pct"/>
            <w:tcBorders>
              <w:top w:val="nil"/>
              <w:left w:val="nil"/>
              <w:bottom w:val="single" w:sz="4" w:space="0" w:color="auto"/>
              <w:right w:val="single" w:sz="4" w:space="0" w:color="auto"/>
            </w:tcBorders>
            <w:shd w:val="clear" w:color="auto" w:fill="auto"/>
            <w:noWrap/>
            <w:vAlign w:val="bottom"/>
            <w:hideMark/>
          </w:tcPr>
          <w:p w14:paraId="2B29A85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0.33</w:t>
            </w:r>
          </w:p>
        </w:tc>
        <w:tc>
          <w:tcPr>
            <w:tcW w:w="532" w:type="pct"/>
            <w:tcBorders>
              <w:top w:val="nil"/>
              <w:left w:val="nil"/>
              <w:bottom w:val="single" w:sz="4" w:space="0" w:color="auto"/>
              <w:right w:val="single" w:sz="4" w:space="0" w:color="auto"/>
            </w:tcBorders>
            <w:shd w:val="clear" w:color="auto" w:fill="auto"/>
            <w:noWrap/>
            <w:vAlign w:val="bottom"/>
            <w:hideMark/>
          </w:tcPr>
          <w:p w14:paraId="782AF839"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0.43</w:t>
            </w:r>
          </w:p>
        </w:tc>
        <w:tc>
          <w:tcPr>
            <w:tcW w:w="532" w:type="pct"/>
            <w:tcBorders>
              <w:top w:val="nil"/>
              <w:left w:val="nil"/>
              <w:bottom w:val="single" w:sz="4" w:space="0" w:color="auto"/>
              <w:right w:val="single" w:sz="4" w:space="0" w:color="auto"/>
            </w:tcBorders>
            <w:shd w:val="clear" w:color="auto" w:fill="auto"/>
            <w:noWrap/>
            <w:vAlign w:val="bottom"/>
            <w:hideMark/>
          </w:tcPr>
          <w:p w14:paraId="2381A9E1"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0.48</w:t>
            </w:r>
          </w:p>
        </w:tc>
        <w:tc>
          <w:tcPr>
            <w:tcW w:w="546" w:type="pct"/>
            <w:tcBorders>
              <w:top w:val="nil"/>
              <w:left w:val="nil"/>
              <w:bottom w:val="single" w:sz="4" w:space="0" w:color="auto"/>
              <w:right w:val="single" w:sz="4" w:space="0" w:color="auto"/>
            </w:tcBorders>
            <w:shd w:val="clear" w:color="auto" w:fill="auto"/>
            <w:noWrap/>
            <w:vAlign w:val="bottom"/>
            <w:hideMark/>
          </w:tcPr>
          <w:p w14:paraId="405EEA4A"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0.48</w:t>
            </w:r>
          </w:p>
        </w:tc>
        <w:tc>
          <w:tcPr>
            <w:tcW w:w="665" w:type="pct"/>
            <w:tcBorders>
              <w:top w:val="nil"/>
              <w:left w:val="nil"/>
              <w:bottom w:val="single" w:sz="4" w:space="0" w:color="auto"/>
              <w:right w:val="single" w:sz="4" w:space="0" w:color="auto"/>
            </w:tcBorders>
            <w:shd w:val="clear" w:color="auto" w:fill="auto"/>
            <w:noWrap/>
            <w:vAlign w:val="bottom"/>
            <w:hideMark/>
          </w:tcPr>
          <w:p w14:paraId="144EF2A6"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0.595</w:t>
            </w:r>
          </w:p>
        </w:tc>
        <w:tc>
          <w:tcPr>
            <w:tcW w:w="645" w:type="pct"/>
            <w:tcBorders>
              <w:top w:val="nil"/>
              <w:left w:val="nil"/>
              <w:bottom w:val="single" w:sz="4" w:space="0" w:color="auto"/>
              <w:right w:val="single" w:sz="4" w:space="0" w:color="auto"/>
            </w:tcBorders>
            <w:shd w:val="clear" w:color="auto" w:fill="auto"/>
            <w:noWrap/>
            <w:vAlign w:val="bottom"/>
            <w:hideMark/>
          </w:tcPr>
          <w:p w14:paraId="33BF9502"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 </w:t>
            </w:r>
          </w:p>
        </w:tc>
        <w:tc>
          <w:tcPr>
            <w:tcW w:w="532" w:type="pct"/>
            <w:tcBorders>
              <w:top w:val="nil"/>
              <w:left w:val="nil"/>
              <w:bottom w:val="single" w:sz="4" w:space="0" w:color="auto"/>
              <w:right w:val="single" w:sz="4" w:space="0" w:color="auto"/>
            </w:tcBorders>
            <w:shd w:val="clear" w:color="auto" w:fill="auto"/>
            <w:noWrap/>
            <w:vAlign w:val="bottom"/>
            <w:hideMark/>
          </w:tcPr>
          <w:p w14:paraId="57C44B3C" w14:textId="77777777" w:rsidR="000C013D" w:rsidRPr="007C7E75" w:rsidRDefault="000C013D" w:rsidP="007C7E75">
            <w:pPr>
              <w:spacing w:after="0" w:line="240" w:lineRule="auto"/>
              <w:jc w:val="both"/>
              <w:rPr>
                <w:rFonts w:ascii="Times New Roman" w:eastAsia="Times New Roman" w:hAnsi="Times New Roman" w:cs="Times New Roman"/>
                <w:color w:val="000000"/>
                <w:sz w:val="24"/>
                <w:szCs w:val="24"/>
              </w:rPr>
            </w:pPr>
            <w:r w:rsidRPr="007C7E75">
              <w:rPr>
                <w:rFonts w:ascii="Times New Roman" w:eastAsia="Times New Roman" w:hAnsi="Times New Roman" w:cs="Times New Roman"/>
                <w:color w:val="000000"/>
                <w:sz w:val="24"/>
                <w:szCs w:val="24"/>
              </w:rPr>
              <w:t> </w:t>
            </w:r>
          </w:p>
        </w:tc>
      </w:tr>
    </w:tbl>
    <w:p w14:paraId="3B6F33C9" w14:textId="76D3FA79" w:rsidR="00B3468B" w:rsidRPr="00B3468B" w:rsidRDefault="00B3468B" w:rsidP="00B3468B">
      <w:pPr>
        <w:tabs>
          <w:tab w:val="left" w:pos="1260"/>
        </w:tabs>
        <w:spacing w:before="240" w:after="240" w:line="384"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 xml:space="preserve">                                                                 </w:t>
      </w:r>
      <w:r w:rsidRPr="00B3468B">
        <w:rPr>
          <w:rFonts w:ascii="Times New Roman" w:hAnsi="Times New Roman" w:cs="Times New Roman"/>
          <w:color w:val="000000" w:themeColor="text1"/>
          <w:sz w:val="24"/>
          <w:szCs w:val="24"/>
        </w:rPr>
        <w:t xml:space="preserve">Source: </w:t>
      </w:r>
      <w:r w:rsidRPr="00B3468B">
        <w:rPr>
          <w:rFonts w:ascii="Times New Roman" w:hAnsi="Times New Roman" w:cs="Times New Roman"/>
          <w:i/>
          <w:color w:val="000000" w:themeColor="text1"/>
          <w:sz w:val="24"/>
          <w:szCs w:val="24"/>
        </w:rPr>
        <w:t>Annual Report of concern Banks</w:t>
      </w:r>
    </w:p>
    <w:p w14:paraId="4F0A435E"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4.4 shows that the average ROA is highest for NIBL (2.13 percent) followed by HBL (1.63 percent), GIBL (1.63 percent), NMBL (1.29 percent). The average lowest ROA is for KBL (1.25 percent).</w:t>
      </w:r>
    </w:p>
    <w:p w14:paraId="57C74C3B"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variation in ROA as indicated by SD is lowest for NIBL and highest variation in ROA is seen in NMBL’s ROA.</w:t>
      </w:r>
    </w:p>
    <w:p w14:paraId="428BB77B" w14:textId="77777777" w:rsidR="00E31F1A" w:rsidRDefault="00E31F1A" w:rsidP="000161B2">
      <w:pPr>
        <w:tabs>
          <w:tab w:val="left" w:pos="1260"/>
        </w:tabs>
        <w:spacing w:before="240" w:after="240" w:line="384" w:lineRule="auto"/>
        <w:jc w:val="both"/>
        <w:rPr>
          <w:rFonts w:ascii="Times New Roman" w:hAnsi="Times New Roman" w:cs="Times New Roman"/>
          <w:b/>
          <w:bCs/>
          <w:noProof/>
          <w:color w:val="000000" w:themeColor="text1"/>
          <w:sz w:val="24"/>
          <w:szCs w:val="24"/>
        </w:rPr>
      </w:pPr>
      <w:bookmarkStart w:id="8" w:name="_Hlk80017666"/>
    </w:p>
    <w:p w14:paraId="066C5AD7" w14:textId="77777777" w:rsidR="00E31F1A" w:rsidRDefault="00E31F1A" w:rsidP="000161B2">
      <w:pPr>
        <w:tabs>
          <w:tab w:val="left" w:pos="1260"/>
        </w:tabs>
        <w:spacing w:before="240" w:after="240" w:line="384" w:lineRule="auto"/>
        <w:jc w:val="both"/>
        <w:rPr>
          <w:rFonts w:ascii="Times New Roman" w:hAnsi="Times New Roman" w:cs="Times New Roman"/>
          <w:b/>
          <w:bCs/>
          <w:noProof/>
          <w:color w:val="000000" w:themeColor="text1"/>
          <w:sz w:val="24"/>
          <w:szCs w:val="24"/>
        </w:rPr>
      </w:pPr>
    </w:p>
    <w:p w14:paraId="579E4EFC" w14:textId="77777777" w:rsidR="00E31F1A" w:rsidRDefault="00E31F1A" w:rsidP="000161B2">
      <w:pPr>
        <w:tabs>
          <w:tab w:val="left" w:pos="1260"/>
        </w:tabs>
        <w:spacing w:before="240" w:after="240" w:line="384" w:lineRule="auto"/>
        <w:jc w:val="both"/>
        <w:rPr>
          <w:rFonts w:ascii="Times New Roman" w:hAnsi="Times New Roman" w:cs="Times New Roman"/>
          <w:b/>
          <w:bCs/>
          <w:noProof/>
          <w:color w:val="000000" w:themeColor="text1"/>
          <w:sz w:val="24"/>
          <w:szCs w:val="24"/>
        </w:rPr>
      </w:pPr>
    </w:p>
    <w:p w14:paraId="5FE9C964" w14:textId="77777777" w:rsidR="00E31F1A" w:rsidRDefault="00E31F1A" w:rsidP="000161B2">
      <w:pPr>
        <w:tabs>
          <w:tab w:val="left" w:pos="1260"/>
        </w:tabs>
        <w:spacing w:before="240" w:after="240" w:line="384" w:lineRule="auto"/>
        <w:jc w:val="both"/>
        <w:rPr>
          <w:rFonts w:ascii="Times New Roman" w:hAnsi="Times New Roman" w:cs="Times New Roman"/>
          <w:b/>
          <w:bCs/>
          <w:noProof/>
          <w:color w:val="000000" w:themeColor="text1"/>
          <w:sz w:val="24"/>
          <w:szCs w:val="24"/>
        </w:rPr>
      </w:pPr>
    </w:p>
    <w:p w14:paraId="75384EAB" w14:textId="77777777" w:rsidR="00E31F1A" w:rsidRDefault="00E31F1A" w:rsidP="000161B2">
      <w:pPr>
        <w:tabs>
          <w:tab w:val="left" w:pos="1260"/>
        </w:tabs>
        <w:spacing w:before="240" w:after="240" w:line="384" w:lineRule="auto"/>
        <w:jc w:val="both"/>
        <w:rPr>
          <w:rFonts w:ascii="Times New Roman" w:hAnsi="Times New Roman" w:cs="Times New Roman"/>
          <w:b/>
          <w:bCs/>
          <w:noProof/>
          <w:color w:val="000000" w:themeColor="text1"/>
          <w:sz w:val="24"/>
          <w:szCs w:val="24"/>
        </w:rPr>
      </w:pPr>
    </w:p>
    <w:p w14:paraId="13C46088" w14:textId="0C2EF594" w:rsidR="000C013D" w:rsidRPr="00E31F1A" w:rsidRDefault="000161B2" w:rsidP="00444603">
      <w:pPr>
        <w:tabs>
          <w:tab w:val="left" w:pos="1260"/>
        </w:tabs>
        <w:spacing w:before="240" w:after="240" w:line="384" w:lineRule="auto"/>
        <w:jc w:val="both"/>
        <w:rPr>
          <w:rFonts w:ascii="Times New Roman" w:hAnsi="Times New Roman" w:cs="Times New Roman"/>
          <w:b/>
          <w:bCs/>
          <w:noProof/>
          <w:color w:val="000000" w:themeColor="text1"/>
          <w:sz w:val="24"/>
          <w:szCs w:val="24"/>
        </w:rPr>
      </w:pPr>
      <w:r w:rsidRPr="000161B2">
        <w:rPr>
          <w:rFonts w:ascii="Times New Roman" w:hAnsi="Times New Roman" w:cs="Times New Roman"/>
          <w:b/>
          <w:bCs/>
          <w:noProof/>
          <w:color w:val="000000" w:themeColor="text1"/>
          <w:sz w:val="24"/>
          <w:szCs w:val="24"/>
        </w:rPr>
        <w:lastRenderedPageBreak/>
        <w:t>Figure 4.4 shows average return on assets of different commercial banks of Nepal.</w:t>
      </w:r>
      <w:bookmarkEnd w:id="8"/>
    </w:p>
    <w:p w14:paraId="6FB806DD" w14:textId="77777777" w:rsidR="000C013D" w:rsidRPr="00143B41" w:rsidRDefault="000C013D" w:rsidP="00444603">
      <w:pPr>
        <w:tabs>
          <w:tab w:val="left" w:pos="1260"/>
        </w:tabs>
        <w:spacing w:before="240" w:after="240" w:line="384" w:lineRule="auto"/>
        <w:jc w:val="both"/>
        <w:rPr>
          <w:rFonts w:ascii="Times New Roman" w:hAnsi="Times New Roman" w:cs="Times New Roman"/>
          <w:noProof/>
          <w:color w:val="000000" w:themeColor="text1"/>
          <w:sz w:val="28"/>
          <w:szCs w:val="28"/>
        </w:rPr>
      </w:pPr>
      <w:r w:rsidRPr="00143B41">
        <w:rPr>
          <w:rFonts w:ascii="Times New Roman" w:hAnsi="Times New Roman" w:cs="Times New Roman"/>
          <w:noProof/>
          <w:color w:val="000000" w:themeColor="text1"/>
          <w:sz w:val="28"/>
          <w:szCs w:val="28"/>
          <w:lang w:bidi="ne-NP"/>
        </w:rPr>
        <w:drawing>
          <wp:inline distT="0" distB="0" distL="0" distR="0" wp14:anchorId="2777F1BF" wp14:editId="3F81E7F4">
            <wp:extent cx="5486400" cy="32004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DAFF23A" w14:textId="77777777" w:rsidR="000C013D" w:rsidRPr="00143B41" w:rsidRDefault="000C013D" w:rsidP="00444603">
      <w:pPr>
        <w:tabs>
          <w:tab w:val="left" w:pos="1260"/>
        </w:tabs>
        <w:spacing w:before="240" w:after="240" w:line="384" w:lineRule="auto"/>
        <w:jc w:val="both"/>
        <w:rPr>
          <w:rFonts w:ascii="Times New Roman" w:hAnsi="Times New Roman" w:cs="Times New Roman"/>
          <w:noProof/>
          <w:color w:val="000000" w:themeColor="text1"/>
          <w:sz w:val="24"/>
          <w:szCs w:val="24"/>
        </w:rPr>
      </w:pPr>
      <w:r w:rsidRPr="00143B41">
        <w:rPr>
          <w:rFonts w:ascii="Times New Roman" w:hAnsi="Times New Roman" w:cs="Times New Roman"/>
          <w:noProof/>
          <w:color w:val="000000" w:themeColor="text1"/>
          <w:sz w:val="24"/>
          <w:szCs w:val="24"/>
        </w:rPr>
        <w:t>Figure 4.4 show pattern of Return on assets of Nepalese commercial banks. The figures shows the highest ROA for 2072/73 and lowest for 2071/72. The ROA slightlly  increases in 2069/70 than 2068/69 and then decreases in year 2070/71 and 2071/72. Thereafter the ROA increases in year 2072/73.</w:t>
      </w:r>
    </w:p>
    <w:p w14:paraId="2005747B" w14:textId="77777777" w:rsidR="000C013D" w:rsidRPr="00143B41" w:rsidRDefault="000C013D" w:rsidP="00444603">
      <w:pPr>
        <w:tabs>
          <w:tab w:val="left" w:pos="1260"/>
        </w:tabs>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w:t>
      </w:r>
      <w:r w:rsidR="00241353" w:rsidRPr="00143B41">
        <w:rPr>
          <w:rFonts w:ascii="Times New Roman" w:hAnsi="Times New Roman" w:cs="Times New Roman"/>
          <w:b/>
          <w:bCs/>
          <w:color w:val="000000" w:themeColor="text1"/>
          <w:sz w:val="28"/>
          <w:szCs w:val="28"/>
        </w:rPr>
        <w:t>1.5</w:t>
      </w:r>
      <w:r w:rsidR="00947EFD" w:rsidRPr="00143B41">
        <w:rPr>
          <w:rFonts w:ascii="Times New Roman" w:hAnsi="Times New Roman" w:cs="Times New Roman"/>
          <w:b/>
          <w:bCs/>
          <w:color w:val="000000" w:themeColor="text1"/>
          <w:sz w:val="28"/>
          <w:szCs w:val="28"/>
        </w:rPr>
        <w:t xml:space="preserve"> </w:t>
      </w:r>
      <w:r w:rsidRPr="00143B41">
        <w:rPr>
          <w:rFonts w:ascii="Times New Roman" w:hAnsi="Times New Roman" w:cs="Times New Roman"/>
          <w:b/>
          <w:bCs/>
          <w:color w:val="000000" w:themeColor="text1"/>
          <w:sz w:val="28"/>
          <w:szCs w:val="28"/>
        </w:rPr>
        <w:t>Book Value Per Share</w:t>
      </w:r>
    </w:p>
    <w:p w14:paraId="0C526290"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book value per share for the period of 2068/69 to 2075/76 has been presented in Table 4.</w:t>
      </w:r>
      <w:r w:rsidR="00241353" w:rsidRPr="00143B41">
        <w:rPr>
          <w:rFonts w:ascii="Times New Roman" w:hAnsi="Times New Roman" w:cs="Times New Roman"/>
          <w:color w:val="000000" w:themeColor="text1"/>
          <w:sz w:val="24"/>
          <w:szCs w:val="24"/>
        </w:rPr>
        <w:t>5</w:t>
      </w:r>
      <w:r w:rsidRPr="00143B41">
        <w:rPr>
          <w:rFonts w:ascii="Times New Roman" w:hAnsi="Times New Roman" w:cs="Times New Roman"/>
          <w:color w:val="000000" w:themeColor="text1"/>
          <w:sz w:val="24"/>
          <w:szCs w:val="24"/>
        </w:rPr>
        <w:t>.</w:t>
      </w:r>
    </w:p>
    <w:p w14:paraId="4F9BD38D" w14:textId="77777777" w:rsidR="000C013D" w:rsidRPr="00143B41" w:rsidRDefault="000C013D" w:rsidP="00444603">
      <w:pPr>
        <w:tabs>
          <w:tab w:val="left" w:pos="1260"/>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w:t>
      </w:r>
      <w:r w:rsidR="00241353" w:rsidRPr="00143B41">
        <w:rPr>
          <w:rFonts w:ascii="Times New Roman" w:hAnsi="Times New Roman" w:cs="Times New Roman"/>
          <w:color w:val="000000" w:themeColor="text1"/>
          <w:sz w:val="24"/>
          <w:szCs w:val="24"/>
        </w:rPr>
        <w:t>5</w:t>
      </w:r>
      <w:r w:rsidRPr="00143B41">
        <w:rPr>
          <w:rFonts w:ascii="Times New Roman" w:hAnsi="Times New Roman" w:cs="Times New Roman"/>
          <w:color w:val="000000" w:themeColor="text1"/>
          <w:sz w:val="24"/>
          <w:szCs w:val="24"/>
        </w:rPr>
        <w:t xml:space="preserve"> shows that the average book value per share is highest for NIBL (173 rupees) followed by HBL (163 rupees) and lowest for the GIBL (124 rupees). The average book value per share computed across the year has fluctuated widely over a period of time.</w:t>
      </w:r>
    </w:p>
    <w:p w14:paraId="22C0EA57" w14:textId="77777777" w:rsidR="00605D3E" w:rsidRDefault="00605D3E" w:rsidP="00444603">
      <w:pPr>
        <w:spacing w:before="240" w:after="240" w:line="384" w:lineRule="auto"/>
        <w:jc w:val="both"/>
        <w:rPr>
          <w:rFonts w:ascii="Times New Roman" w:hAnsi="Times New Roman" w:cs="Times New Roman"/>
          <w:b/>
          <w:bCs/>
          <w:color w:val="000000" w:themeColor="text1"/>
          <w:sz w:val="24"/>
          <w:szCs w:val="24"/>
        </w:rPr>
      </w:pPr>
    </w:p>
    <w:p w14:paraId="280FACA1" w14:textId="7F5CB60C" w:rsidR="000C013D" w:rsidRPr="00143B41" w:rsidRDefault="0067595B" w:rsidP="00444603">
      <w:pPr>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lastRenderedPageBreak/>
        <w:t xml:space="preserve">Table no. </w:t>
      </w:r>
      <w:r w:rsidR="000C013D" w:rsidRPr="00143B41">
        <w:rPr>
          <w:rFonts w:ascii="Times New Roman" w:hAnsi="Times New Roman" w:cs="Times New Roman"/>
          <w:b/>
          <w:bCs/>
          <w:color w:val="000000" w:themeColor="text1"/>
          <w:sz w:val="24"/>
          <w:szCs w:val="24"/>
        </w:rPr>
        <w:t>4.</w:t>
      </w:r>
      <w:r w:rsidRPr="00143B41">
        <w:rPr>
          <w:rFonts w:ascii="Times New Roman" w:hAnsi="Times New Roman" w:cs="Times New Roman"/>
          <w:b/>
          <w:bCs/>
          <w:color w:val="000000" w:themeColor="text1"/>
          <w:sz w:val="24"/>
          <w:szCs w:val="24"/>
        </w:rPr>
        <w:t>5</w:t>
      </w:r>
      <w:r w:rsidR="000C013D" w:rsidRPr="00143B41">
        <w:rPr>
          <w:rFonts w:ascii="Times New Roman" w:hAnsi="Times New Roman" w:cs="Times New Roman"/>
          <w:b/>
          <w:bCs/>
          <w:color w:val="000000" w:themeColor="text1"/>
          <w:sz w:val="24"/>
          <w:szCs w:val="24"/>
        </w:rPr>
        <w:t xml:space="preserve"> Book Value Per Share of Banks under Study of Financial Indicators.</w:t>
      </w:r>
    </w:p>
    <w:tbl>
      <w:tblPr>
        <w:tblW w:w="5000" w:type="pct"/>
        <w:tblLook w:val="04A0" w:firstRow="1" w:lastRow="0" w:firstColumn="1" w:lastColumn="0" w:noHBand="0" w:noVBand="1"/>
      </w:tblPr>
      <w:tblGrid>
        <w:gridCol w:w="1710"/>
        <w:gridCol w:w="940"/>
        <w:gridCol w:w="909"/>
        <w:gridCol w:w="909"/>
        <w:gridCol w:w="933"/>
        <w:gridCol w:w="1137"/>
        <w:gridCol w:w="1243"/>
        <w:gridCol w:w="1075"/>
      </w:tblGrid>
      <w:tr w:rsidR="000C013D" w:rsidRPr="0049079C" w14:paraId="5C24C491" w14:textId="77777777" w:rsidTr="00033295">
        <w:trPr>
          <w:trHeight w:val="287"/>
        </w:trPr>
        <w:tc>
          <w:tcPr>
            <w:tcW w:w="96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E5F3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Year/Bank</w:t>
            </w:r>
          </w:p>
        </w:tc>
        <w:tc>
          <w:tcPr>
            <w:tcW w:w="530" w:type="pct"/>
            <w:tcBorders>
              <w:top w:val="single" w:sz="4" w:space="0" w:color="auto"/>
              <w:left w:val="nil"/>
              <w:bottom w:val="single" w:sz="4" w:space="0" w:color="auto"/>
              <w:right w:val="single" w:sz="4" w:space="0" w:color="auto"/>
            </w:tcBorders>
            <w:shd w:val="clear" w:color="auto" w:fill="auto"/>
            <w:noWrap/>
            <w:vAlign w:val="center"/>
            <w:hideMark/>
          </w:tcPr>
          <w:p w14:paraId="4B78EE0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NIBL</w:t>
            </w:r>
          </w:p>
        </w:tc>
        <w:tc>
          <w:tcPr>
            <w:tcW w:w="513" w:type="pct"/>
            <w:tcBorders>
              <w:top w:val="single" w:sz="4" w:space="0" w:color="auto"/>
              <w:left w:val="nil"/>
              <w:bottom w:val="single" w:sz="4" w:space="0" w:color="auto"/>
              <w:right w:val="single" w:sz="4" w:space="0" w:color="auto"/>
            </w:tcBorders>
            <w:shd w:val="clear" w:color="auto" w:fill="auto"/>
            <w:noWrap/>
            <w:vAlign w:val="center"/>
            <w:hideMark/>
          </w:tcPr>
          <w:p w14:paraId="795012A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KBL</w:t>
            </w:r>
          </w:p>
        </w:tc>
        <w:tc>
          <w:tcPr>
            <w:tcW w:w="513" w:type="pct"/>
            <w:tcBorders>
              <w:top w:val="single" w:sz="4" w:space="0" w:color="auto"/>
              <w:left w:val="nil"/>
              <w:bottom w:val="single" w:sz="4" w:space="0" w:color="auto"/>
              <w:right w:val="single" w:sz="4" w:space="0" w:color="auto"/>
            </w:tcBorders>
            <w:shd w:val="clear" w:color="auto" w:fill="auto"/>
            <w:noWrap/>
            <w:vAlign w:val="center"/>
            <w:hideMark/>
          </w:tcPr>
          <w:p w14:paraId="0FE86C8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HBL</w:t>
            </w:r>
          </w:p>
        </w:tc>
        <w:tc>
          <w:tcPr>
            <w:tcW w:w="527" w:type="pct"/>
            <w:tcBorders>
              <w:top w:val="single" w:sz="4" w:space="0" w:color="auto"/>
              <w:left w:val="nil"/>
              <w:bottom w:val="single" w:sz="4" w:space="0" w:color="auto"/>
              <w:right w:val="single" w:sz="4" w:space="0" w:color="auto"/>
            </w:tcBorders>
            <w:shd w:val="clear" w:color="auto" w:fill="auto"/>
            <w:noWrap/>
            <w:vAlign w:val="center"/>
            <w:hideMark/>
          </w:tcPr>
          <w:p w14:paraId="62986B8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GIBL</w:t>
            </w:r>
          </w:p>
        </w:tc>
        <w:tc>
          <w:tcPr>
            <w:tcW w:w="642" w:type="pct"/>
            <w:tcBorders>
              <w:top w:val="single" w:sz="4" w:space="0" w:color="auto"/>
              <w:left w:val="nil"/>
              <w:bottom w:val="single" w:sz="4" w:space="0" w:color="auto"/>
              <w:right w:val="single" w:sz="4" w:space="0" w:color="auto"/>
            </w:tcBorders>
            <w:shd w:val="clear" w:color="auto" w:fill="auto"/>
            <w:noWrap/>
            <w:vAlign w:val="center"/>
            <w:hideMark/>
          </w:tcPr>
          <w:p w14:paraId="0C6311B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NMBL</w:t>
            </w:r>
          </w:p>
        </w:tc>
        <w:tc>
          <w:tcPr>
            <w:tcW w:w="702" w:type="pct"/>
            <w:tcBorders>
              <w:top w:val="single" w:sz="4" w:space="0" w:color="auto"/>
              <w:left w:val="nil"/>
              <w:bottom w:val="single" w:sz="4" w:space="0" w:color="auto"/>
              <w:right w:val="single" w:sz="4" w:space="0" w:color="auto"/>
            </w:tcBorders>
            <w:shd w:val="clear" w:color="auto" w:fill="auto"/>
            <w:noWrap/>
            <w:vAlign w:val="center"/>
            <w:hideMark/>
          </w:tcPr>
          <w:p w14:paraId="4FAC296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Mean</w:t>
            </w:r>
          </w:p>
        </w:tc>
        <w:tc>
          <w:tcPr>
            <w:tcW w:w="607" w:type="pct"/>
            <w:tcBorders>
              <w:top w:val="single" w:sz="4" w:space="0" w:color="auto"/>
              <w:left w:val="nil"/>
              <w:bottom w:val="single" w:sz="4" w:space="0" w:color="auto"/>
              <w:right w:val="single" w:sz="4" w:space="0" w:color="auto"/>
            </w:tcBorders>
            <w:shd w:val="clear" w:color="auto" w:fill="auto"/>
            <w:noWrap/>
            <w:vAlign w:val="center"/>
            <w:hideMark/>
          </w:tcPr>
          <w:p w14:paraId="1ABCE83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roofErr w:type="gramStart"/>
            <w:r w:rsidRPr="0049079C">
              <w:rPr>
                <w:rFonts w:ascii="Times New Roman" w:eastAsia="Times New Roman" w:hAnsi="Times New Roman" w:cs="Times New Roman"/>
                <w:color w:val="000000"/>
                <w:sz w:val="24"/>
                <w:szCs w:val="24"/>
              </w:rPr>
              <w:t>S.D</w:t>
            </w:r>
            <w:proofErr w:type="gramEnd"/>
          </w:p>
        </w:tc>
      </w:tr>
      <w:tr w:rsidR="000C013D" w:rsidRPr="0049079C" w14:paraId="666D8C67"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0995D8E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2068/69</w:t>
            </w:r>
          </w:p>
        </w:tc>
        <w:tc>
          <w:tcPr>
            <w:tcW w:w="530" w:type="pct"/>
            <w:tcBorders>
              <w:top w:val="nil"/>
              <w:left w:val="nil"/>
              <w:bottom w:val="single" w:sz="4" w:space="0" w:color="auto"/>
              <w:right w:val="single" w:sz="4" w:space="0" w:color="auto"/>
            </w:tcBorders>
            <w:shd w:val="clear" w:color="auto" w:fill="auto"/>
            <w:noWrap/>
            <w:vAlign w:val="center"/>
            <w:hideMark/>
          </w:tcPr>
          <w:p w14:paraId="54AFC54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161</w:t>
            </w:r>
          </w:p>
        </w:tc>
        <w:tc>
          <w:tcPr>
            <w:tcW w:w="513" w:type="pct"/>
            <w:tcBorders>
              <w:top w:val="nil"/>
              <w:left w:val="nil"/>
              <w:bottom w:val="single" w:sz="4" w:space="0" w:color="auto"/>
              <w:right w:val="single" w:sz="4" w:space="0" w:color="auto"/>
            </w:tcBorders>
            <w:shd w:val="clear" w:color="auto" w:fill="auto"/>
            <w:noWrap/>
            <w:vAlign w:val="center"/>
            <w:hideMark/>
          </w:tcPr>
          <w:p w14:paraId="7631069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148</w:t>
            </w:r>
          </w:p>
        </w:tc>
        <w:tc>
          <w:tcPr>
            <w:tcW w:w="513" w:type="pct"/>
            <w:tcBorders>
              <w:top w:val="nil"/>
              <w:left w:val="nil"/>
              <w:bottom w:val="single" w:sz="4" w:space="0" w:color="auto"/>
              <w:right w:val="single" w:sz="4" w:space="0" w:color="auto"/>
            </w:tcBorders>
            <w:shd w:val="clear" w:color="auto" w:fill="auto"/>
            <w:noWrap/>
            <w:vAlign w:val="center"/>
            <w:hideMark/>
          </w:tcPr>
          <w:p w14:paraId="51D5E29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168</w:t>
            </w:r>
          </w:p>
        </w:tc>
        <w:tc>
          <w:tcPr>
            <w:tcW w:w="527" w:type="pct"/>
            <w:tcBorders>
              <w:top w:val="nil"/>
              <w:left w:val="nil"/>
              <w:bottom w:val="single" w:sz="4" w:space="0" w:color="auto"/>
              <w:right w:val="single" w:sz="4" w:space="0" w:color="auto"/>
            </w:tcBorders>
            <w:shd w:val="clear" w:color="auto" w:fill="auto"/>
            <w:noWrap/>
            <w:vAlign w:val="center"/>
            <w:hideMark/>
          </w:tcPr>
          <w:p w14:paraId="15625C5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113</w:t>
            </w:r>
          </w:p>
        </w:tc>
        <w:tc>
          <w:tcPr>
            <w:tcW w:w="642" w:type="pct"/>
            <w:tcBorders>
              <w:top w:val="nil"/>
              <w:left w:val="nil"/>
              <w:bottom w:val="single" w:sz="4" w:space="0" w:color="auto"/>
              <w:right w:val="single" w:sz="4" w:space="0" w:color="auto"/>
            </w:tcBorders>
            <w:shd w:val="clear" w:color="auto" w:fill="auto"/>
            <w:noWrap/>
            <w:vAlign w:val="center"/>
            <w:hideMark/>
          </w:tcPr>
          <w:p w14:paraId="797DA39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113.2</w:t>
            </w:r>
          </w:p>
        </w:tc>
        <w:tc>
          <w:tcPr>
            <w:tcW w:w="702" w:type="pct"/>
            <w:tcBorders>
              <w:top w:val="nil"/>
              <w:left w:val="nil"/>
              <w:bottom w:val="single" w:sz="4" w:space="0" w:color="auto"/>
              <w:right w:val="single" w:sz="4" w:space="0" w:color="auto"/>
            </w:tcBorders>
            <w:shd w:val="clear" w:color="auto" w:fill="auto"/>
            <w:noWrap/>
            <w:vAlign w:val="center"/>
            <w:hideMark/>
          </w:tcPr>
          <w:p w14:paraId="63F9A8D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140.52</w:t>
            </w:r>
          </w:p>
        </w:tc>
        <w:tc>
          <w:tcPr>
            <w:tcW w:w="607" w:type="pct"/>
            <w:tcBorders>
              <w:top w:val="nil"/>
              <w:left w:val="nil"/>
              <w:bottom w:val="single" w:sz="4" w:space="0" w:color="auto"/>
              <w:right w:val="single" w:sz="4" w:space="0" w:color="auto"/>
            </w:tcBorders>
            <w:shd w:val="clear" w:color="auto" w:fill="auto"/>
            <w:noWrap/>
            <w:vAlign w:val="center"/>
            <w:hideMark/>
          </w:tcPr>
          <w:p w14:paraId="7BCF9AA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23.37</w:t>
            </w:r>
          </w:p>
        </w:tc>
      </w:tr>
      <w:tr w:rsidR="000C013D" w:rsidRPr="0049079C" w14:paraId="327CF5A6"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13B0360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2069/70</w:t>
            </w:r>
          </w:p>
        </w:tc>
        <w:tc>
          <w:tcPr>
            <w:tcW w:w="530" w:type="pct"/>
            <w:tcBorders>
              <w:top w:val="nil"/>
              <w:left w:val="nil"/>
              <w:bottom w:val="single" w:sz="4" w:space="0" w:color="auto"/>
              <w:right w:val="single" w:sz="4" w:space="0" w:color="auto"/>
            </w:tcBorders>
            <w:shd w:val="clear" w:color="auto" w:fill="auto"/>
            <w:noWrap/>
            <w:vAlign w:val="center"/>
            <w:hideMark/>
          </w:tcPr>
          <w:p w14:paraId="6A1609A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169</w:t>
            </w:r>
          </w:p>
        </w:tc>
        <w:tc>
          <w:tcPr>
            <w:tcW w:w="513" w:type="pct"/>
            <w:tcBorders>
              <w:top w:val="nil"/>
              <w:left w:val="nil"/>
              <w:bottom w:val="single" w:sz="4" w:space="0" w:color="auto"/>
              <w:right w:val="single" w:sz="4" w:space="0" w:color="auto"/>
            </w:tcBorders>
            <w:shd w:val="clear" w:color="auto" w:fill="auto"/>
            <w:noWrap/>
            <w:vAlign w:val="center"/>
            <w:hideMark/>
          </w:tcPr>
          <w:p w14:paraId="6A7E2F33"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145</w:t>
            </w:r>
          </w:p>
        </w:tc>
        <w:tc>
          <w:tcPr>
            <w:tcW w:w="513" w:type="pct"/>
            <w:tcBorders>
              <w:top w:val="nil"/>
              <w:left w:val="nil"/>
              <w:bottom w:val="single" w:sz="4" w:space="0" w:color="auto"/>
              <w:right w:val="single" w:sz="4" w:space="0" w:color="auto"/>
            </w:tcBorders>
            <w:shd w:val="clear" w:color="auto" w:fill="auto"/>
            <w:noWrap/>
            <w:vAlign w:val="center"/>
            <w:hideMark/>
          </w:tcPr>
          <w:p w14:paraId="05E5B35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183</w:t>
            </w:r>
          </w:p>
        </w:tc>
        <w:tc>
          <w:tcPr>
            <w:tcW w:w="527" w:type="pct"/>
            <w:tcBorders>
              <w:top w:val="nil"/>
              <w:left w:val="nil"/>
              <w:bottom w:val="single" w:sz="4" w:space="0" w:color="auto"/>
              <w:right w:val="single" w:sz="4" w:space="0" w:color="auto"/>
            </w:tcBorders>
            <w:shd w:val="clear" w:color="auto" w:fill="auto"/>
            <w:noWrap/>
            <w:vAlign w:val="center"/>
            <w:hideMark/>
          </w:tcPr>
          <w:p w14:paraId="581CBA3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116</w:t>
            </w:r>
          </w:p>
        </w:tc>
        <w:tc>
          <w:tcPr>
            <w:tcW w:w="642" w:type="pct"/>
            <w:tcBorders>
              <w:top w:val="nil"/>
              <w:left w:val="nil"/>
              <w:bottom w:val="single" w:sz="4" w:space="0" w:color="auto"/>
              <w:right w:val="single" w:sz="4" w:space="0" w:color="auto"/>
            </w:tcBorders>
            <w:shd w:val="clear" w:color="auto" w:fill="auto"/>
            <w:noWrap/>
            <w:vAlign w:val="center"/>
            <w:hideMark/>
          </w:tcPr>
          <w:p w14:paraId="6121762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116.2</w:t>
            </w:r>
          </w:p>
        </w:tc>
        <w:tc>
          <w:tcPr>
            <w:tcW w:w="702" w:type="pct"/>
            <w:tcBorders>
              <w:top w:val="nil"/>
              <w:left w:val="nil"/>
              <w:bottom w:val="single" w:sz="4" w:space="0" w:color="auto"/>
              <w:right w:val="single" w:sz="4" w:space="0" w:color="auto"/>
            </w:tcBorders>
            <w:shd w:val="clear" w:color="auto" w:fill="auto"/>
            <w:noWrap/>
            <w:vAlign w:val="center"/>
            <w:hideMark/>
          </w:tcPr>
          <w:p w14:paraId="5BBE6E4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145.99</w:t>
            </w:r>
          </w:p>
        </w:tc>
        <w:tc>
          <w:tcPr>
            <w:tcW w:w="607" w:type="pct"/>
            <w:tcBorders>
              <w:top w:val="nil"/>
              <w:left w:val="nil"/>
              <w:bottom w:val="single" w:sz="4" w:space="0" w:color="auto"/>
              <w:right w:val="single" w:sz="4" w:space="0" w:color="auto"/>
            </w:tcBorders>
            <w:shd w:val="clear" w:color="auto" w:fill="auto"/>
            <w:noWrap/>
            <w:vAlign w:val="center"/>
            <w:hideMark/>
          </w:tcPr>
          <w:p w14:paraId="3399E89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27.14</w:t>
            </w:r>
          </w:p>
        </w:tc>
      </w:tr>
      <w:tr w:rsidR="000C013D" w:rsidRPr="0049079C" w14:paraId="0541CCCF"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7EE8A06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2070/71</w:t>
            </w:r>
          </w:p>
        </w:tc>
        <w:tc>
          <w:tcPr>
            <w:tcW w:w="530" w:type="pct"/>
            <w:tcBorders>
              <w:top w:val="nil"/>
              <w:left w:val="nil"/>
              <w:bottom w:val="single" w:sz="4" w:space="0" w:color="auto"/>
              <w:right w:val="single" w:sz="4" w:space="0" w:color="auto"/>
            </w:tcBorders>
            <w:shd w:val="clear" w:color="auto" w:fill="auto"/>
            <w:noWrap/>
            <w:vAlign w:val="center"/>
            <w:hideMark/>
          </w:tcPr>
          <w:p w14:paraId="3D5E1A4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166</w:t>
            </w:r>
          </w:p>
        </w:tc>
        <w:tc>
          <w:tcPr>
            <w:tcW w:w="513" w:type="pct"/>
            <w:tcBorders>
              <w:top w:val="nil"/>
              <w:left w:val="nil"/>
              <w:bottom w:val="single" w:sz="4" w:space="0" w:color="auto"/>
              <w:right w:val="single" w:sz="4" w:space="0" w:color="auto"/>
            </w:tcBorders>
            <w:shd w:val="clear" w:color="auto" w:fill="auto"/>
            <w:noWrap/>
            <w:vAlign w:val="center"/>
            <w:hideMark/>
          </w:tcPr>
          <w:p w14:paraId="5E23230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122</w:t>
            </w:r>
          </w:p>
        </w:tc>
        <w:tc>
          <w:tcPr>
            <w:tcW w:w="513" w:type="pct"/>
            <w:tcBorders>
              <w:top w:val="nil"/>
              <w:left w:val="nil"/>
              <w:bottom w:val="single" w:sz="4" w:space="0" w:color="auto"/>
              <w:right w:val="single" w:sz="4" w:space="0" w:color="auto"/>
            </w:tcBorders>
            <w:shd w:val="clear" w:color="auto" w:fill="auto"/>
            <w:noWrap/>
            <w:vAlign w:val="center"/>
            <w:hideMark/>
          </w:tcPr>
          <w:p w14:paraId="0503D2C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183</w:t>
            </w:r>
          </w:p>
        </w:tc>
        <w:tc>
          <w:tcPr>
            <w:tcW w:w="527" w:type="pct"/>
            <w:tcBorders>
              <w:top w:val="nil"/>
              <w:left w:val="nil"/>
              <w:bottom w:val="single" w:sz="4" w:space="0" w:color="auto"/>
              <w:right w:val="single" w:sz="4" w:space="0" w:color="auto"/>
            </w:tcBorders>
            <w:shd w:val="clear" w:color="auto" w:fill="auto"/>
            <w:noWrap/>
            <w:vAlign w:val="center"/>
            <w:hideMark/>
          </w:tcPr>
          <w:p w14:paraId="7EBB0E1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123</w:t>
            </w:r>
          </w:p>
        </w:tc>
        <w:tc>
          <w:tcPr>
            <w:tcW w:w="642" w:type="pct"/>
            <w:tcBorders>
              <w:top w:val="nil"/>
              <w:left w:val="nil"/>
              <w:bottom w:val="single" w:sz="4" w:space="0" w:color="auto"/>
              <w:right w:val="single" w:sz="4" w:space="0" w:color="auto"/>
            </w:tcBorders>
            <w:shd w:val="clear" w:color="auto" w:fill="auto"/>
            <w:noWrap/>
            <w:vAlign w:val="center"/>
            <w:hideMark/>
          </w:tcPr>
          <w:p w14:paraId="691764D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117.2</w:t>
            </w:r>
          </w:p>
        </w:tc>
        <w:tc>
          <w:tcPr>
            <w:tcW w:w="702" w:type="pct"/>
            <w:tcBorders>
              <w:top w:val="nil"/>
              <w:left w:val="nil"/>
              <w:bottom w:val="single" w:sz="4" w:space="0" w:color="auto"/>
              <w:right w:val="single" w:sz="4" w:space="0" w:color="auto"/>
            </w:tcBorders>
            <w:shd w:val="clear" w:color="auto" w:fill="auto"/>
            <w:noWrap/>
            <w:vAlign w:val="center"/>
            <w:hideMark/>
          </w:tcPr>
          <w:p w14:paraId="41853F3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142.21</w:t>
            </w:r>
          </w:p>
        </w:tc>
        <w:tc>
          <w:tcPr>
            <w:tcW w:w="607" w:type="pct"/>
            <w:tcBorders>
              <w:top w:val="nil"/>
              <w:left w:val="nil"/>
              <w:bottom w:val="single" w:sz="4" w:space="0" w:color="auto"/>
              <w:right w:val="single" w:sz="4" w:space="0" w:color="auto"/>
            </w:tcBorders>
            <w:shd w:val="clear" w:color="auto" w:fill="auto"/>
            <w:noWrap/>
            <w:vAlign w:val="center"/>
            <w:hideMark/>
          </w:tcPr>
          <w:p w14:paraId="2FD7CF8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26.84</w:t>
            </w:r>
          </w:p>
        </w:tc>
      </w:tr>
      <w:tr w:rsidR="000C013D" w:rsidRPr="0049079C" w14:paraId="51059168"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485AD55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2071/72</w:t>
            </w:r>
          </w:p>
        </w:tc>
        <w:tc>
          <w:tcPr>
            <w:tcW w:w="530" w:type="pct"/>
            <w:tcBorders>
              <w:top w:val="nil"/>
              <w:left w:val="nil"/>
              <w:bottom w:val="single" w:sz="4" w:space="0" w:color="auto"/>
              <w:right w:val="single" w:sz="4" w:space="0" w:color="auto"/>
            </w:tcBorders>
            <w:shd w:val="clear" w:color="auto" w:fill="auto"/>
            <w:noWrap/>
            <w:vAlign w:val="center"/>
            <w:hideMark/>
          </w:tcPr>
          <w:p w14:paraId="5FB7A15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155</w:t>
            </w:r>
          </w:p>
        </w:tc>
        <w:tc>
          <w:tcPr>
            <w:tcW w:w="513" w:type="pct"/>
            <w:tcBorders>
              <w:top w:val="nil"/>
              <w:left w:val="nil"/>
              <w:bottom w:val="single" w:sz="4" w:space="0" w:color="auto"/>
              <w:right w:val="single" w:sz="4" w:space="0" w:color="auto"/>
            </w:tcBorders>
            <w:shd w:val="clear" w:color="auto" w:fill="auto"/>
            <w:noWrap/>
            <w:vAlign w:val="center"/>
            <w:hideMark/>
          </w:tcPr>
          <w:p w14:paraId="22B5FAB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124</w:t>
            </w:r>
          </w:p>
        </w:tc>
        <w:tc>
          <w:tcPr>
            <w:tcW w:w="513" w:type="pct"/>
            <w:tcBorders>
              <w:top w:val="nil"/>
              <w:left w:val="nil"/>
              <w:bottom w:val="single" w:sz="4" w:space="0" w:color="auto"/>
              <w:right w:val="single" w:sz="4" w:space="0" w:color="auto"/>
            </w:tcBorders>
            <w:shd w:val="clear" w:color="auto" w:fill="auto"/>
            <w:noWrap/>
            <w:vAlign w:val="center"/>
            <w:hideMark/>
          </w:tcPr>
          <w:p w14:paraId="3A605CC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155</w:t>
            </w:r>
          </w:p>
        </w:tc>
        <w:tc>
          <w:tcPr>
            <w:tcW w:w="527" w:type="pct"/>
            <w:tcBorders>
              <w:top w:val="nil"/>
              <w:left w:val="nil"/>
              <w:bottom w:val="single" w:sz="4" w:space="0" w:color="auto"/>
              <w:right w:val="single" w:sz="4" w:space="0" w:color="auto"/>
            </w:tcBorders>
            <w:shd w:val="clear" w:color="auto" w:fill="auto"/>
            <w:noWrap/>
            <w:vAlign w:val="center"/>
            <w:hideMark/>
          </w:tcPr>
          <w:p w14:paraId="1DD51D42"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119</w:t>
            </w:r>
          </w:p>
        </w:tc>
        <w:tc>
          <w:tcPr>
            <w:tcW w:w="642" w:type="pct"/>
            <w:tcBorders>
              <w:top w:val="nil"/>
              <w:left w:val="nil"/>
              <w:bottom w:val="single" w:sz="4" w:space="0" w:color="auto"/>
              <w:right w:val="single" w:sz="4" w:space="0" w:color="auto"/>
            </w:tcBorders>
            <w:shd w:val="clear" w:color="auto" w:fill="auto"/>
            <w:noWrap/>
            <w:vAlign w:val="center"/>
            <w:hideMark/>
          </w:tcPr>
          <w:p w14:paraId="13D03F53"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120.6</w:t>
            </w:r>
          </w:p>
        </w:tc>
        <w:tc>
          <w:tcPr>
            <w:tcW w:w="702" w:type="pct"/>
            <w:tcBorders>
              <w:top w:val="nil"/>
              <w:left w:val="nil"/>
              <w:bottom w:val="single" w:sz="4" w:space="0" w:color="auto"/>
              <w:right w:val="single" w:sz="4" w:space="0" w:color="auto"/>
            </w:tcBorders>
            <w:shd w:val="clear" w:color="auto" w:fill="auto"/>
            <w:noWrap/>
            <w:vAlign w:val="center"/>
            <w:hideMark/>
          </w:tcPr>
          <w:p w14:paraId="371A1E8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134.53</w:t>
            </w:r>
          </w:p>
        </w:tc>
        <w:tc>
          <w:tcPr>
            <w:tcW w:w="607" w:type="pct"/>
            <w:tcBorders>
              <w:top w:val="nil"/>
              <w:left w:val="nil"/>
              <w:bottom w:val="single" w:sz="4" w:space="0" w:color="auto"/>
              <w:right w:val="single" w:sz="4" w:space="0" w:color="auto"/>
            </w:tcBorders>
            <w:shd w:val="clear" w:color="auto" w:fill="auto"/>
            <w:noWrap/>
            <w:vAlign w:val="center"/>
            <w:hideMark/>
          </w:tcPr>
          <w:p w14:paraId="001216E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16.47</w:t>
            </w:r>
          </w:p>
        </w:tc>
      </w:tr>
      <w:tr w:rsidR="000C013D" w:rsidRPr="0049079C" w14:paraId="1B80AFD6"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5DA8156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2072/73</w:t>
            </w:r>
          </w:p>
        </w:tc>
        <w:tc>
          <w:tcPr>
            <w:tcW w:w="530" w:type="pct"/>
            <w:tcBorders>
              <w:top w:val="nil"/>
              <w:left w:val="nil"/>
              <w:bottom w:val="single" w:sz="4" w:space="0" w:color="auto"/>
              <w:right w:val="single" w:sz="4" w:space="0" w:color="auto"/>
            </w:tcBorders>
            <w:shd w:val="clear" w:color="auto" w:fill="auto"/>
            <w:noWrap/>
            <w:vAlign w:val="center"/>
            <w:hideMark/>
          </w:tcPr>
          <w:p w14:paraId="144AEB7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187</w:t>
            </w:r>
          </w:p>
        </w:tc>
        <w:tc>
          <w:tcPr>
            <w:tcW w:w="513" w:type="pct"/>
            <w:tcBorders>
              <w:top w:val="nil"/>
              <w:left w:val="nil"/>
              <w:bottom w:val="single" w:sz="4" w:space="0" w:color="auto"/>
              <w:right w:val="single" w:sz="4" w:space="0" w:color="auto"/>
            </w:tcBorders>
            <w:shd w:val="clear" w:color="auto" w:fill="auto"/>
            <w:noWrap/>
            <w:vAlign w:val="center"/>
            <w:hideMark/>
          </w:tcPr>
          <w:p w14:paraId="1938DBA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124</w:t>
            </w:r>
          </w:p>
        </w:tc>
        <w:tc>
          <w:tcPr>
            <w:tcW w:w="513" w:type="pct"/>
            <w:tcBorders>
              <w:top w:val="nil"/>
              <w:left w:val="nil"/>
              <w:bottom w:val="single" w:sz="4" w:space="0" w:color="auto"/>
              <w:right w:val="single" w:sz="4" w:space="0" w:color="auto"/>
            </w:tcBorders>
            <w:shd w:val="clear" w:color="auto" w:fill="auto"/>
            <w:noWrap/>
            <w:vAlign w:val="center"/>
            <w:hideMark/>
          </w:tcPr>
          <w:p w14:paraId="35503757"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151</w:t>
            </w:r>
          </w:p>
        </w:tc>
        <w:tc>
          <w:tcPr>
            <w:tcW w:w="527" w:type="pct"/>
            <w:tcBorders>
              <w:top w:val="nil"/>
              <w:left w:val="nil"/>
              <w:bottom w:val="single" w:sz="4" w:space="0" w:color="auto"/>
              <w:right w:val="single" w:sz="4" w:space="0" w:color="auto"/>
            </w:tcBorders>
            <w:shd w:val="clear" w:color="auto" w:fill="auto"/>
            <w:noWrap/>
            <w:vAlign w:val="center"/>
            <w:hideMark/>
          </w:tcPr>
          <w:p w14:paraId="6167E6F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122</w:t>
            </w:r>
          </w:p>
        </w:tc>
        <w:tc>
          <w:tcPr>
            <w:tcW w:w="642" w:type="pct"/>
            <w:tcBorders>
              <w:top w:val="nil"/>
              <w:left w:val="nil"/>
              <w:bottom w:val="single" w:sz="4" w:space="0" w:color="auto"/>
              <w:right w:val="single" w:sz="4" w:space="0" w:color="auto"/>
            </w:tcBorders>
            <w:shd w:val="clear" w:color="auto" w:fill="auto"/>
            <w:noWrap/>
            <w:vAlign w:val="center"/>
            <w:hideMark/>
          </w:tcPr>
          <w:p w14:paraId="6A153E57"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124.3</w:t>
            </w:r>
          </w:p>
        </w:tc>
        <w:tc>
          <w:tcPr>
            <w:tcW w:w="702" w:type="pct"/>
            <w:tcBorders>
              <w:top w:val="nil"/>
              <w:left w:val="nil"/>
              <w:bottom w:val="single" w:sz="4" w:space="0" w:color="auto"/>
              <w:right w:val="single" w:sz="4" w:space="0" w:color="auto"/>
            </w:tcBorders>
            <w:shd w:val="clear" w:color="auto" w:fill="auto"/>
            <w:noWrap/>
            <w:vAlign w:val="center"/>
            <w:hideMark/>
          </w:tcPr>
          <w:p w14:paraId="4C0585E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141.50</w:t>
            </w:r>
          </w:p>
        </w:tc>
        <w:tc>
          <w:tcPr>
            <w:tcW w:w="607" w:type="pct"/>
            <w:tcBorders>
              <w:top w:val="nil"/>
              <w:left w:val="nil"/>
              <w:bottom w:val="single" w:sz="4" w:space="0" w:color="auto"/>
              <w:right w:val="single" w:sz="4" w:space="0" w:color="auto"/>
            </w:tcBorders>
            <w:shd w:val="clear" w:color="auto" w:fill="auto"/>
            <w:noWrap/>
            <w:vAlign w:val="center"/>
            <w:hideMark/>
          </w:tcPr>
          <w:p w14:paraId="0AEF5AF2"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25.19</w:t>
            </w:r>
          </w:p>
        </w:tc>
      </w:tr>
      <w:tr w:rsidR="000C013D" w:rsidRPr="0049079C" w14:paraId="22ACDB22"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32E667E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2073/74</w:t>
            </w:r>
          </w:p>
        </w:tc>
        <w:tc>
          <w:tcPr>
            <w:tcW w:w="530" w:type="pct"/>
            <w:tcBorders>
              <w:top w:val="nil"/>
              <w:left w:val="nil"/>
              <w:bottom w:val="single" w:sz="4" w:space="0" w:color="auto"/>
              <w:right w:val="single" w:sz="4" w:space="0" w:color="auto"/>
            </w:tcBorders>
            <w:shd w:val="clear" w:color="auto" w:fill="auto"/>
            <w:noWrap/>
            <w:vAlign w:val="center"/>
            <w:hideMark/>
          </w:tcPr>
          <w:p w14:paraId="4C2BF2F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176</w:t>
            </w:r>
          </w:p>
        </w:tc>
        <w:tc>
          <w:tcPr>
            <w:tcW w:w="513" w:type="pct"/>
            <w:tcBorders>
              <w:top w:val="nil"/>
              <w:left w:val="nil"/>
              <w:bottom w:val="single" w:sz="4" w:space="0" w:color="auto"/>
              <w:right w:val="single" w:sz="4" w:space="0" w:color="auto"/>
            </w:tcBorders>
            <w:shd w:val="clear" w:color="auto" w:fill="auto"/>
            <w:noWrap/>
            <w:vAlign w:val="center"/>
            <w:hideMark/>
          </w:tcPr>
          <w:p w14:paraId="4D159BF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117</w:t>
            </w:r>
          </w:p>
        </w:tc>
        <w:tc>
          <w:tcPr>
            <w:tcW w:w="513" w:type="pct"/>
            <w:tcBorders>
              <w:top w:val="nil"/>
              <w:left w:val="nil"/>
              <w:bottom w:val="single" w:sz="4" w:space="0" w:color="auto"/>
              <w:right w:val="single" w:sz="4" w:space="0" w:color="auto"/>
            </w:tcBorders>
            <w:shd w:val="clear" w:color="auto" w:fill="auto"/>
            <w:noWrap/>
            <w:vAlign w:val="center"/>
            <w:hideMark/>
          </w:tcPr>
          <w:p w14:paraId="510E2F12"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144</w:t>
            </w:r>
          </w:p>
        </w:tc>
        <w:tc>
          <w:tcPr>
            <w:tcW w:w="527" w:type="pct"/>
            <w:tcBorders>
              <w:top w:val="nil"/>
              <w:left w:val="nil"/>
              <w:bottom w:val="single" w:sz="4" w:space="0" w:color="auto"/>
              <w:right w:val="single" w:sz="4" w:space="0" w:color="auto"/>
            </w:tcBorders>
            <w:shd w:val="clear" w:color="auto" w:fill="auto"/>
            <w:noWrap/>
            <w:vAlign w:val="center"/>
            <w:hideMark/>
          </w:tcPr>
          <w:p w14:paraId="2830B08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127</w:t>
            </w:r>
          </w:p>
        </w:tc>
        <w:tc>
          <w:tcPr>
            <w:tcW w:w="642" w:type="pct"/>
            <w:tcBorders>
              <w:top w:val="nil"/>
              <w:left w:val="nil"/>
              <w:bottom w:val="single" w:sz="4" w:space="0" w:color="auto"/>
              <w:right w:val="single" w:sz="4" w:space="0" w:color="auto"/>
            </w:tcBorders>
            <w:shd w:val="clear" w:color="auto" w:fill="auto"/>
            <w:noWrap/>
            <w:vAlign w:val="center"/>
            <w:hideMark/>
          </w:tcPr>
          <w:p w14:paraId="6EF1604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139.8</w:t>
            </w:r>
          </w:p>
        </w:tc>
        <w:tc>
          <w:tcPr>
            <w:tcW w:w="702" w:type="pct"/>
            <w:tcBorders>
              <w:top w:val="nil"/>
              <w:left w:val="nil"/>
              <w:bottom w:val="single" w:sz="4" w:space="0" w:color="auto"/>
              <w:right w:val="single" w:sz="4" w:space="0" w:color="auto"/>
            </w:tcBorders>
            <w:shd w:val="clear" w:color="auto" w:fill="auto"/>
            <w:noWrap/>
            <w:vAlign w:val="center"/>
            <w:hideMark/>
          </w:tcPr>
          <w:p w14:paraId="3D0805F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140.94</w:t>
            </w:r>
          </w:p>
        </w:tc>
        <w:tc>
          <w:tcPr>
            <w:tcW w:w="607" w:type="pct"/>
            <w:tcBorders>
              <w:top w:val="nil"/>
              <w:left w:val="nil"/>
              <w:bottom w:val="single" w:sz="4" w:space="0" w:color="auto"/>
              <w:right w:val="single" w:sz="4" w:space="0" w:color="auto"/>
            </w:tcBorders>
            <w:shd w:val="clear" w:color="auto" w:fill="auto"/>
            <w:noWrap/>
            <w:vAlign w:val="center"/>
            <w:hideMark/>
          </w:tcPr>
          <w:p w14:paraId="77DADF13"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19.94</w:t>
            </w:r>
          </w:p>
        </w:tc>
      </w:tr>
      <w:tr w:rsidR="000C013D" w:rsidRPr="0049079C" w14:paraId="2A2F3F47"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5C5F6B4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2074/75</w:t>
            </w:r>
          </w:p>
        </w:tc>
        <w:tc>
          <w:tcPr>
            <w:tcW w:w="530" w:type="pct"/>
            <w:tcBorders>
              <w:top w:val="nil"/>
              <w:left w:val="nil"/>
              <w:bottom w:val="single" w:sz="4" w:space="0" w:color="auto"/>
              <w:right w:val="single" w:sz="4" w:space="0" w:color="auto"/>
            </w:tcBorders>
            <w:shd w:val="clear" w:color="auto" w:fill="auto"/>
            <w:noWrap/>
            <w:vAlign w:val="center"/>
            <w:hideMark/>
          </w:tcPr>
          <w:p w14:paraId="53A4AC3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192</w:t>
            </w:r>
          </w:p>
        </w:tc>
        <w:tc>
          <w:tcPr>
            <w:tcW w:w="513" w:type="pct"/>
            <w:tcBorders>
              <w:top w:val="nil"/>
              <w:left w:val="nil"/>
              <w:bottom w:val="single" w:sz="4" w:space="0" w:color="auto"/>
              <w:right w:val="single" w:sz="4" w:space="0" w:color="auto"/>
            </w:tcBorders>
            <w:shd w:val="clear" w:color="auto" w:fill="auto"/>
            <w:noWrap/>
            <w:vAlign w:val="center"/>
            <w:hideMark/>
          </w:tcPr>
          <w:p w14:paraId="6F70614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125</w:t>
            </w:r>
          </w:p>
        </w:tc>
        <w:tc>
          <w:tcPr>
            <w:tcW w:w="513" w:type="pct"/>
            <w:tcBorders>
              <w:top w:val="nil"/>
              <w:left w:val="nil"/>
              <w:bottom w:val="single" w:sz="4" w:space="0" w:color="auto"/>
              <w:right w:val="single" w:sz="4" w:space="0" w:color="auto"/>
            </w:tcBorders>
            <w:shd w:val="clear" w:color="auto" w:fill="auto"/>
            <w:noWrap/>
            <w:vAlign w:val="center"/>
            <w:hideMark/>
          </w:tcPr>
          <w:p w14:paraId="45508E5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156</w:t>
            </w:r>
          </w:p>
        </w:tc>
        <w:tc>
          <w:tcPr>
            <w:tcW w:w="527" w:type="pct"/>
            <w:tcBorders>
              <w:top w:val="nil"/>
              <w:left w:val="nil"/>
              <w:bottom w:val="single" w:sz="4" w:space="0" w:color="auto"/>
              <w:right w:val="single" w:sz="4" w:space="0" w:color="auto"/>
            </w:tcBorders>
            <w:shd w:val="clear" w:color="auto" w:fill="auto"/>
            <w:noWrap/>
            <w:vAlign w:val="center"/>
            <w:hideMark/>
          </w:tcPr>
          <w:p w14:paraId="3E71D6F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136</w:t>
            </w:r>
          </w:p>
        </w:tc>
        <w:tc>
          <w:tcPr>
            <w:tcW w:w="642" w:type="pct"/>
            <w:tcBorders>
              <w:top w:val="nil"/>
              <w:left w:val="nil"/>
              <w:bottom w:val="single" w:sz="4" w:space="0" w:color="auto"/>
              <w:right w:val="single" w:sz="4" w:space="0" w:color="auto"/>
            </w:tcBorders>
            <w:shd w:val="clear" w:color="auto" w:fill="auto"/>
            <w:noWrap/>
            <w:vAlign w:val="center"/>
            <w:hideMark/>
          </w:tcPr>
          <w:p w14:paraId="30503AB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132.7</w:t>
            </w:r>
          </w:p>
        </w:tc>
        <w:tc>
          <w:tcPr>
            <w:tcW w:w="702" w:type="pct"/>
            <w:tcBorders>
              <w:top w:val="nil"/>
              <w:left w:val="nil"/>
              <w:bottom w:val="single" w:sz="4" w:space="0" w:color="auto"/>
              <w:right w:val="single" w:sz="4" w:space="0" w:color="auto"/>
            </w:tcBorders>
            <w:shd w:val="clear" w:color="auto" w:fill="auto"/>
            <w:noWrap/>
            <w:vAlign w:val="center"/>
            <w:hideMark/>
          </w:tcPr>
          <w:p w14:paraId="10E848E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148.33</w:t>
            </w:r>
          </w:p>
        </w:tc>
        <w:tc>
          <w:tcPr>
            <w:tcW w:w="607" w:type="pct"/>
            <w:tcBorders>
              <w:top w:val="nil"/>
              <w:left w:val="nil"/>
              <w:bottom w:val="single" w:sz="4" w:space="0" w:color="auto"/>
              <w:right w:val="single" w:sz="4" w:space="0" w:color="auto"/>
            </w:tcBorders>
            <w:shd w:val="clear" w:color="auto" w:fill="auto"/>
            <w:noWrap/>
            <w:vAlign w:val="center"/>
            <w:hideMark/>
          </w:tcPr>
          <w:p w14:paraId="3A42A7E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23.97</w:t>
            </w:r>
          </w:p>
        </w:tc>
      </w:tr>
      <w:tr w:rsidR="000C013D" w:rsidRPr="0049079C" w14:paraId="0D2CF729"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719B46C7"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2075/76</w:t>
            </w:r>
          </w:p>
        </w:tc>
        <w:tc>
          <w:tcPr>
            <w:tcW w:w="530" w:type="pct"/>
            <w:tcBorders>
              <w:top w:val="nil"/>
              <w:left w:val="nil"/>
              <w:bottom w:val="single" w:sz="4" w:space="0" w:color="auto"/>
              <w:right w:val="single" w:sz="4" w:space="0" w:color="auto"/>
            </w:tcBorders>
            <w:shd w:val="clear" w:color="auto" w:fill="auto"/>
            <w:noWrap/>
            <w:vAlign w:val="center"/>
            <w:hideMark/>
          </w:tcPr>
          <w:p w14:paraId="6CF74523"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182</w:t>
            </w:r>
          </w:p>
        </w:tc>
        <w:tc>
          <w:tcPr>
            <w:tcW w:w="513" w:type="pct"/>
            <w:tcBorders>
              <w:top w:val="nil"/>
              <w:left w:val="nil"/>
              <w:bottom w:val="single" w:sz="4" w:space="0" w:color="auto"/>
              <w:right w:val="single" w:sz="4" w:space="0" w:color="auto"/>
            </w:tcBorders>
            <w:shd w:val="clear" w:color="auto" w:fill="auto"/>
            <w:noWrap/>
            <w:vAlign w:val="center"/>
            <w:hideMark/>
          </w:tcPr>
          <w:p w14:paraId="652451D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124</w:t>
            </w:r>
          </w:p>
        </w:tc>
        <w:tc>
          <w:tcPr>
            <w:tcW w:w="513" w:type="pct"/>
            <w:tcBorders>
              <w:top w:val="nil"/>
              <w:left w:val="nil"/>
              <w:bottom w:val="single" w:sz="4" w:space="0" w:color="auto"/>
              <w:right w:val="single" w:sz="4" w:space="0" w:color="auto"/>
            </w:tcBorders>
            <w:shd w:val="clear" w:color="auto" w:fill="auto"/>
            <w:noWrap/>
            <w:vAlign w:val="center"/>
            <w:hideMark/>
          </w:tcPr>
          <w:p w14:paraId="3D6578C2"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162</w:t>
            </w:r>
          </w:p>
        </w:tc>
        <w:tc>
          <w:tcPr>
            <w:tcW w:w="527" w:type="pct"/>
            <w:tcBorders>
              <w:top w:val="nil"/>
              <w:left w:val="nil"/>
              <w:bottom w:val="single" w:sz="4" w:space="0" w:color="auto"/>
              <w:right w:val="single" w:sz="4" w:space="0" w:color="auto"/>
            </w:tcBorders>
            <w:shd w:val="clear" w:color="auto" w:fill="auto"/>
            <w:noWrap/>
            <w:vAlign w:val="center"/>
            <w:hideMark/>
          </w:tcPr>
          <w:p w14:paraId="78D66C6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133</w:t>
            </w:r>
          </w:p>
        </w:tc>
        <w:tc>
          <w:tcPr>
            <w:tcW w:w="642" w:type="pct"/>
            <w:tcBorders>
              <w:top w:val="nil"/>
              <w:left w:val="nil"/>
              <w:bottom w:val="single" w:sz="4" w:space="0" w:color="auto"/>
              <w:right w:val="single" w:sz="4" w:space="0" w:color="auto"/>
            </w:tcBorders>
            <w:shd w:val="clear" w:color="auto" w:fill="auto"/>
            <w:noWrap/>
            <w:vAlign w:val="center"/>
            <w:hideMark/>
          </w:tcPr>
          <w:p w14:paraId="5509F25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136.3</w:t>
            </w:r>
          </w:p>
        </w:tc>
        <w:tc>
          <w:tcPr>
            <w:tcW w:w="702" w:type="pct"/>
            <w:tcBorders>
              <w:top w:val="nil"/>
              <w:left w:val="nil"/>
              <w:bottom w:val="single" w:sz="4" w:space="0" w:color="auto"/>
              <w:right w:val="single" w:sz="4" w:space="0" w:color="auto"/>
            </w:tcBorders>
            <w:shd w:val="clear" w:color="auto" w:fill="auto"/>
            <w:noWrap/>
            <w:vAlign w:val="center"/>
            <w:hideMark/>
          </w:tcPr>
          <w:p w14:paraId="79A34A6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147.42</w:t>
            </w:r>
          </w:p>
        </w:tc>
        <w:tc>
          <w:tcPr>
            <w:tcW w:w="607" w:type="pct"/>
            <w:tcBorders>
              <w:top w:val="nil"/>
              <w:left w:val="nil"/>
              <w:bottom w:val="single" w:sz="4" w:space="0" w:color="auto"/>
              <w:right w:val="single" w:sz="4" w:space="0" w:color="auto"/>
            </w:tcBorders>
            <w:shd w:val="clear" w:color="auto" w:fill="auto"/>
            <w:noWrap/>
            <w:vAlign w:val="center"/>
            <w:hideMark/>
          </w:tcPr>
          <w:p w14:paraId="086B086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21.42</w:t>
            </w:r>
          </w:p>
        </w:tc>
      </w:tr>
      <w:tr w:rsidR="000C013D" w:rsidRPr="0049079C" w14:paraId="1D0D48FC" w14:textId="77777777" w:rsidTr="00033295">
        <w:trPr>
          <w:trHeight w:val="287"/>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1112A0C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Mean</w:t>
            </w:r>
          </w:p>
        </w:tc>
        <w:tc>
          <w:tcPr>
            <w:tcW w:w="530" w:type="pct"/>
            <w:tcBorders>
              <w:top w:val="nil"/>
              <w:left w:val="nil"/>
              <w:bottom w:val="single" w:sz="4" w:space="0" w:color="auto"/>
              <w:right w:val="single" w:sz="4" w:space="0" w:color="auto"/>
            </w:tcBorders>
            <w:shd w:val="clear" w:color="auto" w:fill="auto"/>
            <w:noWrap/>
            <w:vAlign w:val="center"/>
            <w:hideMark/>
          </w:tcPr>
          <w:p w14:paraId="12AEFE0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173</w:t>
            </w:r>
          </w:p>
        </w:tc>
        <w:tc>
          <w:tcPr>
            <w:tcW w:w="513" w:type="pct"/>
            <w:tcBorders>
              <w:top w:val="nil"/>
              <w:left w:val="nil"/>
              <w:bottom w:val="single" w:sz="4" w:space="0" w:color="auto"/>
              <w:right w:val="single" w:sz="4" w:space="0" w:color="auto"/>
            </w:tcBorders>
            <w:shd w:val="clear" w:color="auto" w:fill="auto"/>
            <w:noWrap/>
            <w:vAlign w:val="center"/>
            <w:hideMark/>
          </w:tcPr>
          <w:p w14:paraId="5E546FE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129</w:t>
            </w:r>
          </w:p>
        </w:tc>
        <w:tc>
          <w:tcPr>
            <w:tcW w:w="513" w:type="pct"/>
            <w:tcBorders>
              <w:top w:val="nil"/>
              <w:left w:val="nil"/>
              <w:bottom w:val="single" w:sz="4" w:space="0" w:color="auto"/>
              <w:right w:val="single" w:sz="4" w:space="0" w:color="auto"/>
            </w:tcBorders>
            <w:shd w:val="clear" w:color="auto" w:fill="auto"/>
            <w:noWrap/>
            <w:vAlign w:val="center"/>
            <w:hideMark/>
          </w:tcPr>
          <w:p w14:paraId="685568C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163</w:t>
            </w:r>
          </w:p>
        </w:tc>
        <w:tc>
          <w:tcPr>
            <w:tcW w:w="527" w:type="pct"/>
            <w:tcBorders>
              <w:top w:val="nil"/>
              <w:left w:val="nil"/>
              <w:bottom w:val="single" w:sz="4" w:space="0" w:color="auto"/>
              <w:right w:val="single" w:sz="4" w:space="0" w:color="auto"/>
            </w:tcBorders>
            <w:shd w:val="clear" w:color="auto" w:fill="auto"/>
            <w:noWrap/>
            <w:vAlign w:val="center"/>
            <w:hideMark/>
          </w:tcPr>
          <w:p w14:paraId="2FA06F4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124</w:t>
            </w:r>
          </w:p>
        </w:tc>
        <w:tc>
          <w:tcPr>
            <w:tcW w:w="642" w:type="pct"/>
            <w:tcBorders>
              <w:top w:val="nil"/>
              <w:left w:val="nil"/>
              <w:bottom w:val="single" w:sz="4" w:space="0" w:color="auto"/>
              <w:right w:val="single" w:sz="4" w:space="0" w:color="auto"/>
            </w:tcBorders>
            <w:shd w:val="clear" w:color="auto" w:fill="auto"/>
            <w:noWrap/>
            <w:vAlign w:val="center"/>
            <w:hideMark/>
          </w:tcPr>
          <w:p w14:paraId="38DAF03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125</w:t>
            </w:r>
          </w:p>
        </w:tc>
        <w:tc>
          <w:tcPr>
            <w:tcW w:w="702" w:type="pct"/>
            <w:tcBorders>
              <w:top w:val="nil"/>
              <w:left w:val="nil"/>
              <w:bottom w:val="single" w:sz="4" w:space="0" w:color="auto"/>
              <w:right w:val="single" w:sz="4" w:space="0" w:color="auto"/>
            </w:tcBorders>
            <w:shd w:val="clear" w:color="auto" w:fill="auto"/>
            <w:noWrap/>
            <w:vAlign w:val="center"/>
            <w:hideMark/>
          </w:tcPr>
          <w:p w14:paraId="423DF82C" w14:textId="0682D78D"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c>
          <w:tcPr>
            <w:tcW w:w="607" w:type="pct"/>
            <w:tcBorders>
              <w:top w:val="nil"/>
              <w:left w:val="nil"/>
              <w:bottom w:val="single" w:sz="4" w:space="0" w:color="auto"/>
              <w:right w:val="single" w:sz="4" w:space="0" w:color="auto"/>
            </w:tcBorders>
            <w:shd w:val="clear" w:color="auto" w:fill="auto"/>
            <w:noWrap/>
            <w:vAlign w:val="center"/>
            <w:hideMark/>
          </w:tcPr>
          <w:p w14:paraId="5E667E6F" w14:textId="6493E61B"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r>
      <w:tr w:rsidR="000C013D" w:rsidRPr="0049079C" w14:paraId="5A91F12F" w14:textId="77777777" w:rsidTr="00841F47">
        <w:trPr>
          <w:trHeight w:val="269"/>
        </w:trPr>
        <w:tc>
          <w:tcPr>
            <w:tcW w:w="965" w:type="pct"/>
            <w:tcBorders>
              <w:top w:val="nil"/>
              <w:left w:val="single" w:sz="4" w:space="0" w:color="auto"/>
              <w:bottom w:val="single" w:sz="4" w:space="0" w:color="auto"/>
              <w:right w:val="single" w:sz="4" w:space="0" w:color="auto"/>
            </w:tcBorders>
            <w:shd w:val="clear" w:color="auto" w:fill="auto"/>
            <w:noWrap/>
            <w:vAlign w:val="center"/>
            <w:hideMark/>
          </w:tcPr>
          <w:p w14:paraId="21B5AB2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roofErr w:type="gramStart"/>
            <w:r w:rsidRPr="0049079C">
              <w:rPr>
                <w:rFonts w:ascii="Times New Roman" w:eastAsia="Times New Roman" w:hAnsi="Times New Roman" w:cs="Times New Roman"/>
                <w:color w:val="000000"/>
                <w:sz w:val="24"/>
                <w:szCs w:val="24"/>
              </w:rPr>
              <w:t>S.D</w:t>
            </w:r>
            <w:proofErr w:type="gramEnd"/>
          </w:p>
        </w:tc>
        <w:tc>
          <w:tcPr>
            <w:tcW w:w="530" w:type="pct"/>
            <w:tcBorders>
              <w:top w:val="nil"/>
              <w:left w:val="nil"/>
              <w:bottom w:val="single" w:sz="4" w:space="0" w:color="auto"/>
              <w:right w:val="single" w:sz="4" w:space="0" w:color="auto"/>
            </w:tcBorders>
            <w:shd w:val="clear" w:color="auto" w:fill="auto"/>
            <w:noWrap/>
            <w:vAlign w:val="center"/>
            <w:hideMark/>
          </w:tcPr>
          <w:p w14:paraId="517425E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12.2</w:t>
            </w:r>
          </w:p>
        </w:tc>
        <w:tc>
          <w:tcPr>
            <w:tcW w:w="513" w:type="pct"/>
            <w:tcBorders>
              <w:top w:val="nil"/>
              <w:left w:val="nil"/>
              <w:bottom w:val="single" w:sz="4" w:space="0" w:color="auto"/>
              <w:right w:val="single" w:sz="4" w:space="0" w:color="auto"/>
            </w:tcBorders>
            <w:shd w:val="clear" w:color="auto" w:fill="auto"/>
            <w:noWrap/>
            <w:vAlign w:val="center"/>
            <w:hideMark/>
          </w:tcPr>
          <w:p w14:paraId="6FDED8D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10.7</w:t>
            </w:r>
          </w:p>
        </w:tc>
        <w:tc>
          <w:tcPr>
            <w:tcW w:w="513" w:type="pct"/>
            <w:tcBorders>
              <w:top w:val="nil"/>
              <w:left w:val="nil"/>
              <w:bottom w:val="single" w:sz="4" w:space="0" w:color="auto"/>
              <w:right w:val="single" w:sz="4" w:space="0" w:color="auto"/>
            </w:tcBorders>
            <w:shd w:val="clear" w:color="auto" w:fill="auto"/>
            <w:noWrap/>
            <w:vAlign w:val="center"/>
            <w:hideMark/>
          </w:tcPr>
          <w:p w14:paraId="5332C79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13.3</w:t>
            </w:r>
          </w:p>
        </w:tc>
        <w:tc>
          <w:tcPr>
            <w:tcW w:w="527" w:type="pct"/>
            <w:tcBorders>
              <w:top w:val="nil"/>
              <w:left w:val="nil"/>
              <w:bottom w:val="single" w:sz="4" w:space="0" w:color="auto"/>
              <w:right w:val="single" w:sz="4" w:space="0" w:color="auto"/>
            </w:tcBorders>
            <w:shd w:val="clear" w:color="auto" w:fill="auto"/>
            <w:noWrap/>
            <w:vAlign w:val="center"/>
            <w:hideMark/>
          </w:tcPr>
          <w:p w14:paraId="5E1ED68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7.55</w:t>
            </w:r>
          </w:p>
        </w:tc>
        <w:tc>
          <w:tcPr>
            <w:tcW w:w="642" w:type="pct"/>
            <w:tcBorders>
              <w:top w:val="nil"/>
              <w:left w:val="nil"/>
              <w:bottom w:val="single" w:sz="4" w:space="0" w:color="auto"/>
              <w:right w:val="single" w:sz="4" w:space="0" w:color="auto"/>
            </w:tcBorders>
            <w:shd w:val="clear" w:color="auto" w:fill="auto"/>
            <w:noWrap/>
            <w:vAlign w:val="center"/>
            <w:hideMark/>
          </w:tcPr>
          <w:p w14:paraId="6018AC2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9.374</w:t>
            </w:r>
          </w:p>
        </w:tc>
        <w:tc>
          <w:tcPr>
            <w:tcW w:w="702" w:type="pct"/>
            <w:tcBorders>
              <w:top w:val="nil"/>
              <w:left w:val="nil"/>
              <w:bottom w:val="single" w:sz="4" w:space="0" w:color="auto"/>
              <w:right w:val="single" w:sz="4" w:space="0" w:color="auto"/>
            </w:tcBorders>
            <w:shd w:val="clear" w:color="auto" w:fill="auto"/>
            <w:noWrap/>
            <w:vAlign w:val="center"/>
            <w:hideMark/>
          </w:tcPr>
          <w:p w14:paraId="2D90DCA3" w14:textId="18EF8841"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c>
          <w:tcPr>
            <w:tcW w:w="607" w:type="pct"/>
            <w:tcBorders>
              <w:top w:val="nil"/>
              <w:left w:val="nil"/>
              <w:bottom w:val="single" w:sz="4" w:space="0" w:color="auto"/>
              <w:right w:val="single" w:sz="4" w:space="0" w:color="auto"/>
            </w:tcBorders>
            <w:shd w:val="clear" w:color="auto" w:fill="auto"/>
            <w:noWrap/>
            <w:vAlign w:val="center"/>
            <w:hideMark/>
          </w:tcPr>
          <w:p w14:paraId="296D20D9" w14:textId="384AF56A"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r>
    </w:tbl>
    <w:p w14:paraId="29EB9C1B" w14:textId="3F4D6EE7" w:rsidR="0028754C" w:rsidRPr="0028754C" w:rsidRDefault="0028754C" w:rsidP="0028754C">
      <w:pPr>
        <w:spacing w:before="240" w:after="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9" w:name="_Hlk81848899"/>
      <w:r w:rsidRPr="0028754C">
        <w:rPr>
          <w:rFonts w:ascii="Times New Roman" w:hAnsi="Times New Roman" w:cs="Times New Roman"/>
          <w:color w:val="000000" w:themeColor="text1"/>
          <w:sz w:val="24"/>
          <w:szCs w:val="24"/>
        </w:rPr>
        <w:t xml:space="preserve">Source: </w:t>
      </w:r>
      <w:r w:rsidRPr="0028754C">
        <w:rPr>
          <w:rFonts w:ascii="Times New Roman" w:hAnsi="Times New Roman" w:cs="Times New Roman"/>
          <w:i/>
          <w:color w:val="000000" w:themeColor="text1"/>
          <w:sz w:val="24"/>
          <w:szCs w:val="24"/>
        </w:rPr>
        <w:t>Annual Report of concern Banks</w:t>
      </w:r>
    </w:p>
    <w:bookmarkEnd w:id="9"/>
    <w:p w14:paraId="104C099B"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4.5 shows that the book value per share increased from Rs.161 to Rs.182 for NIBL from Rs.113 to Rs.133 for GIBL, from Rs113.2 to Rs.136.3 for NMBL. However, the average book value per share has decreased from Rs.148 to Rs.124 for KBL, from Rs.168 to Rs.162 for HBL.</w:t>
      </w:r>
    </w:p>
    <w:p w14:paraId="50193076"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variation in book value per share as indicated by SD is lowest for GIBL followed by NMBL, However, the highest SD for book value per share is for HBL. Similarly, BVPS fluctuated far and wide from year to year. The computation of SD shows that variation in BVPS is lowest 2071/72 and highest in 2069/70.</w:t>
      </w:r>
    </w:p>
    <w:p w14:paraId="7164FEB3" w14:textId="1315CA44" w:rsidR="000C013D" w:rsidRDefault="000C013D" w:rsidP="00444603">
      <w:pPr>
        <w:spacing w:before="240" w:after="240" w:line="384" w:lineRule="auto"/>
        <w:jc w:val="both"/>
        <w:rPr>
          <w:rFonts w:ascii="Times New Roman" w:hAnsi="Times New Roman" w:cs="Times New Roman"/>
          <w:color w:val="000000" w:themeColor="text1"/>
          <w:sz w:val="28"/>
          <w:szCs w:val="28"/>
        </w:rPr>
      </w:pPr>
    </w:p>
    <w:p w14:paraId="45FD5FCE" w14:textId="24513828" w:rsidR="00605D3E" w:rsidRDefault="00605D3E" w:rsidP="00444603">
      <w:pPr>
        <w:spacing w:before="240" w:after="240" w:line="384" w:lineRule="auto"/>
        <w:jc w:val="both"/>
        <w:rPr>
          <w:rFonts w:ascii="Times New Roman" w:hAnsi="Times New Roman" w:cs="Times New Roman"/>
          <w:color w:val="000000" w:themeColor="text1"/>
          <w:sz w:val="28"/>
          <w:szCs w:val="28"/>
        </w:rPr>
      </w:pPr>
    </w:p>
    <w:p w14:paraId="5AE41399" w14:textId="7AD0AFD7" w:rsidR="00605D3E" w:rsidRDefault="00605D3E" w:rsidP="00444603">
      <w:pPr>
        <w:spacing w:before="240" w:after="240" w:line="384" w:lineRule="auto"/>
        <w:jc w:val="both"/>
        <w:rPr>
          <w:rFonts w:ascii="Times New Roman" w:hAnsi="Times New Roman" w:cs="Times New Roman"/>
          <w:color w:val="000000" w:themeColor="text1"/>
          <w:sz w:val="28"/>
          <w:szCs w:val="28"/>
        </w:rPr>
      </w:pPr>
    </w:p>
    <w:p w14:paraId="32F6D473" w14:textId="424117AB" w:rsidR="00605D3E" w:rsidRDefault="00605D3E" w:rsidP="00444603">
      <w:pPr>
        <w:spacing w:before="240" w:after="240" w:line="384" w:lineRule="auto"/>
        <w:jc w:val="both"/>
        <w:rPr>
          <w:rFonts w:ascii="Times New Roman" w:hAnsi="Times New Roman" w:cs="Times New Roman"/>
          <w:color w:val="000000" w:themeColor="text1"/>
          <w:sz w:val="28"/>
          <w:szCs w:val="28"/>
        </w:rPr>
      </w:pPr>
    </w:p>
    <w:p w14:paraId="5635D76F" w14:textId="6A968EC5" w:rsidR="00605D3E" w:rsidRDefault="00605D3E" w:rsidP="00444603">
      <w:pPr>
        <w:spacing w:before="240" w:after="240" w:line="384" w:lineRule="auto"/>
        <w:jc w:val="both"/>
        <w:rPr>
          <w:rFonts w:ascii="Times New Roman" w:hAnsi="Times New Roman" w:cs="Times New Roman"/>
          <w:color w:val="000000" w:themeColor="text1"/>
          <w:sz w:val="28"/>
          <w:szCs w:val="28"/>
        </w:rPr>
      </w:pPr>
    </w:p>
    <w:p w14:paraId="2CF0066A" w14:textId="2B8B9EF0" w:rsidR="00605D3E" w:rsidRPr="00605D3E" w:rsidRDefault="00605D3E" w:rsidP="00444603">
      <w:pPr>
        <w:spacing w:before="240" w:after="240" w:line="384" w:lineRule="auto"/>
        <w:jc w:val="both"/>
        <w:rPr>
          <w:rFonts w:ascii="Times New Roman" w:hAnsi="Times New Roman" w:cs="Times New Roman"/>
          <w:b/>
          <w:bCs/>
          <w:color w:val="000000" w:themeColor="text1"/>
          <w:sz w:val="24"/>
          <w:szCs w:val="24"/>
        </w:rPr>
      </w:pPr>
      <w:r w:rsidRPr="00605D3E">
        <w:rPr>
          <w:rFonts w:ascii="Times New Roman" w:hAnsi="Times New Roman" w:cs="Times New Roman"/>
          <w:b/>
          <w:bCs/>
          <w:color w:val="000000" w:themeColor="text1"/>
          <w:sz w:val="24"/>
          <w:szCs w:val="24"/>
        </w:rPr>
        <w:lastRenderedPageBreak/>
        <w:t>Figure 4.5 shows average return on assets of different commercial banks of Nepal.</w:t>
      </w:r>
    </w:p>
    <w:p w14:paraId="4A8BFF14" w14:textId="77777777" w:rsidR="000C013D" w:rsidRPr="00143B41" w:rsidRDefault="000C013D" w:rsidP="00444603">
      <w:pPr>
        <w:spacing w:before="240" w:after="240" w:line="384" w:lineRule="auto"/>
        <w:jc w:val="both"/>
        <w:rPr>
          <w:rFonts w:ascii="Times New Roman" w:hAnsi="Times New Roman" w:cs="Times New Roman"/>
          <w:noProof/>
          <w:color w:val="000000" w:themeColor="text1"/>
          <w:sz w:val="28"/>
          <w:szCs w:val="28"/>
        </w:rPr>
      </w:pPr>
      <w:r w:rsidRPr="00143B41">
        <w:rPr>
          <w:rFonts w:ascii="Times New Roman" w:hAnsi="Times New Roman" w:cs="Times New Roman"/>
          <w:noProof/>
          <w:color w:val="000000" w:themeColor="text1"/>
          <w:sz w:val="28"/>
          <w:szCs w:val="28"/>
          <w:lang w:bidi="ne-NP"/>
        </w:rPr>
        <w:drawing>
          <wp:inline distT="0" distB="0" distL="0" distR="0" wp14:anchorId="75AC64FD" wp14:editId="71AB2695">
            <wp:extent cx="5486400" cy="2488019"/>
            <wp:effectExtent l="19050" t="0" r="19050" b="7531"/>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0814F18" w14:textId="77777777" w:rsidR="000C013D" w:rsidRPr="00143B41" w:rsidRDefault="000C013D" w:rsidP="00444603">
      <w:pPr>
        <w:spacing w:before="240" w:after="240" w:line="384" w:lineRule="auto"/>
        <w:jc w:val="both"/>
        <w:rPr>
          <w:rFonts w:ascii="Times New Roman" w:hAnsi="Times New Roman" w:cs="Times New Roman"/>
          <w:noProof/>
          <w:color w:val="000000" w:themeColor="text1"/>
          <w:sz w:val="24"/>
          <w:szCs w:val="24"/>
        </w:rPr>
      </w:pPr>
      <w:r w:rsidRPr="00143B41">
        <w:rPr>
          <w:rFonts w:ascii="Times New Roman" w:hAnsi="Times New Roman" w:cs="Times New Roman"/>
          <w:noProof/>
          <w:color w:val="000000" w:themeColor="text1"/>
          <w:sz w:val="24"/>
          <w:szCs w:val="24"/>
        </w:rPr>
        <w:t xml:space="preserve">The pattern of book value per share of Nepalese commercial banks shows fluctuation. Nepalese commercial banks has decreased sharply from 2068/69 to 2071/72. However, it has increased sharply from 2071/72 to 2075/76. From the graph, it is observed that the aveage minimum BVPS is Rs.134.53 in the year 2071/72 and average maximum BVPS is Rs.148.33 in the year 2074/75. Overal, this figure shows that the book value per share is in fluctuation trend of Nepalese commercial banks. </w:t>
      </w:r>
    </w:p>
    <w:p w14:paraId="2BC44EEB"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4.6 Market price per share</w:t>
      </w:r>
    </w:p>
    <w:p w14:paraId="2514694F"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stock prices for the period of 2068/69 to 2075/76 has been presented in Table 4.6. Table 4.6 shows that the average stock prices highest for HBL (834.75 rupees), followed by NIBL (748.13 rupees) &amp; lowest for the KBL (319.75 rupees). The average stock prices computed across the year has fluctuated widely over a period of time. The average stock price is in increasing trend till year 2072/73 and then decreases.</w:t>
      </w:r>
    </w:p>
    <w:p w14:paraId="1B18D0AC"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Table 4.6 shows that the stock price varies widely within individually banks also. Most of the banks have increasing stock price up in year 2072/73 and then decreases. The stock </w:t>
      </w:r>
      <w:r w:rsidRPr="00143B41">
        <w:rPr>
          <w:rFonts w:ascii="Times New Roman" w:hAnsi="Times New Roman" w:cs="Times New Roman"/>
          <w:color w:val="000000" w:themeColor="text1"/>
          <w:sz w:val="24"/>
          <w:szCs w:val="24"/>
        </w:rPr>
        <w:lastRenderedPageBreak/>
        <w:t>prices of NIBL increases to 1054 rupees in year 2072/73 from 511 rupees in year 2068/69 and then decreases to 520 rupees in year 2075/76.</w:t>
      </w:r>
    </w:p>
    <w:p w14:paraId="220A0937" w14:textId="777777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On the other hand, the stock price of HBL has increased slightly. Moreover, the stock price of NMBL is in fluctuating trend over the period. The average stock price of selected bank is highest for year 2072/73 and is lowest for year 2068/69 i.e., 353.2 rupees. The variation in stock prices as indicated by SD is lowest for KBL and is highest for HBL.</w:t>
      </w:r>
    </w:p>
    <w:p w14:paraId="66DADA1D" w14:textId="3C1E862F" w:rsidR="00120162" w:rsidRPr="00C37A15" w:rsidRDefault="00120162" w:rsidP="00C37A15">
      <w:pPr>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Table no. 4.6: Market price per share of Banks under study of financial indicators.</w:t>
      </w:r>
    </w:p>
    <w:tbl>
      <w:tblPr>
        <w:tblW w:w="5000" w:type="pct"/>
        <w:tblLook w:val="04A0" w:firstRow="1" w:lastRow="0" w:firstColumn="1" w:lastColumn="0" w:noHBand="0" w:noVBand="1"/>
      </w:tblPr>
      <w:tblGrid>
        <w:gridCol w:w="1396"/>
        <w:gridCol w:w="1017"/>
        <w:gridCol w:w="1017"/>
        <w:gridCol w:w="1176"/>
        <w:gridCol w:w="1017"/>
        <w:gridCol w:w="1017"/>
        <w:gridCol w:w="1201"/>
        <w:gridCol w:w="1015"/>
      </w:tblGrid>
      <w:tr w:rsidR="000C013D" w:rsidRPr="0049079C" w14:paraId="305D21BF" w14:textId="77777777" w:rsidTr="00841F47">
        <w:trPr>
          <w:trHeight w:val="144"/>
        </w:trPr>
        <w:tc>
          <w:tcPr>
            <w:tcW w:w="78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EE7B73"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Year/Bank</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7C02E0B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NIBL</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1573A2B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KBL</w:t>
            </w:r>
          </w:p>
        </w:tc>
        <w:tc>
          <w:tcPr>
            <w:tcW w:w="664" w:type="pct"/>
            <w:tcBorders>
              <w:top w:val="single" w:sz="4" w:space="0" w:color="auto"/>
              <w:left w:val="nil"/>
              <w:bottom w:val="single" w:sz="4" w:space="0" w:color="auto"/>
              <w:right w:val="single" w:sz="4" w:space="0" w:color="auto"/>
            </w:tcBorders>
            <w:shd w:val="clear" w:color="auto" w:fill="auto"/>
            <w:noWrap/>
            <w:vAlign w:val="center"/>
            <w:hideMark/>
          </w:tcPr>
          <w:p w14:paraId="10366FB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HBL</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1369B26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GIBL</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58ECEB5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NMBL</w:t>
            </w:r>
          </w:p>
        </w:tc>
        <w:tc>
          <w:tcPr>
            <w:tcW w:w="678" w:type="pct"/>
            <w:tcBorders>
              <w:top w:val="single" w:sz="4" w:space="0" w:color="auto"/>
              <w:left w:val="nil"/>
              <w:bottom w:val="single" w:sz="4" w:space="0" w:color="auto"/>
              <w:right w:val="single" w:sz="4" w:space="0" w:color="auto"/>
            </w:tcBorders>
            <w:shd w:val="clear" w:color="auto" w:fill="auto"/>
            <w:noWrap/>
            <w:vAlign w:val="center"/>
            <w:hideMark/>
          </w:tcPr>
          <w:p w14:paraId="140E0423"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Mean</w:t>
            </w:r>
          </w:p>
        </w:tc>
        <w:tc>
          <w:tcPr>
            <w:tcW w:w="573" w:type="pct"/>
            <w:tcBorders>
              <w:top w:val="single" w:sz="4" w:space="0" w:color="auto"/>
              <w:left w:val="nil"/>
              <w:bottom w:val="single" w:sz="4" w:space="0" w:color="auto"/>
              <w:right w:val="single" w:sz="4" w:space="0" w:color="auto"/>
            </w:tcBorders>
            <w:shd w:val="clear" w:color="auto" w:fill="auto"/>
            <w:noWrap/>
            <w:vAlign w:val="center"/>
            <w:hideMark/>
          </w:tcPr>
          <w:p w14:paraId="78C172C7"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roofErr w:type="gramStart"/>
            <w:r w:rsidRPr="0049079C">
              <w:rPr>
                <w:rFonts w:ascii="Times New Roman" w:eastAsia="Times New Roman" w:hAnsi="Times New Roman" w:cs="Times New Roman"/>
                <w:color w:val="000000"/>
                <w:sz w:val="24"/>
                <w:szCs w:val="24"/>
              </w:rPr>
              <w:t>S.D</w:t>
            </w:r>
            <w:proofErr w:type="gramEnd"/>
          </w:p>
        </w:tc>
      </w:tr>
      <w:tr w:rsidR="000C013D" w:rsidRPr="0049079C" w14:paraId="435119AB"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7FE4742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2068/69</w:t>
            </w:r>
          </w:p>
        </w:tc>
        <w:tc>
          <w:tcPr>
            <w:tcW w:w="574" w:type="pct"/>
            <w:tcBorders>
              <w:top w:val="nil"/>
              <w:left w:val="nil"/>
              <w:bottom w:val="single" w:sz="4" w:space="0" w:color="auto"/>
              <w:right w:val="single" w:sz="4" w:space="0" w:color="auto"/>
            </w:tcBorders>
            <w:shd w:val="clear" w:color="auto" w:fill="auto"/>
            <w:noWrap/>
            <w:vAlign w:val="center"/>
            <w:hideMark/>
          </w:tcPr>
          <w:p w14:paraId="7A47E45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511</w:t>
            </w:r>
          </w:p>
        </w:tc>
        <w:tc>
          <w:tcPr>
            <w:tcW w:w="574" w:type="pct"/>
            <w:tcBorders>
              <w:top w:val="nil"/>
              <w:left w:val="nil"/>
              <w:bottom w:val="single" w:sz="4" w:space="0" w:color="auto"/>
              <w:right w:val="single" w:sz="4" w:space="0" w:color="auto"/>
            </w:tcBorders>
            <w:shd w:val="clear" w:color="auto" w:fill="auto"/>
            <w:noWrap/>
            <w:vAlign w:val="center"/>
            <w:hideMark/>
          </w:tcPr>
          <w:p w14:paraId="33109DA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246</w:t>
            </w:r>
          </w:p>
        </w:tc>
        <w:tc>
          <w:tcPr>
            <w:tcW w:w="664" w:type="pct"/>
            <w:tcBorders>
              <w:top w:val="nil"/>
              <w:left w:val="nil"/>
              <w:bottom w:val="single" w:sz="4" w:space="0" w:color="auto"/>
              <w:right w:val="single" w:sz="4" w:space="0" w:color="auto"/>
            </w:tcBorders>
            <w:shd w:val="clear" w:color="auto" w:fill="auto"/>
            <w:noWrap/>
            <w:vAlign w:val="center"/>
            <w:hideMark/>
          </w:tcPr>
          <w:p w14:paraId="1F7BD4E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653</w:t>
            </w:r>
          </w:p>
        </w:tc>
        <w:tc>
          <w:tcPr>
            <w:tcW w:w="574" w:type="pct"/>
            <w:tcBorders>
              <w:top w:val="nil"/>
              <w:left w:val="nil"/>
              <w:bottom w:val="single" w:sz="4" w:space="0" w:color="auto"/>
              <w:right w:val="single" w:sz="4" w:space="0" w:color="auto"/>
            </w:tcBorders>
            <w:shd w:val="clear" w:color="auto" w:fill="auto"/>
            <w:noWrap/>
            <w:vAlign w:val="center"/>
            <w:hideMark/>
          </w:tcPr>
          <w:p w14:paraId="6CA24F5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175</w:t>
            </w:r>
          </w:p>
        </w:tc>
        <w:tc>
          <w:tcPr>
            <w:tcW w:w="574" w:type="pct"/>
            <w:tcBorders>
              <w:top w:val="nil"/>
              <w:left w:val="nil"/>
              <w:bottom w:val="single" w:sz="4" w:space="0" w:color="auto"/>
              <w:right w:val="single" w:sz="4" w:space="0" w:color="auto"/>
            </w:tcBorders>
            <w:shd w:val="clear" w:color="auto" w:fill="auto"/>
            <w:noWrap/>
            <w:vAlign w:val="center"/>
            <w:hideMark/>
          </w:tcPr>
          <w:p w14:paraId="29CBB99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181</w:t>
            </w:r>
          </w:p>
        </w:tc>
        <w:tc>
          <w:tcPr>
            <w:tcW w:w="678" w:type="pct"/>
            <w:tcBorders>
              <w:top w:val="nil"/>
              <w:left w:val="nil"/>
              <w:bottom w:val="single" w:sz="4" w:space="0" w:color="auto"/>
              <w:right w:val="single" w:sz="4" w:space="0" w:color="auto"/>
            </w:tcBorders>
            <w:shd w:val="clear" w:color="auto" w:fill="auto"/>
            <w:noWrap/>
            <w:vAlign w:val="center"/>
            <w:hideMark/>
          </w:tcPr>
          <w:p w14:paraId="079CAE9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353.20</w:t>
            </w:r>
          </w:p>
        </w:tc>
        <w:tc>
          <w:tcPr>
            <w:tcW w:w="573" w:type="pct"/>
            <w:tcBorders>
              <w:top w:val="nil"/>
              <w:left w:val="nil"/>
              <w:bottom w:val="single" w:sz="4" w:space="0" w:color="auto"/>
              <w:right w:val="single" w:sz="4" w:space="0" w:color="auto"/>
            </w:tcBorders>
            <w:shd w:val="clear" w:color="auto" w:fill="auto"/>
            <w:noWrap/>
            <w:vAlign w:val="center"/>
            <w:hideMark/>
          </w:tcPr>
          <w:p w14:paraId="20E3195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193.74</w:t>
            </w:r>
          </w:p>
        </w:tc>
      </w:tr>
      <w:tr w:rsidR="000C013D" w:rsidRPr="0049079C" w14:paraId="20DF26AB"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19528BE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2069/70</w:t>
            </w:r>
          </w:p>
        </w:tc>
        <w:tc>
          <w:tcPr>
            <w:tcW w:w="574" w:type="pct"/>
            <w:tcBorders>
              <w:top w:val="nil"/>
              <w:left w:val="nil"/>
              <w:bottom w:val="single" w:sz="4" w:space="0" w:color="auto"/>
              <w:right w:val="single" w:sz="4" w:space="0" w:color="auto"/>
            </w:tcBorders>
            <w:shd w:val="clear" w:color="auto" w:fill="auto"/>
            <w:noWrap/>
            <w:vAlign w:val="center"/>
            <w:hideMark/>
          </w:tcPr>
          <w:p w14:paraId="0ECD6A5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790</w:t>
            </w:r>
          </w:p>
        </w:tc>
        <w:tc>
          <w:tcPr>
            <w:tcW w:w="574" w:type="pct"/>
            <w:tcBorders>
              <w:top w:val="nil"/>
              <w:left w:val="nil"/>
              <w:bottom w:val="single" w:sz="4" w:space="0" w:color="auto"/>
              <w:right w:val="single" w:sz="4" w:space="0" w:color="auto"/>
            </w:tcBorders>
            <w:shd w:val="clear" w:color="auto" w:fill="auto"/>
            <w:noWrap/>
            <w:vAlign w:val="center"/>
            <w:hideMark/>
          </w:tcPr>
          <w:p w14:paraId="7975748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260</w:t>
            </w:r>
          </w:p>
        </w:tc>
        <w:tc>
          <w:tcPr>
            <w:tcW w:w="664" w:type="pct"/>
            <w:tcBorders>
              <w:top w:val="nil"/>
              <w:left w:val="nil"/>
              <w:bottom w:val="single" w:sz="4" w:space="0" w:color="auto"/>
              <w:right w:val="single" w:sz="4" w:space="0" w:color="auto"/>
            </w:tcBorders>
            <w:shd w:val="clear" w:color="auto" w:fill="auto"/>
            <w:noWrap/>
            <w:vAlign w:val="center"/>
            <w:hideMark/>
          </w:tcPr>
          <w:p w14:paraId="2A035E1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700</w:t>
            </w:r>
          </w:p>
        </w:tc>
        <w:tc>
          <w:tcPr>
            <w:tcW w:w="574" w:type="pct"/>
            <w:tcBorders>
              <w:top w:val="nil"/>
              <w:left w:val="nil"/>
              <w:bottom w:val="single" w:sz="4" w:space="0" w:color="auto"/>
              <w:right w:val="single" w:sz="4" w:space="0" w:color="auto"/>
            </w:tcBorders>
            <w:shd w:val="clear" w:color="auto" w:fill="auto"/>
            <w:noWrap/>
            <w:vAlign w:val="center"/>
            <w:hideMark/>
          </w:tcPr>
          <w:p w14:paraId="5E3D817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442</w:t>
            </w:r>
          </w:p>
        </w:tc>
        <w:tc>
          <w:tcPr>
            <w:tcW w:w="574" w:type="pct"/>
            <w:tcBorders>
              <w:top w:val="nil"/>
              <w:left w:val="nil"/>
              <w:bottom w:val="single" w:sz="4" w:space="0" w:color="auto"/>
              <w:right w:val="single" w:sz="4" w:space="0" w:color="auto"/>
            </w:tcBorders>
            <w:shd w:val="clear" w:color="auto" w:fill="auto"/>
            <w:noWrap/>
            <w:vAlign w:val="center"/>
            <w:hideMark/>
          </w:tcPr>
          <w:p w14:paraId="789D1F73"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255</w:t>
            </w:r>
          </w:p>
        </w:tc>
        <w:tc>
          <w:tcPr>
            <w:tcW w:w="678" w:type="pct"/>
            <w:tcBorders>
              <w:top w:val="nil"/>
              <w:left w:val="nil"/>
              <w:bottom w:val="single" w:sz="4" w:space="0" w:color="auto"/>
              <w:right w:val="single" w:sz="4" w:space="0" w:color="auto"/>
            </w:tcBorders>
            <w:shd w:val="clear" w:color="auto" w:fill="auto"/>
            <w:noWrap/>
            <w:vAlign w:val="center"/>
            <w:hideMark/>
          </w:tcPr>
          <w:p w14:paraId="3ECC81D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489.40</w:t>
            </w:r>
          </w:p>
        </w:tc>
        <w:tc>
          <w:tcPr>
            <w:tcW w:w="573" w:type="pct"/>
            <w:tcBorders>
              <w:top w:val="nil"/>
              <w:left w:val="nil"/>
              <w:bottom w:val="single" w:sz="4" w:space="0" w:color="auto"/>
              <w:right w:val="single" w:sz="4" w:space="0" w:color="auto"/>
            </w:tcBorders>
            <w:shd w:val="clear" w:color="auto" w:fill="auto"/>
            <w:noWrap/>
            <w:vAlign w:val="center"/>
            <w:hideMark/>
          </w:tcPr>
          <w:p w14:paraId="469D700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221.15</w:t>
            </w:r>
          </w:p>
        </w:tc>
      </w:tr>
      <w:tr w:rsidR="000C013D" w:rsidRPr="0049079C" w14:paraId="26B8A3A8"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2BDB201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2070/71</w:t>
            </w:r>
          </w:p>
        </w:tc>
        <w:tc>
          <w:tcPr>
            <w:tcW w:w="574" w:type="pct"/>
            <w:tcBorders>
              <w:top w:val="nil"/>
              <w:left w:val="nil"/>
              <w:bottom w:val="single" w:sz="4" w:space="0" w:color="auto"/>
              <w:right w:val="single" w:sz="4" w:space="0" w:color="auto"/>
            </w:tcBorders>
            <w:shd w:val="clear" w:color="auto" w:fill="auto"/>
            <w:noWrap/>
            <w:vAlign w:val="center"/>
            <w:hideMark/>
          </w:tcPr>
          <w:p w14:paraId="106B3ED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977</w:t>
            </w:r>
          </w:p>
        </w:tc>
        <w:tc>
          <w:tcPr>
            <w:tcW w:w="574" w:type="pct"/>
            <w:tcBorders>
              <w:top w:val="nil"/>
              <w:left w:val="nil"/>
              <w:bottom w:val="single" w:sz="4" w:space="0" w:color="auto"/>
              <w:right w:val="single" w:sz="4" w:space="0" w:color="auto"/>
            </w:tcBorders>
            <w:shd w:val="clear" w:color="auto" w:fill="auto"/>
            <w:noWrap/>
            <w:vAlign w:val="center"/>
            <w:hideMark/>
          </w:tcPr>
          <w:p w14:paraId="7D569D3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535</w:t>
            </w:r>
          </w:p>
        </w:tc>
        <w:tc>
          <w:tcPr>
            <w:tcW w:w="664" w:type="pct"/>
            <w:tcBorders>
              <w:top w:val="nil"/>
              <w:left w:val="nil"/>
              <w:bottom w:val="single" w:sz="4" w:space="0" w:color="auto"/>
              <w:right w:val="single" w:sz="4" w:space="0" w:color="auto"/>
            </w:tcBorders>
            <w:shd w:val="clear" w:color="auto" w:fill="auto"/>
            <w:noWrap/>
            <w:vAlign w:val="center"/>
            <w:hideMark/>
          </w:tcPr>
          <w:p w14:paraId="7ED9278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954</w:t>
            </w:r>
          </w:p>
        </w:tc>
        <w:tc>
          <w:tcPr>
            <w:tcW w:w="574" w:type="pct"/>
            <w:tcBorders>
              <w:top w:val="nil"/>
              <w:left w:val="nil"/>
              <w:bottom w:val="single" w:sz="4" w:space="0" w:color="auto"/>
              <w:right w:val="single" w:sz="4" w:space="0" w:color="auto"/>
            </w:tcBorders>
            <w:shd w:val="clear" w:color="auto" w:fill="auto"/>
            <w:noWrap/>
            <w:vAlign w:val="center"/>
            <w:hideMark/>
          </w:tcPr>
          <w:p w14:paraId="6BCE783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676</w:t>
            </w:r>
          </w:p>
        </w:tc>
        <w:tc>
          <w:tcPr>
            <w:tcW w:w="574" w:type="pct"/>
            <w:tcBorders>
              <w:top w:val="nil"/>
              <w:left w:val="nil"/>
              <w:bottom w:val="single" w:sz="4" w:space="0" w:color="auto"/>
              <w:right w:val="single" w:sz="4" w:space="0" w:color="auto"/>
            </w:tcBorders>
            <w:shd w:val="clear" w:color="auto" w:fill="auto"/>
            <w:noWrap/>
            <w:vAlign w:val="center"/>
            <w:hideMark/>
          </w:tcPr>
          <w:p w14:paraId="6AE7319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526</w:t>
            </w:r>
          </w:p>
        </w:tc>
        <w:tc>
          <w:tcPr>
            <w:tcW w:w="678" w:type="pct"/>
            <w:tcBorders>
              <w:top w:val="nil"/>
              <w:left w:val="nil"/>
              <w:bottom w:val="single" w:sz="4" w:space="0" w:color="auto"/>
              <w:right w:val="single" w:sz="4" w:space="0" w:color="auto"/>
            </w:tcBorders>
            <w:shd w:val="clear" w:color="auto" w:fill="auto"/>
            <w:noWrap/>
            <w:vAlign w:val="center"/>
            <w:hideMark/>
          </w:tcPr>
          <w:p w14:paraId="42667D0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733.60</w:t>
            </w:r>
          </w:p>
        </w:tc>
        <w:tc>
          <w:tcPr>
            <w:tcW w:w="573" w:type="pct"/>
            <w:tcBorders>
              <w:top w:val="nil"/>
              <w:left w:val="nil"/>
              <w:bottom w:val="single" w:sz="4" w:space="0" w:color="auto"/>
              <w:right w:val="single" w:sz="4" w:space="0" w:color="auto"/>
            </w:tcBorders>
            <w:shd w:val="clear" w:color="auto" w:fill="auto"/>
            <w:noWrap/>
            <w:vAlign w:val="center"/>
            <w:hideMark/>
          </w:tcPr>
          <w:p w14:paraId="70D7ED5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196.81</w:t>
            </w:r>
          </w:p>
        </w:tc>
      </w:tr>
      <w:tr w:rsidR="000C013D" w:rsidRPr="0049079C" w14:paraId="796DD77A"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146B2C7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2071/72</w:t>
            </w:r>
          </w:p>
        </w:tc>
        <w:tc>
          <w:tcPr>
            <w:tcW w:w="574" w:type="pct"/>
            <w:tcBorders>
              <w:top w:val="nil"/>
              <w:left w:val="nil"/>
              <w:bottom w:val="single" w:sz="4" w:space="0" w:color="auto"/>
              <w:right w:val="single" w:sz="4" w:space="0" w:color="auto"/>
            </w:tcBorders>
            <w:shd w:val="clear" w:color="auto" w:fill="auto"/>
            <w:noWrap/>
            <w:vAlign w:val="center"/>
            <w:hideMark/>
          </w:tcPr>
          <w:p w14:paraId="6E9683A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709</w:t>
            </w:r>
          </w:p>
        </w:tc>
        <w:tc>
          <w:tcPr>
            <w:tcW w:w="574" w:type="pct"/>
            <w:tcBorders>
              <w:top w:val="nil"/>
              <w:left w:val="nil"/>
              <w:bottom w:val="single" w:sz="4" w:space="0" w:color="auto"/>
              <w:right w:val="single" w:sz="4" w:space="0" w:color="auto"/>
            </w:tcBorders>
            <w:shd w:val="clear" w:color="auto" w:fill="auto"/>
            <w:noWrap/>
            <w:vAlign w:val="center"/>
            <w:hideMark/>
          </w:tcPr>
          <w:p w14:paraId="1F46CD5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375</w:t>
            </w:r>
          </w:p>
        </w:tc>
        <w:tc>
          <w:tcPr>
            <w:tcW w:w="664" w:type="pct"/>
            <w:tcBorders>
              <w:top w:val="nil"/>
              <w:left w:val="nil"/>
              <w:bottom w:val="single" w:sz="4" w:space="0" w:color="auto"/>
              <w:right w:val="single" w:sz="4" w:space="0" w:color="auto"/>
            </w:tcBorders>
            <w:shd w:val="clear" w:color="auto" w:fill="auto"/>
            <w:noWrap/>
            <w:vAlign w:val="center"/>
            <w:hideMark/>
          </w:tcPr>
          <w:p w14:paraId="7A3FF9F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813</w:t>
            </w:r>
          </w:p>
        </w:tc>
        <w:tc>
          <w:tcPr>
            <w:tcW w:w="574" w:type="pct"/>
            <w:tcBorders>
              <w:top w:val="nil"/>
              <w:left w:val="nil"/>
              <w:bottom w:val="single" w:sz="4" w:space="0" w:color="auto"/>
              <w:right w:val="single" w:sz="4" w:space="0" w:color="auto"/>
            </w:tcBorders>
            <w:shd w:val="clear" w:color="auto" w:fill="auto"/>
            <w:noWrap/>
            <w:vAlign w:val="center"/>
            <w:hideMark/>
          </w:tcPr>
          <w:p w14:paraId="03663D0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442</w:t>
            </w:r>
          </w:p>
        </w:tc>
        <w:tc>
          <w:tcPr>
            <w:tcW w:w="574" w:type="pct"/>
            <w:tcBorders>
              <w:top w:val="nil"/>
              <w:left w:val="nil"/>
              <w:bottom w:val="single" w:sz="4" w:space="0" w:color="auto"/>
              <w:right w:val="single" w:sz="4" w:space="0" w:color="auto"/>
            </w:tcBorders>
            <w:shd w:val="clear" w:color="auto" w:fill="auto"/>
            <w:noWrap/>
            <w:vAlign w:val="center"/>
            <w:hideMark/>
          </w:tcPr>
          <w:p w14:paraId="043FC80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476</w:t>
            </w:r>
          </w:p>
        </w:tc>
        <w:tc>
          <w:tcPr>
            <w:tcW w:w="678" w:type="pct"/>
            <w:tcBorders>
              <w:top w:val="nil"/>
              <w:left w:val="nil"/>
              <w:bottom w:val="single" w:sz="4" w:space="0" w:color="auto"/>
              <w:right w:val="single" w:sz="4" w:space="0" w:color="auto"/>
            </w:tcBorders>
            <w:shd w:val="clear" w:color="auto" w:fill="auto"/>
            <w:noWrap/>
            <w:vAlign w:val="center"/>
            <w:hideMark/>
          </w:tcPr>
          <w:p w14:paraId="1DEA6F6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563.00</w:t>
            </w:r>
          </w:p>
        </w:tc>
        <w:tc>
          <w:tcPr>
            <w:tcW w:w="573" w:type="pct"/>
            <w:tcBorders>
              <w:top w:val="nil"/>
              <w:left w:val="nil"/>
              <w:bottom w:val="single" w:sz="4" w:space="0" w:color="auto"/>
              <w:right w:val="single" w:sz="4" w:space="0" w:color="auto"/>
            </w:tcBorders>
            <w:shd w:val="clear" w:color="auto" w:fill="auto"/>
            <w:noWrap/>
            <w:vAlign w:val="center"/>
            <w:hideMark/>
          </w:tcPr>
          <w:p w14:paraId="45C032E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168.15</w:t>
            </w:r>
          </w:p>
        </w:tc>
      </w:tr>
      <w:tr w:rsidR="000C013D" w:rsidRPr="0049079C" w14:paraId="51FF6402"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05F0646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2072/73</w:t>
            </w:r>
          </w:p>
        </w:tc>
        <w:tc>
          <w:tcPr>
            <w:tcW w:w="574" w:type="pct"/>
            <w:tcBorders>
              <w:top w:val="nil"/>
              <w:left w:val="nil"/>
              <w:bottom w:val="single" w:sz="4" w:space="0" w:color="auto"/>
              <w:right w:val="single" w:sz="4" w:space="0" w:color="auto"/>
            </w:tcBorders>
            <w:shd w:val="clear" w:color="auto" w:fill="auto"/>
            <w:noWrap/>
            <w:vAlign w:val="center"/>
            <w:hideMark/>
          </w:tcPr>
          <w:p w14:paraId="72495BD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1054</w:t>
            </w:r>
          </w:p>
        </w:tc>
        <w:tc>
          <w:tcPr>
            <w:tcW w:w="574" w:type="pct"/>
            <w:tcBorders>
              <w:top w:val="nil"/>
              <w:left w:val="nil"/>
              <w:bottom w:val="single" w:sz="4" w:space="0" w:color="auto"/>
              <w:right w:val="single" w:sz="4" w:space="0" w:color="auto"/>
            </w:tcBorders>
            <w:shd w:val="clear" w:color="auto" w:fill="auto"/>
            <w:noWrap/>
            <w:vAlign w:val="center"/>
            <w:hideMark/>
          </w:tcPr>
          <w:p w14:paraId="035675A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381</w:t>
            </w:r>
          </w:p>
        </w:tc>
        <w:tc>
          <w:tcPr>
            <w:tcW w:w="664" w:type="pct"/>
            <w:tcBorders>
              <w:top w:val="nil"/>
              <w:left w:val="nil"/>
              <w:bottom w:val="single" w:sz="4" w:space="0" w:color="auto"/>
              <w:right w:val="single" w:sz="4" w:space="0" w:color="auto"/>
            </w:tcBorders>
            <w:shd w:val="clear" w:color="auto" w:fill="auto"/>
            <w:noWrap/>
            <w:vAlign w:val="center"/>
            <w:hideMark/>
          </w:tcPr>
          <w:p w14:paraId="26EC09B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1550</w:t>
            </w:r>
          </w:p>
        </w:tc>
        <w:tc>
          <w:tcPr>
            <w:tcW w:w="574" w:type="pct"/>
            <w:tcBorders>
              <w:top w:val="nil"/>
              <w:left w:val="nil"/>
              <w:bottom w:val="single" w:sz="4" w:space="0" w:color="auto"/>
              <w:right w:val="single" w:sz="4" w:space="0" w:color="auto"/>
            </w:tcBorders>
            <w:shd w:val="clear" w:color="auto" w:fill="auto"/>
            <w:noWrap/>
            <w:vAlign w:val="center"/>
            <w:hideMark/>
          </w:tcPr>
          <w:p w14:paraId="483CA17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524</w:t>
            </w:r>
          </w:p>
        </w:tc>
        <w:tc>
          <w:tcPr>
            <w:tcW w:w="574" w:type="pct"/>
            <w:tcBorders>
              <w:top w:val="nil"/>
              <w:left w:val="nil"/>
              <w:bottom w:val="single" w:sz="4" w:space="0" w:color="auto"/>
              <w:right w:val="single" w:sz="4" w:space="0" w:color="auto"/>
            </w:tcBorders>
            <w:shd w:val="clear" w:color="auto" w:fill="auto"/>
            <w:noWrap/>
            <w:vAlign w:val="center"/>
            <w:hideMark/>
          </w:tcPr>
          <w:p w14:paraId="590B4E1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794</w:t>
            </w:r>
          </w:p>
        </w:tc>
        <w:tc>
          <w:tcPr>
            <w:tcW w:w="678" w:type="pct"/>
            <w:tcBorders>
              <w:top w:val="nil"/>
              <w:left w:val="nil"/>
              <w:bottom w:val="single" w:sz="4" w:space="0" w:color="auto"/>
              <w:right w:val="single" w:sz="4" w:space="0" w:color="auto"/>
            </w:tcBorders>
            <w:shd w:val="clear" w:color="auto" w:fill="auto"/>
            <w:noWrap/>
            <w:vAlign w:val="center"/>
            <w:hideMark/>
          </w:tcPr>
          <w:p w14:paraId="21BF858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860.60</w:t>
            </w:r>
          </w:p>
        </w:tc>
        <w:tc>
          <w:tcPr>
            <w:tcW w:w="573" w:type="pct"/>
            <w:tcBorders>
              <w:top w:val="nil"/>
              <w:left w:val="nil"/>
              <w:bottom w:val="single" w:sz="4" w:space="0" w:color="auto"/>
              <w:right w:val="single" w:sz="4" w:space="0" w:color="auto"/>
            </w:tcBorders>
            <w:shd w:val="clear" w:color="auto" w:fill="auto"/>
            <w:noWrap/>
            <w:vAlign w:val="center"/>
            <w:hideMark/>
          </w:tcPr>
          <w:p w14:paraId="4B713B5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414.83</w:t>
            </w:r>
          </w:p>
        </w:tc>
      </w:tr>
      <w:tr w:rsidR="000C013D" w:rsidRPr="0049079C" w14:paraId="31628C57"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4DAC78E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2073/74</w:t>
            </w:r>
          </w:p>
        </w:tc>
        <w:tc>
          <w:tcPr>
            <w:tcW w:w="574" w:type="pct"/>
            <w:tcBorders>
              <w:top w:val="nil"/>
              <w:left w:val="nil"/>
              <w:bottom w:val="single" w:sz="4" w:space="0" w:color="auto"/>
              <w:right w:val="single" w:sz="4" w:space="0" w:color="auto"/>
            </w:tcBorders>
            <w:shd w:val="clear" w:color="auto" w:fill="auto"/>
            <w:noWrap/>
            <w:vAlign w:val="center"/>
            <w:hideMark/>
          </w:tcPr>
          <w:p w14:paraId="6CA7A13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800</w:t>
            </w:r>
          </w:p>
        </w:tc>
        <w:tc>
          <w:tcPr>
            <w:tcW w:w="574" w:type="pct"/>
            <w:tcBorders>
              <w:top w:val="nil"/>
              <w:left w:val="nil"/>
              <w:bottom w:val="single" w:sz="4" w:space="0" w:color="auto"/>
              <w:right w:val="single" w:sz="4" w:space="0" w:color="auto"/>
            </w:tcBorders>
            <w:shd w:val="clear" w:color="auto" w:fill="auto"/>
            <w:noWrap/>
            <w:vAlign w:val="center"/>
            <w:hideMark/>
          </w:tcPr>
          <w:p w14:paraId="75DFBC2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341</w:t>
            </w:r>
          </w:p>
        </w:tc>
        <w:tc>
          <w:tcPr>
            <w:tcW w:w="664" w:type="pct"/>
            <w:tcBorders>
              <w:top w:val="nil"/>
              <w:left w:val="nil"/>
              <w:bottom w:val="single" w:sz="4" w:space="0" w:color="auto"/>
              <w:right w:val="single" w:sz="4" w:space="0" w:color="auto"/>
            </w:tcBorders>
            <w:shd w:val="clear" w:color="auto" w:fill="auto"/>
            <w:noWrap/>
            <w:vAlign w:val="center"/>
            <w:hideMark/>
          </w:tcPr>
          <w:p w14:paraId="2341040C"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910</w:t>
            </w:r>
          </w:p>
        </w:tc>
        <w:tc>
          <w:tcPr>
            <w:tcW w:w="574" w:type="pct"/>
            <w:tcBorders>
              <w:top w:val="nil"/>
              <w:left w:val="nil"/>
              <w:bottom w:val="single" w:sz="4" w:space="0" w:color="auto"/>
              <w:right w:val="single" w:sz="4" w:space="0" w:color="auto"/>
            </w:tcBorders>
            <w:shd w:val="clear" w:color="auto" w:fill="auto"/>
            <w:noWrap/>
            <w:vAlign w:val="center"/>
            <w:hideMark/>
          </w:tcPr>
          <w:p w14:paraId="104513E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392</w:t>
            </w:r>
          </w:p>
        </w:tc>
        <w:tc>
          <w:tcPr>
            <w:tcW w:w="574" w:type="pct"/>
            <w:tcBorders>
              <w:top w:val="nil"/>
              <w:left w:val="nil"/>
              <w:bottom w:val="single" w:sz="4" w:space="0" w:color="auto"/>
              <w:right w:val="single" w:sz="4" w:space="0" w:color="auto"/>
            </w:tcBorders>
            <w:shd w:val="clear" w:color="auto" w:fill="auto"/>
            <w:noWrap/>
            <w:vAlign w:val="center"/>
            <w:hideMark/>
          </w:tcPr>
          <w:p w14:paraId="4519731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555</w:t>
            </w:r>
          </w:p>
        </w:tc>
        <w:tc>
          <w:tcPr>
            <w:tcW w:w="678" w:type="pct"/>
            <w:tcBorders>
              <w:top w:val="nil"/>
              <w:left w:val="nil"/>
              <w:bottom w:val="single" w:sz="4" w:space="0" w:color="auto"/>
              <w:right w:val="single" w:sz="4" w:space="0" w:color="auto"/>
            </w:tcBorders>
            <w:shd w:val="clear" w:color="auto" w:fill="auto"/>
            <w:noWrap/>
            <w:vAlign w:val="center"/>
            <w:hideMark/>
          </w:tcPr>
          <w:p w14:paraId="7C60071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599.60</w:t>
            </w:r>
          </w:p>
        </w:tc>
        <w:tc>
          <w:tcPr>
            <w:tcW w:w="573" w:type="pct"/>
            <w:tcBorders>
              <w:top w:val="nil"/>
              <w:left w:val="nil"/>
              <w:bottom w:val="single" w:sz="4" w:space="0" w:color="auto"/>
              <w:right w:val="single" w:sz="4" w:space="0" w:color="auto"/>
            </w:tcBorders>
            <w:shd w:val="clear" w:color="auto" w:fill="auto"/>
            <w:noWrap/>
            <w:vAlign w:val="center"/>
            <w:hideMark/>
          </w:tcPr>
          <w:p w14:paraId="0AFD459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222.92</w:t>
            </w:r>
          </w:p>
        </w:tc>
      </w:tr>
      <w:tr w:rsidR="000C013D" w:rsidRPr="0049079C" w14:paraId="70BF2663"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2CAEB614"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2074/75</w:t>
            </w:r>
          </w:p>
        </w:tc>
        <w:tc>
          <w:tcPr>
            <w:tcW w:w="574" w:type="pct"/>
            <w:tcBorders>
              <w:top w:val="nil"/>
              <w:left w:val="nil"/>
              <w:bottom w:val="single" w:sz="4" w:space="0" w:color="auto"/>
              <w:right w:val="single" w:sz="4" w:space="0" w:color="auto"/>
            </w:tcBorders>
            <w:shd w:val="clear" w:color="auto" w:fill="auto"/>
            <w:noWrap/>
            <w:vAlign w:val="center"/>
            <w:hideMark/>
          </w:tcPr>
          <w:p w14:paraId="458BFA4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624</w:t>
            </w:r>
          </w:p>
        </w:tc>
        <w:tc>
          <w:tcPr>
            <w:tcW w:w="574" w:type="pct"/>
            <w:tcBorders>
              <w:top w:val="nil"/>
              <w:left w:val="nil"/>
              <w:bottom w:val="single" w:sz="4" w:space="0" w:color="auto"/>
              <w:right w:val="single" w:sz="4" w:space="0" w:color="auto"/>
            </w:tcBorders>
            <w:shd w:val="clear" w:color="auto" w:fill="auto"/>
            <w:noWrap/>
            <w:vAlign w:val="center"/>
            <w:hideMark/>
          </w:tcPr>
          <w:p w14:paraId="260C530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198</w:t>
            </w:r>
          </w:p>
        </w:tc>
        <w:tc>
          <w:tcPr>
            <w:tcW w:w="664" w:type="pct"/>
            <w:tcBorders>
              <w:top w:val="nil"/>
              <w:left w:val="nil"/>
              <w:bottom w:val="single" w:sz="4" w:space="0" w:color="auto"/>
              <w:right w:val="single" w:sz="4" w:space="0" w:color="auto"/>
            </w:tcBorders>
            <w:shd w:val="clear" w:color="auto" w:fill="auto"/>
            <w:noWrap/>
            <w:vAlign w:val="center"/>
            <w:hideMark/>
          </w:tcPr>
          <w:p w14:paraId="41DADF7B"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551</w:t>
            </w:r>
          </w:p>
        </w:tc>
        <w:tc>
          <w:tcPr>
            <w:tcW w:w="574" w:type="pct"/>
            <w:tcBorders>
              <w:top w:val="nil"/>
              <w:left w:val="nil"/>
              <w:bottom w:val="single" w:sz="4" w:space="0" w:color="auto"/>
              <w:right w:val="single" w:sz="4" w:space="0" w:color="auto"/>
            </w:tcBorders>
            <w:shd w:val="clear" w:color="auto" w:fill="auto"/>
            <w:noWrap/>
            <w:vAlign w:val="center"/>
            <w:hideMark/>
          </w:tcPr>
          <w:p w14:paraId="04BC4FA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290</w:t>
            </w:r>
          </w:p>
        </w:tc>
        <w:tc>
          <w:tcPr>
            <w:tcW w:w="574" w:type="pct"/>
            <w:tcBorders>
              <w:top w:val="nil"/>
              <w:left w:val="nil"/>
              <w:bottom w:val="single" w:sz="4" w:space="0" w:color="auto"/>
              <w:right w:val="single" w:sz="4" w:space="0" w:color="auto"/>
            </w:tcBorders>
            <w:shd w:val="clear" w:color="auto" w:fill="auto"/>
            <w:noWrap/>
            <w:vAlign w:val="center"/>
            <w:hideMark/>
          </w:tcPr>
          <w:p w14:paraId="47483E3D"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354</w:t>
            </w:r>
          </w:p>
        </w:tc>
        <w:tc>
          <w:tcPr>
            <w:tcW w:w="678" w:type="pct"/>
            <w:tcBorders>
              <w:top w:val="nil"/>
              <w:left w:val="nil"/>
              <w:bottom w:val="single" w:sz="4" w:space="0" w:color="auto"/>
              <w:right w:val="single" w:sz="4" w:space="0" w:color="auto"/>
            </w:tcBorders>
            <w:shd w:val="clear" w:color="auto" w:fill="auto"/>
            <w:noWrap/>
            <w:vAlign w:val="center"/>
            <w:hideMark/>
          </w:tcPr>
          <w:p w14:paraId="39888712"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403.40</w:t>
            </w:r>
          </w:p>
        </w:tc>
        <w:tc>
          <w:tcPr>
            <w:tcW w:w="573" w:type="pct"/>
            <w:tcBorders>
              <w:top w:val="nil"/>
              <w:left w:val="nil"/>
              <w:bottom w:val="single" w:sz="4" w:space="0" w:color="auto"/>
              <w:right w:val="single" w:sz="4" w:space="0" w:color="auto"/>
            </w:tcBorders>
            <w:shd w:val="clear" w:color="auto" w:fill="auto"/>
            <w:noWrap/>
            <w:vAlign w:val="center"/>
            <w:hideMark/>
          </w:tcPr>
          <w:p w14:paraId="45B2A05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159.96</w:t>
            </w:r>
          </w:p>
        </w:tc>
      </w:tr>
      <w:tr w:rsidR="000C013D" w:rsidRPr="0049079C" w14:paraId="5AAEEAA3"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7030A7E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2075/76</w:t>
            </w:r>
          </w:p>
        </w:tc>
        <w:tc>
          <w:tcPr>
            <w:tcW w:w="574" w:type="pct"/>
            <w:tcBorders>
              <w:top w:val="nil"/>
              <w:left w:val="nil"/>
              <w:bottom w:val="single" w:sz="4" w:space="0" w:color="auto"/>
              <w:right w:val="single" w:sz="4" w:space="0" w:color="auto"/>
            </w:tcBorders>
            <w:shd w:val="clear" w:color="auto" w:fill="auto"/>
            <w:noWrap/>
            <w:vAlign w:val="center"/>
            <w:hideMark/>
          </w:tcPr>
          <w:p w14:paraId="15A690E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520</w:t>
            </w:r>
          </w:p>
        </w:tc>
        <w:tc>
          <w:tcPr>
            <w:tcW w:w="574" w:type="pct"/>
            <w:tcBorders>
              <w:top w:val="nil"/>
              <w:left w:val="nil"/>
              <w:bottom w:val="single" w:sz="4" w:space="0" w:color="auto"/>
              <w:right w:val="single" w:sz="4" w:space="0" w:color="auto"/>
            </w:tcBorders>
            <w:shd w:val="clear" w:color="auto" w:fill="auto"/>
            <w:noWrap/>
            <w:vAlign w:val="center"/>
            <w:hideMark/>
          </w:tcPr>
          <w:p w14:paraId="3211C01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222</w:t>
            </w:r>
          </w:p>
        </w:tc>
        <w:tc>
          <w:tcPr>
            <w:tcW w:w="664" w:type="pct"/>
            <w:tcBorders>
              <w:top w:val="nil"/>
              <w:left w:val="nil"/>
              <w:bottom w:val="single" w:sz="4" w:space="0" w:color="auto"/>
              <w:right w:val="single" w:sz="4" w:space="0" w:color="auto"/>
            </w:tcBorders>
            <w:shd w:val="clear" w:color="auto" w:fill="auto"/>
            <w:noWrap/>
            <w:vAlign w:val="center"/>
            <w:hideMark/>
          </w:tcPr>
          <w:p w14:paraId="6E03FC5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547</w:t>
            </w:r>
          </w:p>
        </w:tc>
        <w:tc>
          <w:tcPr>
            <w:tcW w:w="574" w:type="pct"/>
            <w:tcBorders>
              <w:top w:val="nil"/>
              <w:left w:val="nil"/>
              <w:bottom w:val="single" w:sz="4" w:space="0" w:color="auto"/>
              <w:right w:val="single" w:sz="4" w:space="0" w:color="auto"/>
            </w:tcBorders>
            <w:shd w:val="clear" w:color="auto" w:fill="auto"/>
            <w:noWrap/>
            <w:vAlign w:val="center"/>
            <w:hideMark/>
          </w:tcPr>
          <w:p w14:paraId="29F46D5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305</w:t>
            </w:r>
          </w:p>
        </w:tc>
        <w:tc>
          <w:tcPr>
            <w:tcW w:w="574" w:type="pct"/>
            <w:tcBorders>
              <w:top w:val="nil"/>
              <w:left w:val="nil"/>
              <w:bottom w:val="single" w:sz="4" w:space="0" w:color="auto"/>
              <w:right w:val="single" w:sz="4" w:space="0" w:color="auto"/>
            </w:tcBorders>
            <w:shd w:val="clear" w:color="auto" w:fill="auto"/>
            <w:noWrap/>
            <w:vAlign w:val="center"/>
            <w:hideMark/>
          </w:tcPr>
          <w:p w14:paraId="2113BDC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385</w:t>
            </w:r>
          </w:p>
        </w:tc>
        <w:tc>
          <w:tcPr>
            <w:tcW w:w="678" w:type="pct"/>
            <w:tcBorders>
              <w:top w:val="nil"/>
              <w:left w:val="nil"/>
              <w:bottom w:val="single" w:sz="4" w:space="0" w:color="auto"/>
              <w:right w:val="single" w:sz="4" w:space="0" w:color="auto"/>
            </w:tcBorders>
            <w:shd w:val="clear" w:color="auto" w:fill="auto"/>
            <w:noWrap/>
            <w:vAlign w:val="center"/>
            <w:hideMark/>
          </w:tcPr>
          <w:p w14:paraId="0D64825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395.80</w:t>
            </w:r>
          </w:p>
        </w:tc>
        <w:tc>
          <w:tcPr>
            <w:tcW w:w="573" w:type="pct"/>
            <w:tcBorders>
              <w:top w:val="nil"/>
              <w:left w:val="nil"/>
              <w:bottom w:val="single" w:sz="4" w:space="0" w:color="auto"/>
              <w:right w:val="single" w:sz="4" w:space="0" w:color="auto"/>
            </w:tcBorders>
            <w:shd w:val="clear" w:color="auto" w:fill="auto"/>
            <w:noWrap/>
            <w:vAlign w:val="center"/>
            <w:hideMark/>
          </w:tcPr>
          <w:p w14:paraId="63E81D0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123.98</w:t>
            </w:r>
          </w:p>
        </w:tc>
      </w:tr>
      <w:tr w:rsidR="000C013D" w:rsidRPr="0049079C" w14:paraId="668AEBDA"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036C5F8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Mean</w:t>
            </w:r>
          </w:p>
        </w:tc>
        <w:tc>
          <w:tcPr>
            <w:tcW w:w="574" w:type="pct"/>
            <w:tcBorders>
              <w:top w:val="nil"/>
              <w:left w:val="nil"/>
              <w:bottom w:val="single" w:sz="4" w:space="0" w:color="auto"/>
              <w:right w:val="single" w:sz="4" w:space="0" w:color="auto"/>
            </w:tcBorders>
            <w:shd w:val="clear" w:color="auto" w:fill="auto"/>
            <w:noWrap/>
            <w:vAlign w:val="center"/>
            <w:hideMark/>
          </w:tcPr>
          <w:p w14:paraId="6F99C8F5"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748.13</w:t>
            </w:r>
          </w:p>
        </w:tc>
        <w:tc>
          <w:tcPr>
            <w:tcW w:w="574" w:type="pct"/>
            <w:tcBorders>
              <w:top w:val="nil"/>
              <w:left w:val="nil"/>
              <w:bottom w:val="single" w:sz="4" w:space="0" w:color="auto"/>
              <w:right w:val="single" w:sz="4" w:space="0" w:color="auto"/>
            </w:tcBorders>
            <w:shd w:val="clear" w:color="auto" w:fill="auto"/>
            <w:noWrap/>
            <w:vAlign w:val="center"/>
            <w:hideMark/>
          </w:tcPr>
          <w:p w14:paraId="79BF561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319.75</w:t>
            </w:r>
          </w:p>
        </w:tc>
        <w:tc>
          <w:tcPr>
            <w:tcW w:w="664" w:type="pct"/>
            <w:tcBorders>
              <w:top w:val="nil"/>
              <w:left w:val="nil"/>
              <w:bottom w:val="single" w:sz="4" w:space="0" w:color="auto"/>
              <w:right w:val="single" w:sz="4" w:space="0" w:color="auto"/>
            </w:tcBorders>
            <w:shd w:val="clear" w:color="auto" w:fill="auto"/>
            <w:noWrap/>
            <w:vAlign w:val="center"/>
            <w:hideMark/>
          </w:tcPr>
          <w:p w14:paraId="3C5595C7"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834.75</w:t>
            </w:r>
          </w:p>
        </w:tc>
        <w:tc>
          <w:tcPr>
            <w:tcW w:w="574" w:type="pct"/>
            <w:tcBorders>
              <w:top w:val="nil"/>
              <w:left w:val="nil"/>
              <w:bottom w:val="single" w:sz="4" w:space="0" w:color="auto"/>
              <w:right w:val="single" w:sz="4" w:space="0" w:color="auto"/>
            </w:tcBorders>
            <w:shd w:val="clear" w:color="auto" w:fill="auto"/>
            <w:noWrap/>
            <w:vAlign w:val="center"/>
            <w:hideMark/>
          </w:tcPr>
          <w:p w14:paraId="3A5FD7C6"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405.75</w:t>
            </w:r>
          </w:p>
        </w:tc>
        <w:tc>
          <w:tcPr>
            <w:tcW w:w="574" w:type="pct"/>
            <w:tcBorders>
              <w:top w:val="nil"/>
              <w:left w:val="nil"/>
              <w:bottom w:val="single" w:sz="4" w:space="0" w:color="auto"/>
              <w:right w:val="single" w:sz="4" w:space="0" w:color="auto"/>
            </w:tcBorders>
            <w:shd w:val="clear" w:color="auto" w:fill="auto"/>
            <w:noWrap/>
            <w:vAlign w:val="center"/>
            <w:hideMark/>
          </w:tcPr>
          <w:p w14:paraId="09E590AA"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440.75</w:t>
            </w:r>
          </w:p>
        </w:tc>
        <w:tc>
          <w:tcPr>
            <w:tcW w:w="678" w:type="pct"/>
            <w:tcBorders>
              <w:top w:val="nil"/>
              <w:left w:val="nil"/>
              <w:bottom w:val="single" w:sz="4" w:space="0" w:color="auto"/>
              <w:right w:val="single" w:sz="4" w:space="0" w:color="auto"/>
            </w:tcBorders>
            <w:shd w:val="clear" w:color="auto" w:fill="auto"/>
            <w:noWrap/>
            <w:vAlign w:val="center"/>
            <w:hideMark/>
          </w:tcPr>
          <w:p w14:paraId="46EB730B" w14:textId="645CB912"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c>
          <w:tcPr>
            <w:tcW w:w="573" w:type="pct"/>
            <w:tcBorders>
              <w:top w:val="nil"/>
              <w:left w:val="nil"/>
              <w:bottom w:val="single" w:sz="4" w:space="0" w:color="auto"/>
              <w:right w:val="single" w:sz="4" w:space="0" w:color="auto"/>
            </w:tcBorders>
            <w:shd w:val="clear" w:color="auto" w:fill="auto"/>
            <w:noWrap/>
            <w:vAlign w:val="center"/>
            <w:hideMark/>
          </w:tcPr>
          <w:p w14:paraId="51A94A0E" w14:textId="5434DDDA"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r>
      <w:tr w:rsidR="000C013D" w:rsidRPr="0049079C" w14:paraId="265F7E3C" w14:textId="77777777" w:rsidTr="00841F47">
        <w:trPr>
          <w:trHeight w:val="144"/>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7A86F231"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roofErr w:type="gramStart"/>
            <w:r w:rsidRPr="0049079C">
              <w:rPr>
                <w:rFonts w:ascii="Times New Roman" w:eastAsia="Times New Roman" w:hAnsi="Times New Roman" w:cs="Times New Roman"/>
                <w:color w:val="000000"/>
                <w:sz w:val="24"/>
                <w:szCs w:val="24"/>
              </w:rPr>
              <w:t>S.D</w:t>
            </w:r>
            <w:proofErr w:type="gramEnd"/>
          </w:p>
        </w:tc>
        <w:tc>
          <w:tcPr>
            <w:tcW w:w="574" w:type="pct"/>
            <w:tcBorders>
              <w:top w:val="nil"/>
              <w:left w:val="nil"/>
              <w:bottom w:val="single" w:sz="4" w:space="0" w:color="auto"/>
              <w:right w:val="single" w:sz="4" w:space="0" w:color="auto"/>
            </w:tcBorders>
            <w:shd w:val="clear" w:color="auto" w:fill="auto"/>
            <w:noWrap/>
            <w:vAlign w:val="center"/>
            <w:hideMark/>
          </w:tcPr>
          <w:p w14:paraId="26064680"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185.61</w:t>
            </w:r>
          </w:p>
        </w:tc>
        <w:tc>
          <w:tcPr>
            <w:tcW w:w="574" w:type="pct"/>
            <w:tcBorders>
              <w:top w:val="nil"/>
              <w:left w:val="nil"/>
              <w:bottom w:val="single" w:sz="4" w:space="0" w:color="auto"/>
              <w:right w:val="single" w:sz="4" w:space="0" w:color="auto"/>
            </w:tcBorders>
            <w:shd w:val="clear" w:color="auto" w:fill="auto"/>
            <w:noWrap/>
            <w:vAlign w:val="center"/>
            <w:hideMark/>
          </w:tcPr>
          <w:p w14:paraId="59CB6A59"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104.27</w:t>
            </w:r>
          </w:p>
        </w:tc>
        <w:tc>
          <w:tcPr>
            <w:tcW w:w="664" w:type="pct"/>
            <w:tcBorders>
              <w:top w:val="nil"/>
              <w:left w:val="nil"/>
              <w:bottom w:val="single" w:sz="4" w:space="0" w:color="auto"/>
              <w:right w:val="single" w:sz="4" w:space="0" w:color="auto"/>
            </w:tcBorders>
            <w:shd w:val="clear" w:color="auto" w:fill="auto"/>
            <w:noWrap/>
            <w:vAlign w:val="center"/>
            <w:hideMark/>
          </w:tcPr>
          <w:p w14:paraId="6BBBCDF8"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305.46</w:t>
            </w:r>
          </w:p>
        </w:tc>
        <w:tc>
          <w:tcPr>
            <w:tcW w:w="574" w:type="pct"/>
            <w:tcBorders>
              <w:top w:val="nil"/>
              <w:left w:val="nil"/>
              <w:bottom w:val="single" w:sz="4" w:space="0" w:color="auto"/>
              <w:right w:val="single" w:sz="4" w:space="0" w:color="auto"/>
            </w:tcBorders>
            <w:shd w:val="clear" w:color="auto" w:fill="auto"/>
            <w:noWrap/>
            <w:vAlign w:val="center"/>
            <w:hideMark/>
          </w:tcPr>
          <w:p w14:paraId="1ED983AE"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144.32</w:t>
            </w:r>
          </w:p>
        </w:tc>
        <w:tc>
          <w:tcPr>
            <w:tcW w:w="574" w:type="pct"/>
            <w:tcBorders>
              <w:top w:val="nil"/>
              <w:left w:val="nil"/>
              <w:bottom w:val="single" w:sz="4" w:space="0" w:color="auto"/>
              <w:right w:val="single" w:sz="4" w:space="0" w:color="auto"/>
            </w:tcBorders>
            <w:shd w:val="clear" w:color="auto" w:fill="auto"/>
            <w:noWrap/>
            <w:vAlign w:val="center"/>
            <w:hideMark/>
          </w:tcPr>
          <w:p w14:paraId="199D62EF" w14:textId="77777777"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r w:rsidRPr="0049079C">
              <w:rPr>
                <w:rFonts w:ascii="Times New Roman" w:eastAsia="Times New Roman" w:hAnsi="Times New Roman" w:cs="Times New Roman"/>
                <w:color w:val="000000"/>
                <w:sz w:val="24"/>
                <w:szCs w:val="24"/>
              </w:rPr>
              <w:t>179.92</w:t>
            </w:r>
          </w:p>
        </w:tc>
        <w:tc>
          <w:tcPr>
            <w:tcW w:w="678" w:type="pct"/>
            <w:tcBorders>
              <w:top w:val="nil"/>
              <w:left w:val="nil"/>
              <w:bottom w:val="single" w:sz="4" w:space="0" w:color="auto"/>
              <w:right w:val="single" w:sz="4" w:space="0" w:color="auto"/>
            </w:tcBorders>
            <w:shd w:val="clear" w:color="auto" w:fill="auto"/>
            <w:noWrap/>
            <w:vAlign w:val="center"/>
            <w:hideMark/>
          </w:tcPr>
          <w:p w14:paraId="45E9318E" w14:textId="0B2FC6C5"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c>
          <w:tcPr>
            <w:tcW w:w="573" w:type="pct"/>
            <w:tcBorders>
              <w:top w:val="nil"/>
              <w:left w:val="nil"/>
              <w:bottom w:val="single" w:sz="4" w:space="0" w:color="auto"/>
              <w:right w:val="single" w:sz="4" w:space="0" w:color="auto"/>
            </w:tcBorders>
            <w:shd w:val="clear" w:color="auto" w:fill="auto"/>
            <w:noWrap/>
            <w:vAlign w:val="center"/>
            <w:hideMark/>
          </w:tcPr>
          <w:p w14:paraId="1E1F0069" w14:textId="42E92D7C" w:rsidR="000C013D" w:rsidRPr="0049079C" w:rsidRDefault="000C013D" w:rsidP="0049079C">
            <w:pPr>
              <w:spacing w:after="0" w:line="240" w:lineRule="auto"/>
              <w:jc w:val="both"/>
              <w:rPr>
                <w:rFonts w:ascii="Times New Roman" w:eastAsia="Times New Roman" w:hAnsi="Times New Roman" w:cs="Times New Roman"/>
                <w:color w:val="000000"/>
                <w:sz w:val="24"/>
                <w:szCs w:val="24"/>
              </w:rPr>
            </w:pPr>
          </w:p>
        </w:tc>
      </w:tr>
    </w:tbl>
    <w:p w14:paraId="36DFDC67" w14:textId="443FC9C6" w:rsidR="00BC6DBC" w:rsidRPr="00BC6DBC" w:rsidRDefault="00BC6DBC" w:rsidP="00BC6DBC">
      <w:pPr>
        <w:spacing w:before="240" w:after="240" w:line="384"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10" w:name="_Hlk81848997"/>
      <w:r w:rsidRPr="00BC6DBC">
        <w:rPr>
          <w:rFonts w:ascii="Times New Roman" w:hAnsi="Times New Roman" w:cs="Times New Roman"/>
          <w:color w:val="000000" w:themeColor="text1"/>
          <w:sz w:val="24"/>
          <w:szCs w:val="24"/>
        </w:rPr>
        <w:t xml:space="preserve">Source: </w:t>
      </w:r>
      <w:r w:rsidRPr="00BC6DBC">
        <w:rPr>
          <w:rFonts w:ascii="Times New Roman" w:hAnsi="Times New Roman" w:cs="Times New Roman"/>
          <w:i/>
          <w:color w:val="000000" w:themeColor="text1"/>
          <w:sz w:val="24"/>
          <w:szCs w:val="24"/>
        </w:rPr>
        <w:t>Annual Report of concern Banks</w:t>
      </w:r>
    </w:p>
    <w:bookmarkEnd w:id="10"/>
    <w:p w14:paraId="387A7F37" w14:textId="45172C91"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p>
    <w:p w14:paraId="6E6CD262" w14:textId="77777777" w:rsidR="00BC6DBC" w:rsidRDefault="00BC6DBC" w:rsidP="00444603">
      <w:pPr>
        <w:spacing w:before="240" w:after="240" w:line="384" w:lineRule="auto"/>
        <w:jc w:val="both"/>
        <w:rPr>
          <w:rFonts w:ascii="Times New Roman" w:hAnsi="Times New Roman" w:cs="Times New Roman"/>
          <w:color w:val="000000" w:themeColor="text1"/>
          <w:sz w:val="24"/>
          <w:szCs w:val="24"/>
        </w:rPr>
      </w:pPr>
    </w:p>
    <w:p w14:paraId="1CC225B3" w14:textId="77777777" w:rsidR="00C37A15" w:rsidRDefault="00C37A15" w:rsidP="00444603">
      <w:pPr>
        <w:spacing w:before="240" w:after="240" w:line="384" w:lineRule="auto"/>
        <w:jc w:val="both"/>
        <w:rPr>
          <w:rFonts w:ascii="Times New Roman" w:hAnsi="Times New Roman" w:cs="Times New Roman"/>
          <w:color w:val="000000" w:themeColor="text1"/>
          <w:sz w:val="24"/>
          <w:szCs w:val="24"/>
        </w:rPr>
      </w:pPr>
    </w:p>
    <w:p w14:paraId="5C33D51E" w14:textId="77777777" w:rsidR="00C37A15" w:rsidRDefault="00C37A15" w:rsidP="00444603">
      <w:pPr>
        <w:spacing w:before="240" w:after="240" w:line="384" w:lineRule="auto"/>
        <w:jc w:val="both"/>
        <w:rPr>
          <w:rFonts w:ascii="Times New Roman" w:hAnsi="Times New Roman" w:cs="Times New Roman"/>
          <w:color w:val="000000" w:themeColor="text1"/>
          <w:sz w:val="24"/>
          <w:szCs w:val="24"/>
        </w:rPr>
      </w:pPr>
    </w:p>
    <w:p w14:paraId="1B5BEC96" w14:textId="77777777" w:rsidR="00C37A15" w:rsidRDefault="00C37A15" w:rsidP="00444603">
      <w:pPr>
        <w:spacing w:before="240" w:after="240" w:line="384" w:lineRule="auto"/>
        <w:jc w:val="both"/>
        <w:rPr>
          <w:rFonts w:ascii="Times New Roman" w:hAnsi="Times New Roman" w:cs="Times New Roman"/>
          <w:color w:val="000000" w:themeColor="text1"/>
          <w:sz w:val="24"/>
          <w:szCs w:val="24"/>
        </w:rPr>
      </w:pPr>
    </w:p>
    <w:p w14:paraId="20C6EA73" w14:textId="77777777" w:rsidR="00C37A15" w:rsidRDefault="00C37A15" w:rsidP="00444603">
      <w:pPr>
        <w:spacing w:before="240" w:after="240" w:line="384" w:lineRule="auto"/>
        <w:jc w:val="both"/>
        <w:rPr>
          <w:rFonts w:ascii="Times New Roman" w:hAnsi="Times New Roman" w:cs="Times New Roman"/>
          <w:color w:val="000000" w:themeColor="text1"/>
          <w:sz w:val="24"/>
          <w:szCs w:val="24"/>
        </w:rPr>
      </w:pPr>
    </w:p>
    <w:p w14:paraId="4E6F3C64" w14:textId="30900970"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Figure 4.6 shows the average stock prices of different commercial banks of Nepal (in rupees).</w:t>
      </w:r>
    </w:p>
    <w:p w14:paraId="3403A3B3" w14:textId="0A1D12AD" w:rsidR="002835D6" w:rsidRPr="00C37A15"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Figure 4.6 shows of stock prices of Nepalese commercial banks. Most of the commercial bank’s stock prices increases up to year 2072/73 and the decreases. The lowest average stock a price is for year 2068/69 and highest is for year 2072/73 as shown in graph.</w:t>
      </w:r>
    </w:p>
    <w:p w14:paraId="7C0FF2D2" w14:textId="3FE14C56" w:rsidR="002835D6" w:rsidRPr="002835D6" w:rsidRDefault="002835D6" w:rsidP="00444603">
      <w:pPr>
        <w:spacing w:before="240" w:after="240" w:line="384" w:lineRule="auto"/>
        <w:jc w:val="both"/>
        <w:rPr>
          <w:rFonts w:ascii="Times New Roman" w:hAnsi="Times New Roman" w:cs="Times New Roman"/>
          <w:b/>
          <w:bCs/>
          <w:color w:val="000000" w:themeColor="text1"/>
          <w:sz w:val="24"/>
          <w:szCs w:val="24"/>
        </w:rPr>
      </w:pPr>
      <w:r w:rsidRPr="002835D6">
        <w:rPr>
          <w:rFonts w:ascii="Times New Roman" w:hAnsi="Times New Roman" w:cs="Times New Roman"/>
          <w:b/>
          <w:bCs/>
          <w:color w:val="000000" w:themeColor="text1"/>
          <w:sz w:val="24"/>
          <w:szCs w:val="24"/>
        </w:rPr>
        <w:t>Figure 4.6 shows average market price per share of different commercial banks of Nepal.</w:t>
      </w:r>
    </w:p>
    <w:p w14:paraId="5CA605F5" w14:textId="77777777" w:rsidR="000C013D" w:rsidRPr="00143B41" w:rsidRDefault="000C013D" w:rsidP="00444603">
      <w:pPr>
        <w:spacing w:before="240" w:after="240" w:line="384" w:lineRule="auto"/>
        <w:jc w:val="both"/>
        <w:rPr>
          <w:rFonts w:ascii="Times New Roman" w:hAnsi="Times New Roman" w:cs="Times New Roman"/>
          <w:noProof/>
          <w:color w:val="000000" w:themeColor="text1"/>
          <w:sz w:val="28"/>
          <w:szCs w:val="28"/>
        </w:rPr>
      </w:pPr>
      <w:r w:rsidRPr="00143B41">
        <w:rPr>
          <w:rFonts w:ascii="Times New Roman" w:hAnsi="Times New Roman" w:cs="Times New Roman"/>
          <w:noProof/>
          <w:color w:val="000000" w:themeColor="text1"/>
          <w:sz w:val="28"/>
          <w:szCs w:val="28"/>
          <w:lang w:bidi="ne-NP"/>
        </w:rPr>
        <w:drawing>
          <wp:inline distT="0" distB="0" distL="0" distR="0" wp14:anchorId="4DF418E4" wp14:editId="286BB8EC">
            <wp:extent cx="5486400" cy="4029739"/>
            <wp:effectExtent l="19050" t="0" r="19050" b="8861"/>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A71E74" w14:textId="77777777" w:rsidR="000C013D" w:rsidRPr="00143B41" w:rsidRDefault="000C013D" w:rsidP="00444603">
      <w:pPr>
        <w:spacing w:before="240" w:after="240" w:line="384" w:lineRule="auto"/>
        <w:jc w:val="both"/>
        <w:rPr>
          <w:rFonts w:ascii="Times New Roman" w:hAnsi="Times New Roman" w:cs="Times New Roman"/>
          <w:color w:val="000000" w:themeColor="text1"/>
          <w:sz w:val="28"/>
          <w:szCs w:val="28"/>
        </w:rPr>
      </w:pPr>
    </w:p>
    <w:p w14:paraId="07D67126" w14:textId="77777777" w:rsidR="00C37A15" w:rsidRDefault="00C37A15" w:rsidP="00444603">
      <w:pPr>
        <w:spacing w:before="240" w:after="240" w:line="384" w:lineRule="auto"/>
        <w:jc w:val="both"/>
        <w:rPr>
          <w:rFonts w:ascii="Times New Roman" w:hAnsi="Times New Roman" w:cs="Times New Roman"/>
          <w:b/>
          <w:color w:val="000000" w:themeColor="text1"/>
          <w:sz w:val="24"/>
          <w:szCs w:val="24"/>
        </w:rPr>
      </w:pPr>
    </w:p>
    <w:p w14:paraId="5CE88332" w14:textId="1862229C" w:rsidR="0003552A" w:rsidRPr="00143B41" w:rsidRDefault="0003552A" w:rsidP="00444603">
      <w:pPr>
        <w:spacing w:before="240" w:after="240" w:line="384" w:lineRule="auto"/>
        <w:jc w:val="both"/>
        <w:rPr>
          <w:rFonts w:ascii="Times New Roman" w:hAnsi="Times New Roman" w:cs="Times New Roman"/>
          <w:b/>
          <w:color w:val="000000" w:themeColor="text1"/>
          <w:sz w:val="24"/>
          <w:szCs w:val="24"/>
        </w:rPr>
      </w:pPr>
      <w:r w:rsidRPr="00143B41">
        <w:rPr>
          <w:rFonts w:ascii="Times New Roman" w:hAnsi="Times New Roman" w:cs="Times New Roman"/>
          <w:b/>
          <w:color w:val="000000" w:themeColor="text1"/>
          <w:sz w:val="24"/>
          <w:szCs w:val="24"/>
        </w:rPr>
        <w:lastRenderedPageBreak/>
        <w:t>Table 4.7: Descriptive statistics for selected Nepalese commercial banks</w:t>
      </w:r>
    </w:p>
    <w:tbl>
      <w:tblPr>
        <w:tblStyle w:val="TableGrid"/>
        <w:tblW w:w="0" w:type="auto"/>
        <w:tblLook w:val="04A0" w:firstRow="1" w:lastRow="0" w:firstColumn="1" w:lastColumn="0" w:noHBand="0" w:noVBand="1"/>
      </w:tblPr>
      <w:tblGrid>
        <w:gridCol w:w="1771"/>
        <w:gridCol w:w="1771"/>
        <w:gridCol w:w="1771"/>
        <w:gridCol w:w="1771"/>
        <w:gridCol w:w="1772"/>
      </w:tblGrid>
      <w:tr w:rsidR="0003552A" w:rsidRPr="00143B41" w14:paraId="23D1AE16" w14:textId="77777777" w:rsidTr="001A0385">
        <w:tc>
          <w:tcPr>
            <w:tcW w:w="1771" w:type="dxa"/>
            <w:vAlign w:val="center"/>
          </w:tcPr>
          <w:p w14:paraId="5EFE0E2C"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Variables</w:t>
            </w:r>
          </w:p>
        </w:tc>
        <w:tc>
          <w:tcPr>
            <w:tcW w:w="1771" w:type="dxa"/>
            <w:vAlign w:val="center"/>
          </w:tcPr>
          <w:p w14:paraId="5372953C"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Minimum</w:t>
            </w:r>
          </w:p>
        </w:tc>
        <w:tc>
          <w:tcPr>
            <w:tcW w:w="1771" w:type="dxa"/>
            <w:vAlign w:val="center"/>
          </w:tcPr>
          <w:p w14:paraId="6DD4042C"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Maximum</w:t>
            </w:r>
          </w:p>
        </w:tc>
        <w:tc>
          <w:tcPr>
            <w:tcW w:w="1771" w:type="dxa"/>
            <w:vAlign w:val="center"/>
          </w:tcPr>
          <w:p w14:paraId="79B102F8"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Mean</w:t>
            </w:r>
          </w:p>
        </w:tc>
        <w:tc>
          <w:tcPr>
            <w:tcW w:w="1772" w:type="dxa"/>
            <w:vAlign w:val="center"/>
          </w:tcPr>
          <w:p w14:paraId="16CBCF05"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S.D.</w:t>
            </w:r>
          </w:p>
        </w:tc>
      </w:tr>
      <w:tr w:rsidR="0003552A" w:rsidRPr="00143B41" w14:paraId="2BCE45A3" w14:textId="77777777" w:rsidTr="001A0385">
        <w:tc>
          <w:tcPr>
            <w:tcW w:w="1771" w:type="dxa"/>
            <w:vAlign w:val="center"/>
          </w:tcPr>
          <w:p w14:paraId="3E104F78"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EPS</w:t>
            </w:r>
          </w:p>
        </w:tc>
        <w:tc>
          <w:tcPr>
            <w:tcW w:w="1771" w:type="dxa"/>
            <w:vAlign w:val="center"/>
          </w:tcPr>
          <w:p w14:paraId="12C58165"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2.61</w:t>
            </w:r>
          </w:p>
        </w:tc>
        <w:tc>
          <w:tcPr>
            <w:tcW w:w="1771" w:type="dxa"/>
            <w:vAlign w:val="center"/>
          </w:tcPr>
          <w:p w14:paraId="3E01A827"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46.20</w:t>
            </w:r>
          </w:p>
        </w:tc>
        <w:tc>
          <w:tcPr>
            <w:tcW w:w="1771" w:type="dxa"/>
            <w:vAlign w:val="center"/>
          </w:tcPr>
          <w:p w14:paraId="609CBD4D"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23.03</w:t>
            </w:r>
          </w:p>
        </w:tc>
        <w:tc>
          <w:tcPr>
            <w:tcW w:w="1772" w:type="dxa"/>
            <w:vAlign w:val="center"/>
          </w:tcPr>
          <w:p w14:paraId="78172AB4"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6.95</w:t>
            </w:r>
          </w:p>
        </w:tc>
      </w:tr>
      <w:tr w:rsidR="0003552A" w:rsidRPr="00143B41" w14:paraId="4E9D31B1" w14:textId="77777777" w:rsidTr="001A0385">
        <w:tc>
          <w:tcPr>
            <w:tcW w:w="1771" w:type="dxa"/>
            <w:vAlign w:val="center"/>
          </w:tcPr>
          <w:p w14:paraId="235236A3"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DPS</w:t>
            </w:r>
          </w:p>
        </w:tc>
        <w:tc>
          <w:tcPr>
            <w:tcW w:w="1771" w:type="dxa"/>
            <w:vAlign w:val="center"/>
          </w:tcPr>
          <w:p w14:paraId="2406DC70"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0.00</w:t>
            </w:r>
          </w:p>
        </w:tc>
        <w:tc>
          <w:tcPr>
            <w:tcW w:w="1771" w:type="dxa"/>
            <w:vAlign w:val="center"/>
          </w:tcPr>
          <w:p w14:paraId="36438AA2"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41.96</w:t>
            </w:r>
          </w:p>
        </w:tc>
        <w:tc>
          <w:tcPr>
            <w:tcW w:w="1771" w:type="dxa"/>
            <w:vAlign w:val="center"/>
          </w:tcPr>
          <w:p w14:paraId="582A2970"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18.61</w:t>
            </w:r>
          </w:p>
        </w:tc>
        <w:tc>
          <w:tcPr>
            <w:tcW w:w="1772" w:type="dxa"/>
            <w:vAlign w:val="center"/>
          </w:tcPr>
          <w:p w14:paraId="64849D8E"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2.96</w:t>
            </w:r>
          </w:p>
        </w:tc>
      </w:tr>
      <w:tr w:rsidR="0003552A" w:rsidRPr="00143B41" w14:paraId="1BC0EC06" w14:textId="77777777" w:rsidTr="001A0385">
        <w:tc>
          <w:tcPr>
            <w:tcW w:w="1771" w:type="dxa"/>
            <w:vAlign w:val="center"/>
          </w:tcPr>
          <w:p w14:paraId="7F883CB9"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P/E ratio</w:t>
            </w:r>
          </w:p>
        </w:tc>
        <w:tc>
          <w:tcPr>
            <w:tcW w:w="1771" w:type="dxa"/>
            <w:vAlign w:val="center"/>
          </w:tcPr>
          <w:p w14:paraId="288E74DA"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11.38</w:t>
            </w:r>
          </w:p>
        </w:tc>
        <w:tc>
          <w:tcPr>
            <w:tcW w:w="1771" w:type="dxa"/>
            <w:vAlign w:val="center"/>
          </w:tcPr>
          <w:p w14:paraId="7C259B8B"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69.35</w:t>
            </w:r>
          </w:p>
        </w:tc>
        <w:tc>
          <w:tcPr>
            <w:tcW w:w="1771" w:type="dxa"/>
            <w:vAlign w:val="center"/>
          </w:tcPr>
          <w:p w14:paraId="49CD2738"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24.99</w:t>
            </w:r>
          </w:p>
        </w:tc>
        <w:tc>
          <w:tcPr>
            <w:tcW w:w="1772" w:type="dxa"/>
            <w:vAlign w:val="center"/>
          </w:tcPr>
          <w:p w14:paraId="5E6675C5"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3.44</w:t>
            </w:r>
          </w:p>
        </w:tc>
      </w:tr>
      <w:tr w:rsidR="0003552A" w:rsidRPr="00143B41" w14:paraId="1395CA58" w14:textId="77777777" w:rsidTr="001A0385">
        <w:tc>
          <w:tcPr>
            <w:tcW w:w="1771" w:type="dxa"/>
            <w:vAlign w:val="center"/>
          </w:tcPr>
          <w:p w14:paraId="532B5368"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ROA</w:t>
            </w:r>
          </w:p>
        </w:tc>
        <w:tc>
          <w:tcPr>
            <w:tcW w:w="1771" w:type="dxa"/>
            <w:vAlign w:val="center"/>
          </w:tcPr>
          <w:p w14:paraId="402BA395"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0.30</w:t>
            </w:r>
          </w:p>
        </w:tc>
        <w:tc>
          <w:tcPr>
            <w:tcW w:w="1771" w:type="dxa"/>
            <w:vAlign w:val="center"/>
          </w:tcPr>
          <w:p w14:paraId="652F6D0F"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3</w:t>
            </w:r>
          </w:p>
        </w:tc>
        <w:tc>
          <w:tcPr>
            <w:tcW w:w="1771" w:type="dxa"/>
            <w:vAlign w:val="center"/>
          </w:tcPr>
          <w:p w14:paraId="6777C1CC"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1.59</w:t>
            </w:r>
          </w:p>
        </w:tc>
        <w:tc>
          <w:tcPr>
            <w:tcW w:w="1772" w:type="dxa"/>
            <w:vAlign w:val="center"/>
          </w:tcPr>
          <w:p w14:paraId="785297C8"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0.32</w:t>
            </w:r>
          </w:p>
        </w:tc>
      </w:tr>
      <w:tr w:rsidR="0003552A" w:rsidRPr="00143B41" w14:paraId="18772F6A" w14:textId="77777777" w:rsidTr="001A0385">
        <w:tc>
          <w:tcPr>
            <w:tcW w:w="1771" w:type="dxa"/>
            <w:vAlign w:val="center"/>
          </w:tcPr>
          <w:p w14:paraId="74806104"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BVPS</w:t>
            </w:r>
          </w:p>
        </w:tc>
        <w:tc>
          <w:tcPr>
            <w:tcW w:w="1771" w:type="dxa"/>
            <w:vAlign w:val="center"/>
          </w:tcPr>
          <w:p w14:paraId="7C16C87E"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113</w:t>
            </w:r>
          </w:p>
        </w:tc>
        <w:tc>
          <w:tcPr>
            <w:tcW w:w="1771" w:type="dxa"/>
            <w:vAlign w:val="center"/>
          </w:tcPr>
          <w:p w14:paraId="1116754C"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192</w:t>
            </w:r>
          </w:p>
        </w:tc>
        <w:tc>
          <w:tcPr>
            <w:tcW w:w="1771" w:type="dxa"/>
            <w:vAlign w:val="center"/>
          </w:tcPr>
          <w:p w14:paraId="259EB143"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142.8</w:t>
            </w:r>
          </w:p>
        </w:tc>
        <w:tc>
          <w:tcPr>
            <w:tcW w:w="1772" w:type="dxa"/>
            <w:vAlign w:val="center"/>
          </w:tcPr>
          <w:p w14:paraId="54032A36"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20.88</w:t>
            </w:r>
          </w:p>
        </w:tc>
      </w:tr>
      <w:tr w:rsidR="0003552A" w:rsidRPr="00143B41" w14:paraId="473B6A1D" w14:textId="77777777" w:rsidTr="001A0385">
        <w:tc>
          <w:tcPr>
            <w:tcW w:w="1771" w:type="dxa"/>
            <w:vAlign w:val="center"/>
          </w:tcPr>
          <w:p w14:paraId="2F62A829" w14:textId="77777777" w:rsidR="0003552A" w:rsidRPr="001A0385" w:rsidRDefault="0003552A" w:rsidP="001A0385">
            <w:pPr>
              <w:jc w:val="center"/>
              <w:rPr>
                <w:rFonts w:ascii="Times New Roman" w:hAnsi="Times New Roman" w:cs="Times New Roman"/>
                <w:b/>
                <w:sz w:val="24"/>
                <w:szCs w:val="24"/>
              </w:rPr>
            </w:pPr>
            <w:r w:rsidRPr="001A0385">
              <w:rPr>
                <w:rFonts w:ascii="Times New Roman" w:hAnsi="Times New Roman" w:cs="Times New Roman"/>
                <w:b/>
                <w:sz w:val="24"/>
                <w:szCs w:val="24"/>
              </w:rPr>
              <w:t>MPS</w:t>
            </w:r>
          </w:p>
        </w:tc>
        <w:tc>
          <w:tcPr>
            <w:tcW w:w="1771" w:type="dxa"/>
            <w:vAlign w:val="center"/>
          </w:tcPr>
          <w:p w14:paraId="76D9FEA3"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175</w:t>
            </w:r>
          </w:p>
        </w:tc>
        <w:tc>
          <w:tcPr>
            <w:tcW w:w="1771" w:type="dxa"/>
            <w:vAlign w:val="center"/>
          </w:tcPr>
          <w:p w14:paraId="240AB9F0"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1550</w:t>
            </w:r>
          </w:p>
        </w:tc>
        <w:tc>
          <w:tcPr>
            <w:tcW w:w="1771" w:type="dxa"/>
            <w:vAlign w:val="center"/>
          </w:tcPr>
          <w:p w14:paraId="4A8BF671"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549.83</w:t>
            </w:r>
          </w:p>
        </w:tc>
        <w:tc>
          <w:tcPr>
            <w:tcW w:w="1772" w:type="dxa"/>
            <w:vAlign w:val="center"/>
          </w:tcPr>
          <w:p w14:paraId="767A271D" w14:textId="77777777" w:rsidR="0003552A" w:rsidRPr="001A0385" w:rsidRDefault="0003552A" w:rsidP="001A0385">
            <w:pPr>
              <w:jc w:val="center"/>
              <w:rPr>
                <w:rFonts w:ascii="Times New Roman" w:hAnsi="Times New Roman" w:cs="Times New Roman"/>
                <w:bCs/>
                <w:sz w:val="24"/>
                <w:szCs w:val="24"/>
              </w:rPr>
            </w:pPr>
            <w:r w:rsidRPr="001A0385">
              <w:rPr>
                <w:rFonts w:ascii="Times New Roman" w:hAnsi="Times New Roman" w:cs="Times New Roman"/>
                <w:bCs/>
                <w:sz w:val="24"/>
                <w:szCs w:val="24"/>
              </w:rPr>
              <w:t>203.03</w:t>
            </w:r>
          </w:p>
        </w:tc>
      </w:tr>
    </w:tbl>
    <w:p w14:paraId="6127C600" w14:textId="77777777" w:rsidR="00F8471F" w:rsidRDefault="00F8471F" w:rsidP="00444603">
      <w:pPr>
        <w:spacing w:before="240" w:after="240" w:line="384" w:lineRule="auto"/>
        <w:jc w:val="both"/>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 xml:space="preserve">                                                                             </w:t>
      </w:r>
      <w:r w:rsidRPr="00F8471F">
        <w:rPr>
          <w:rFonts w:ascii="Times New Roman" w:hAnsi="Times New Roman" w:cs="Times New Roman"/>
          <w:color w:val="000000" w:themeColor="text1"/>
          <w:sz w:val="24"/>
          <w:szCs w:val="24"/>
        </w:rPr>
        <w:t xml:space="preserve">Source: </w:t>
      </w:r>
      <w:r w:rsidRPr="00F8471F">
        <w:rPr>
          <w:rFonts w:ascii="Times New Roman" w:hAnsi="Times New Roman" w:cs="Times New Roman"/>
          <w:i/>
          <w:color w:val="000000" w:themeColor="text1"/>
          <w:sz w:val="24"/>
          <w:szCs w:val="24"/>
        </w:rPr>
        <w:t>Annual Report of concern Banks</w:t>
      </w:r>
      <w:r>
        <w:rPr>
          <w:rFonts w:ascii="Times New Roman" w:hAnsi="Times New Roman" w:cs="Times New Roman"/>
          <w:i/>
          <w:color w:val="000000" w:themeColor="text1"/>
          <w:sz w:val="24"/>
          <w:szCs w:val="24"/>
        </w:rPr>
        <w:t xml:space="preserve"> </w:t>
      </w:r>
    </w:p>
    <w:p w14:paraId="4D62A7A3" w14:textId="723472DF" w:rsidR="0003552A" w:rsidRPr="00143B41" w:rsidRDefault="0003552A"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Table 4.7 shows the descriptive statistics of dependent and independent variables for the Nepalese commercial banks. Clearly, earning per share from a minimum of 2.61 rupees to a maximum of 46.20 rupees leading to an average of 23.03 rupees. The dividend per share of selected banks during the study period is noticed to be 18.61 rupees with a minimum of 0.00 rupees and a maximum of 41.96 rupees. Likewise, P/E ratio has a minimum of 11.38 times to a maximum of 69.35 times with an average of 24.99 times. Return on assets from a minimum of 0.30 to maximum of 3 leading to an average of 1.59. Similarly, Book value per share has minimum value of 113 rupees to maximum value 192 rupees with an average 142.8 of rupees. Market prices ranges from a minimum of 175 rupees to maximum of 1550 rupees with an average of 549.83 rupees.</w:t>
      </w:r>
    </w:p>
    <w:p w14:paraId="305CBAD6" w14:textId="77777777" w:rsidR="000C013D" w:rsidRPr="00143B41" w:rsidRDefault="000C013D" w:rsidP="00444603">
      <w:pPr>
        <w:tabs>
          <w:tab w:val="left" w:pos="7033"/>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b/>
          <w:bCs/>
          <w:color w:val="000000" w:themeColor="text1"/>
          <w:sz w:val="28"/>
          <w:szCs w:val="28"/>
        </w:rPr>
        <w:t>4.2 Correlation Analysis</w:t>
      </w:r>
    </w:p>
    <w:p w14:paraId="70787F01" w14:textId="77777777" w:rsidR="000C013D" w:rsidRPr="00143B41" w:rsidRDefault="000C013D" w:rsidP="00444603">
      <w:pPr>
        <w:tabs>
          <w:tab w:val="left" w:pos="5497"/>
        </w:tabs>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Having indicated the descriptive statistics, the Pearson correlation coefficients have been computed and results are presented in the Table 4.8. More specifically, it shows the correlation coefficients of dependent and independent variables for Nepalese commercial banks. The table shows the Pearson’s correlation coefficients between dependent and independent variables of selected Nepalese commercial banks for the study period of 2068/69 to 2075/76.</w:t>
      </w:r>
    </w:p>
    <w:p w14:paraId="73DDA255" w14:textId="77777777" w:rsidR="00C37A15" w:rsidRDefault="00C37A15" w:rsidP="00444603">
      <w:pPr>
        <w:tabs>
          <w:tab w:val="left" w:pos="5497"/>
        </w:tabs>
        <w:spacing w:before="240" w:after="240" w:line="384" w:lineRule="auto"/>
        <w:jc w:val="both"/>
        <w:rPr>
          <w:rFonts w:ascii="Times New Roman" w:hAnsi="Times New Roman" w:cs="Times New Roman"/>
          <w:b/>
          <w:bCs/>
          <w:color w:val="000000" w:themeColor="text1"/>
          <w:sz w:val="24"/>
          <w:szCs w:val="24"/>
        </w:rPr>
      </w:pPr>
    </w:p>
    <w:p w14:paraId="59AD2C58" w14:textId="25E4D218" w:rsidR="000C013D" w:rsidRPr="00143B41" w:rsidRDefault="000C013D" w:rsidP="00444603">
      <w:pPr>
        <w:tabs>
          <w:tab w:val="left" w:pos="5497"/>
        </w:tabs>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lastRenderedPageBreak/>
        <w:t>Table 4.8: Pearson’s correlation coefficients matrix for selected Nepalese commercial banks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93"/>
        <w:gridCol w:w="1061"/>
        <w:gridCol w:w="1061"/>
        <w:gridCol w:w="1060"/>
        <w:gridCol w:w="1060"/>
        <w:gridCol w:w="1060"/>
        <w:gridCol w:w="1055"/>
      </w:tblGrid>
      <w:tr w:rsidR="000C013D" w:rsidRPr="00D742F0" w14:paraId="671FEB3B" w14:textId="77777777" w:rsidTr="00D742F0">
        <w:trPr>
          <w:cantSplit/>
        </w:trPr>
        <w:tc>
          <w:tcPr>
            <w:tcW w:w="5000" w:type="pct"/>
            <w:gridSpan w:val="7"/>
            <w:shd w:val="clear" w:color="auto" w:fill="FFFFFF"/>
            <w:vAlign w:val="center"/>
          </w:tcPr>
          <w:p w14:paraId="638B03DC" w14:textId="77777777" w:rsidR="000C013D" w:rsidRPr="00D742F0" w:rsidRDefault="000C013D" w:rsidP="00D742F0">
            <w:pPr>
              <w:autoSpaceDE w:val="0"/>
              <w:autoSpaceDN w:val="0"/>
              <w:adjustRightInd w:val="0"/>
              <w:spacing w:after="0" w:line="320" w:lineRule="atLeast"/>
              <w:ind w:left="60" w:right="60"/>
              <w:jc w:val="center"/>
              <w:rPr>
                <w:rFonts w:ascii="Times New Roman" w:eastAsia="Times New Roman" w:hAnsi="Times New Roman" w:cs="Times New Roman"/>
                <w:b/>
                <w:bCs/>
                <w:sz w:val="24"/>
                <w:szCs w:val="24"/>
                <w:lang w:bidi="en-US"/>
              </w:rPr>
            </w:pPr>
            <w:r w:rsidRPr="00D742F0">
              <w:rPr>
                <w:rFonts w:ascii="Times New Roman" w:eastAsia="Times New Roman" w:hAnsi="Times New Roman" w:cs="Times New Roman"/>
                <w:b/>
                <w:bCs/>
                <w:sz w:val="24"/>
                <w:szCs w:val="24"/>
                <w:lang w:bidi="en-US"/>
              </w:rPr>
              <w:t>Correlations</w:t>
            </w:r>
          </w:p>
        </w:tc>
      </w:tr>
      <w:tr w:rsidR="000C013D" w:rsidRPr="00D742F0" w14:paraId="62454E63" w14:textId="77777777" w:rsidTr="00354635">
        <w:trPr>
          <w:cantSplit/>
        </w:trPr>
        <w:tc>
          <w:tcPr>
            <w:tcW w:w="1325" w:type="pct"/>
            <w:shd w:val="clear" w:color="auto" w:fill="FFFFFF"/>
          </w:tcPr>
          <w:p w14:paraId="4E902E3E"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p>
        </w:tc>
        <w:tc>
          <w:tcPr>
            <w:tcW w:w="613" w:type="pct"/>
            <w:shd w:val="clear" w:color="auto" w:fill="FFFFFF"/>
          </w:tcPr>
          <w:p w14:paraId="0C4AEB60"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Earning Per Share</w:t>
            </w:r>
          </w:p>
        </w:tc>
        <w:tc>
          <w:tcPr>
            <w:tcW w:w="613" w:type="pct"/>
            <w:shd w:val="clear" w:color="auto" w:fill="FFFFFF"/>
          </w:tcPr>
          <w:p w14:paraId="3134761A"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Dividend Per Share</w:t>
            </w:r>
          </w:p>
        </w:tc>
        <w:tc>
          <w:tcPr>
            <w:tcW w:w="613" w:type="pct"/>
            <w:shd w:val="clear" w:color="auto" w:fill="FFFFFF"/>
          </w:tcPr>
          <w:p w14:paraId="44A38E13"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 xml:space="preserve">Price </w:t>
            </w:r>
            <w:proofErr w:type="spellStart"/>
            <w:r w:rsidRPr="00D742F0">
              <w:rPr>
                <w:rFonts w:ascii="Times New Roman" w:eastAsia="Times New Roman" w:hAnsi="Times New Roman" w:cs="Times New Roman"/>
                <w:sz w:val="24"/>
                <w:szCs w:val="24"/>
                <w:lang w:bidi="en-US"/>
              </w:rPr>
              <w:t>Earning</w:t>
            </w:r>
            <w:proofErr w:type="spellEnd"/>
            <w:r w:rsidRPr="00D742F0">
              <w:rPr>
                <w:rFonts w:ascii="Times New Roman" w:eastAsia="Times New Roman" w:hAnsi="Times New Roman" w:cs="Times New Roman"/>
                <w:sz w:val="24"/>
                <w:szCs w:val="24"/>
                <w:lang w:bidi="en-US"/>
              </w:rPr>
              <w:t xml:space="preserve"> Ratio</w:t>
            </w:r>
          </w:p>
        </w:tc>
        <w:tc>
          <w:tcPr>
            <w:tcW w:w="613" w:type="pct"/>
            <w:shd w:val="clear" w:color="auto" w:fill="FFFFFF"/>
          </w:tcPr>
          <w:p w14:paraId="518E4572"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Return on Assets</w:t>
            </w:r>
          </w:p>
        </w:tc>
        <w:tc>
          <w:tcPr>
            <w:tcW w:w="613" w:type="pct"/>
            <w:shd w:val="clear" w:color="auto" w:fill="FFFFFF"/>
          </w:tcPr>
          <w:p w14:paraId="5A0AF862"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Book Value Per Share</w:t>
            </w:r>
          </w:p>
        </w:tc>
        <w:tc>
          <w:tcPr>
            <w:tcW w:w="610" w:type="pct"/>
            <w:shd w:val="clear" w:color="auto" w:fill="FFFFFF"/>
          </w:tcPr>
          <w:p w14:paraId="71E7BCDD"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Market Per Share</w:t>
            </w:r>
          </w:p>
        </w:tc>
      </w:tr>
      <w:tr w:rsidR="000C013D" w:rsidRPr="00D742F0" w14:paraId="45EC96DA" w14:textId="77777777" w:rsidTr="00354635">
        <w:trPr>
          <w:cantSplit/>
        </w:trPr>
        <w:tc>
          <w:tcPr>
            <w:tcW w:w="1325" w:type="pct"/>
            <w:shd w:val="clear" w:color="auto" w:fill="FFFFFF"/>
            <w:vAlign w:val="center"/>
          </w:tcPr>
          <w:p w14:paraId="17DD1F95"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Earning Per Share</w:t>
            </w:r>
          </w:p>
        </w:tc>
        <w:tc>
          <w:tcPr>
            <w:tcW w:w="613" w:type="pct"/>
            <w:shd w:val="clear" w:color="auto" w:fill="FFFFFF"/>
            <w:vAlign w:val="center"/>
          </w:tcPr>
          <w:p w14:paraId="19115506"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w:t>
            </w:r>
          </w:p>
        </w:tc>
        <w:tc>
          <w:tcPr>
            <w:tcW w:w="613" w:type="pct"/>
            <w:shd w:val="clear" w:color="auto" w:fill="FFFFFF"/>
            <w:vAlign w:val="center"/>
          </w:tcPr>
          <w:p w14:paraId="48F77C01"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.434**</w:t>
            </w:r>
          </w:p>
        </w:tc>
        <w:tc>
          <w:tcPr>
            <w:tcW w:w="613" w:type="pct"/>
            <w:shd w:val="clear" w:color="auto" w:fill="FFFFFF"/>
            <w:vAlign w:val="center"/>
          </w:tcPr>
          <w:p w14:paraId="595D0E60"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-.275</w:t>
            </w:r>
          </w:p>
        </w:tc>
        <w:tc>
          <w:tcPr>
            <w:tcW w:w="613" w:type="pct"/>
            <w:shd w:val="clear" w:color="auto" w:fill="FFFFFF"/>
            <w:vAlign w:val="center"/>
          </w:tcPr>
          <w:p w14:paraId="61FD54CF"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.751**</w:t>
            </w:r>
          </w:p>
        </w:tc>
        <w:tc>
          <w:tcPr>
            <w:tcW w:w="613" w:type="pct"/>
            <w:shd w:val="clear" w:color="auto" w:fill="FFFFFF"/>
            <w:vAlign w:val="center"/>
          </w:tcPr>
          <w:p w14:paraId="4EAB8488"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.781**</w:t>
            </w:r>
          </w:p>
        </w:tc>
        <w:tc>
          <w:tcPr>
            <w:tcW w:w="610" w:type="pct"/>
            <w:shd w:val="clear" w:color="auto" w:fill="FFFFFF"/>
            <w:vAlign w:val="center"/>
          </w:tcPr>
          <w:p w14:paraId="25082E7F"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-.324*</w:t>
            </w:r>
          </w:p>
        </w:tc>
      </w:tr>
      <w:tr w:rsidR="000C013D" w:rsidRPr="00D742F0" w14:paraId="24D03B93" w14:textId="77777777" w:rsidTr="00354635">
        <w:trPr>
          <w:cantSplit/>
        </w:trPr>
        <w:tc>
          <w:tcPr>
            <w:tcW w:w="1325" w:type="pct"/>
            <w:shd w:val="clear" w:color="auto" w:fill="FFFFFF"/>
            <w:vAlign w:val="center"/>
          </w:tcPr>
          <w:p w14:paraId="2064056F"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Dividend Per Share</w:t>
            </w:r>
          </w:p>
        </w:tc>
        <w:tc>
          <w:tcPr>
            <w:tcW w:w="613" w:type="pct"/>
            <w:shd w:val="clear" w:color="auto" w:fill="FFFFFF"/>
            <w:vAlign w:val="center"/>
          </w:tcPr>
          <w:p w14:paraId="38313DCE"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.434**</w:t>
            </w:r>
          </w:p>
        </w:tc>
        <w:tc>
          <w:tcPr>
            <w:tcW w:w="613" w:type="pct"/>
            <w:shd w:val="clear" w:color="auto" w:fill="FFFFFF"/>
            <w:vAlign w:val="center"/>
          </w:tcPr>
          <w:p w14:paraId="541CD071"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w:t>
            </w:r>
          </w:p>
        </w:tc>
        <w:tc>
          <w:tcPr>
            <w:tcW w:w="613" w:type="pct"/>
            <w:shd w:val="clear" w:color="auto" w:fill="FFFFFF"/>
            <w:vAlign w:val="center"/>
          </w:tcPr>
          <w:p w14:paraId="70755943"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-.198</w:t>
            </w:r>
          </w:p>
        </w:tc>
        <w:tc>
          <w:tcPr>
            <w:tcW w:w="613" w:type="pct"/>
            <w:shd w:val="clear" w:color="auto" w:fill="FFFFFF"/>
            <w:vAlign w:val="center"/>
          </w:tcPr>
          <w:p w14:paraId="60EE53DA"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.393*</w:t>
            </w:r>
          </w:p>
        </w:tc>
        <w:tc>
          <w:tcPr>
            <w:tcW w:w="613" w:type="pct"/>
            <w:shd w:val="clear" w:color="auto" w:fill="FFFFFF"/>
            <w:vAlign w:val="center"/>
          </w:tcPr>
          <w:p w14:paraId="3213BD6B"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.228</w:t>
            </w:r>
          </w:p>
        </w:tc>
        <w:tc>
          <w:tcPr>
            <w:tcW w:w="610" w:type="pct"/>
            <w:shd w:val="clear" w:color="auto" w:fill="FFFFFF"/>
            <w:vAlign w:val="center"/>
          </w:tcPr>
          <w:p w14:paraId="3A5688F0"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-.119</w:t>
            </w:r>
          </w:p>
        </w:tc>
      </w:tr>
      <w:tr w:rsidR="000C013D" w:rsidRPr="00D742F0" w14:paraId="312E5F3B" w14:textId="77777777" w:rsidTr="00354635">
        <w:trPr>
          <w:cantSplit/>
        </w:trPr>
        <w:tc>
          <w:tcPr>
            <w:tcW w:w="1325" w:type="pct"/>
            <w:shd w:val="clear" w:color="auto" w:fill="FFFFFF"/>
            <w:vAlign w:val="center"/>
          </w:tcPr>
          <w:p w14:paraId="638A4ED1"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 xml:space="preserve">Price </w:t>
            </w:r>
            <w:proofErr w:type="spellStart"/>
            <w:r w:rsidRPr="00D742F0">
              <w:rPr>
                <w:rFonts w:ascii="Times New Roman" w:eastAsia="Times New Roman" w:hAnsi="Times New Roman" w:cs="Times New Roman"/>
                <w:sz w:val="24"/>
                <w:szCs w:val="24"/>
                <w:lang w:bidi="en-US"/>
              </w:rPr>
              <w:t>Earning</w:t>
            </w:r>
            <w:proofErr w:type="spellEnd"/>
            <w:r w:rsidRPr="00D742F0">
              <w:rPr>
                <w:rFonts w:ascii="Times New Roman" w:eastAsia="Times New Roman" w:hAnsi="Times New Roman" w:cs="Times New Roman"/>
                <w:sz w:val="24"/>
                <w:szCs w:val="24"/>
                <w:lang w:bidi="en-US"/>
              </w:rPr>
              <w:t xml:space="preserve"> Ratio</w:t>
            </w:r>
          </w:p>
        </w:tc>
        <w:tc>
          <w:tcPr>
            <w:tcW w:w="613" w:type="pct"/>
            <w:shd w:val="clear" w:color="auto" w:fill="FFFFFF"/>
            <w:vAlign w:val="center"/>
          </w:tcPr>
          <w:p w14:paraId="4BFE8EA7"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-.275</w:t>
            </w:r>
          </w:p>
        </w:tc>
        <w:tc>
          <w:tcPr>
            <w:tcW w:w="613" w:type="pct"/>
            <w:shd w:val="clear" w:color="auto" w:fill="FFFFFF"/>
            <w:vAlign w:val="center"/>
          </w:tcPr>
          <w:p w14:paraId="7FB377A1"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-.198</w:t>
            </w:r>
          </w:p>
        </w:tc>
        <w:tc>
          <w:tcPr>
            <w:tcW w:w="613" w:type="pct"/>
            <w:shd w:val="clear" w:color="auto" w:fill="FFFFFF"/>
            <w:vAlign w:val="center"/>
          </w:tcPr>
          <w:p w14:paraId="230148F6"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w:t>
            </w:r>
          </w:p>
        </w:tc>
        <w:tc>
          <w:tcPr>
            <w:tcW w:w="613" w:type="pct"/>
            <w:shd w:val="clear" w:color="auto" w:fill="FFFFFF"/>
            <w:vAlign w:val="center"/>
          </w:tcPr>
          <w:p w14:paraId="0358C762"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-.390*</w:t>
            </w:r>
          </w:p>
        </w:tc>
        <w:tc>
          <w:tcPr>
            <w:tcW w:w="613" w:type="pct"/>
            <w:shd w:val="clear" w:color="auto" w:fill="FFFFFF"/>
            <w:vAlign w:val="center"/>
          </w:tcPr>
          <w:p w14:paraId="7FE5AF0C"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-.127</w:t>
            </w:r>
          </w:p>
        </w:tc>
        <w:tc>
          <w:tcPr>
            <w:tcW w:w="610" w:type="pct"/>
            <w:shd w:val="clear" w:color="auto" w:fill="FFFFFF"/>
            <w:vAlign w:val="center"/>
          </w:tcPr>
          <w:p w14:paraId="29796542"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.175</w:t>
            </w:r>
          </w:p>
        </w:tc>
      </w:tr>
      <w:tr w:rsidR="000C013D" w:rsidRPr="00D742F0" w14:paraId="7079EBB2" w14:textId="77777777" w:rsidTr="00354635">
        <w:trPr>
          <w:cantSplit/>
        </w:trPr>
        <w:tc>
          <w:tcPr>
            <w:tcW w:w="1325" w:type="pct"/>
            <w:shd w:val="clear" w:color="auto" w:fill="FFFFFF"/>
            <w:vAlign w:val="center"/>
          </w:tcPr>
          <w:p w14:paraId="5B08347F"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Return on Assets</w:t>
            </w:r>
          </w:p>
        </w:tc>
        <w:tc>
          <w:tcPr>
            <w:tcW w:w="613" w:type="pct"/>
            <w:shd w:val="clear" w:color="auto" w:fill="FFFFFF"/>
            <w:vAlign w:val="center"/>
          </w:tcPr>
          <w:p w14:paraId="64D2D2B6"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.751**</w:t>
            </w:r>
          </w:p>
        </w:tc>
        <w:tc>
          <w:tcPr>
            <w:tcW w:w="613" w:type="pct"/>
            <w:shd w:val="clear" w:color="auto" w:fill="FFFFFF"/>
            <w:vAlign w:val="center"/>
          </w:tcPr>
          <w:p w14:paraId="06EA8383"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.393*</w:t>
            </w:r>
          </w:p>
        </w:tc>
        <w:tc>
          <w:tcPr>
            <w:tcW w:w="613" w:type="pct"/>
            <w:shd w:val="clear" w:color="auto" w:fill="FFFFFF"/>
            <w:vAlign w:val="center"/>
          </w:tcPr>
          <w:p w14:paraId="6DC3E193"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-.390*</w:t>
            </w:r>
          </w:p>
        </w:tc>
        <w:tc>
          <w:tcPr>
            <w:tcW w:w="613" w:type="pct"/>
            <w:shd w:val="clear" w:color="auto" w:fill="FFFFFF"/>
            <w:vAlign w:val="center"/>
          </w:tcPr>
          <w:p w14:paraId="0EB1ABF5"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w:t>
            </w:r>
          </w:p>
        </w:tc>
        <w:tc>
          <w:tcPr>
            <w:tcW w:w="613" w:type="pct"/>
            <w:shd w:val="clear" w:color="auto" w:fill="FFFFFF"/>
            <w:vAlign w:val="center"/>
          </w:tcPr>
          <w:p w14:paraId="511E8AAE"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.483**</w:t>
            </w:r>
          </w:p>
        </w:tc>
        <w:tc>
          <w:tcPr>
            <w:tcW w:w="610" w:type="pct"/>
            <w:shd w:val="clear" w:color="auto" w:fill="FFFFFF"/>
            <w:vAlign w:val="center"/>
          </w:tcPr>
          <w:p w14:paraId="1BBB034A"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-.248</w:t>
            </w:r>
          </w:p>
        </w:tc>
      </w:tr>
      <w:tr w:rsidR="000C013D" w:rsidRPr="00D742F0" w14:paraId="146B2DB6" w14:textId="77777777" w:rsidTr="00354635">
        <w:trPr>
          <w:cantSplit/>
        </w:trPr>
        <w:tc>
          <w:tcPr>
            <w:tcW w:w="1325" w:type="pct"/>
            <w:shd w:val="clear" w:color="auto" w:fill="FFFFFF"/>
            <w:vAlign w:val="center"/>
          </w:tcPr>
          <w:p w14:paraId="10540640"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Book Value Per Share</w:t>
            </w:r>
          </w:p>
        </w:tc>
        <w:tc>
          <w:tcPr>
            <w:tcW w:w="613" w:type="pct"/>
            <w:shd w:val="clear" w:color="auto" w:fill="FFFFFF"/>
            <w:vAlign w:val="center"/>
          </w:tcPr>
          <w:p w14:paraId="02807F06"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.781**</w:t>
            </w:r>
          </w:p>
        </w:tc>
        <w:tc>
          <w:tcPr>
            <w:tcW w:w="613" w:type="pct"/>
            <w:shd w:val="clear" w:color="auto" w:fill="FFFFFF"/>
            <w:vAlign w:val="center"/>
          </w:tcPr>
          <w:p w14:paraId="1695BE62"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.228</w:t>
            </w:r>
          </w:p>
        </w:tc>
        <w:tc>
          <w:tcPr>
            <w:tcW w:w="613" w:type="pct"/>
            <w:shd w:val="clear" w:color="auto" w:fill="FFFFFF"/>
            <w:vAlign w:val="center"/>
          </w:tcPr>
          <w:p w14:paraId="09B567BC"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-.127</w:t>
            </w:r>
          </w:p>
        </w:tc>
        <w:tc>
          <w:tcPr>
            <w:tcW w:w="613" w:type="pct"/>
            <w:shd w:val="clear" w:color="auto" w:fill="FFFFFF"/>
            <w:vAlign w:val="center"/>
          </w:tcPr>
          <w:p w14:paraId="0F594F46"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.483**</w:t>
            </w:r>
          </w:p>
        </w:tc>
        <w:tc>
          <w:tcPr>
            <w:tcW w:w="613" w:type="pct"/>
            <w:shd w:val="clear" w:color="auto" w:fill="FFFFFF"/>
            <w:vAlign w:val="center"/>
          </w:tcPr>
          <w:p w14:paraId="7042D7D7"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w:t>
            </w:r>
          </w:p>
        </w:tc>
        <w:tc>
          <w:tcPr>
            <w:tcW w:w="610" w:type="pct"/>
            <w:shd w:val="clear" w:color="auto" w:fill="FFFFFF"/>
            <w:vAlign w:val="center"/>
          </w:tcPr>
          <w:p w14:paraId="4F5F41C6"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-.332*</w:t>
            </w:r>
          </w:p>
        </w:tc>
      </w:tr>
      <w:tr w:rsidR="000C013D" w:rsidRPr="00D742F0" w14:paraId="49A02BC8" w14:textId="77777777" w:rsidTr="00354635">
        <w:trPr>
          <w:cantSplit/>
        </w:trPr>
        <w:tc>
          <w:tcPr>
            <w:tcW w:w="1325" w:type="pct"/>
            <w:shd w:val="clear" w:color="auto" w:fill="FFFFFF"/>
            <w:vAlign w:val="center"/>
          </w:tcPr>
          <w:p w14:paraId="6EC55E5B"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Market Per Share</w:t>
            </w:r>
          </w:p>
        </w:tc>
        <w:tc>
          <w:tcPr>
            <w:tcW w:w="613" w:type="pct"/>
            <w:shd w:val="clear" w:color="auto" w:fill="FFFFFF"/>
            <w:vAlign w:val="center"/>
          </w:tcPr>
          <w:p w14:paraId="24C1AE97"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-.324*</w:t>
            </w:r>
          </w:p>
        </w:tc>
        <w:tc>
          <w:tcPr>
            <w:tcW w:w="613" w:type="pct"/>
            <w:shd w:val="clear" w:color="auto" w:fill="FFFFFF"/>
            <w:vAlign w:val="center"/>
          </w:tcPr>
          <w:p w14:paraId="35538F21"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-.119</w:t>
            </w:r>
          </w:p>
        </w:tc>
        <w:tc>
          <w:tcPr>
            <w:tcW w:w="613" w:type="pct"/>
            <w:shd w:val="clear" w:color="auto" w:fill="FFFFFF"/>
            <w:vAlign w:val="center"/>
          </w:tcPr>
          <w:p w14:paraId="61A6A846"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.175</w:t>
            </w:r>
          </w:p>
        </w:tc>
        <w:tc>
          <w:tcPr>
            <w:tcW w:w="613" w:type="pct"/>
            <w:shd w:val="clear" w:color="auto" w:fill="FFFFFF"/>
            <w:vAlign w:val="center"/>
          </w:tcPr>
          <w:p w14:paraId="5192639D"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-.248</w:t>
            </w:r>
          </w:p>
        </w:tc>
        <w:tc>
          <w:tcPr>
            <w:tcW w:w="613" w:type="pct"/>
            <w:shd w:val="clear" w:color="auto" w:fill="FFFFFF"/>
            <w:vAlign w:val="center"/>
          </w:tcPr>
          <w:p w14:paraId="7804643C"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-.332*</w:t>
            </w:r>
          </w:p>
        </w:tc>
        <w:tc>
          <w:tcPr>
            <w:tcW w:w="610" w:type="pct"/>
            <w:shd w:val="clear" w:color="auto" w:fill="FFFFFF"/>
            <w:vAlign w:val="center"/>
          </w:tcPr>
          <w:p w14:paraId="5B8648B5"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1</w:t>
            </w:r>
          </w:p>
        </w:tc>
      </w:tr>
      <w:tr w:rsidR="000C013D" w:rsidRPr="00D742F0" w14:paraId="7B2C6658" w14:textId="77777777" w:rsidTr="00354635">
        <w:trPr>
          <w:cantSplit/>
        </w:trPr>
        <w:tc>
          <w:tcPr>
            <w:tcW w:w="5000" w:type="pct"/>
            <w:gridSpan w:val="7"/>
            <w:shd w:val="clear" w:color="auto" w:fill="FFFFFF"/>
          </w:tcPr>
          <w:p w14:paraId="20BC844E"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 Correlation is significant at the 0.01 level (2-tailed).</w:t>
            </w:r>
          </w:p>
        </w:tc>
      </w:tr>
      <w:tr w:rsidR="000C013D" w:rsidRPr="00D742F0" w14:paraId="6E064DF9" w14:textId="77777777" w:rsidTr="00354635">
        <w:trPr>
          <w:cantSplit/>
        </w:trPr>
        <w:tc>
          <w:tcPr>
            <w:tcW w:w="5000" w:type="pct"/>
            <w:gridSpan w:val="7"/>
            <w:shd w:val="clear" w:color="auto" w:fill="FFFFFF"/>
          </w:tcPr>
          <w:p w14:paraId="715F3F24"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r w:rsidRPr="00D742F0">
              <w:rPr>
                <w:rFonts w:ascii="Times New Roman" w:eastAsia="Times New Roman" w:hAnsi="Times New Roman" w:cs="Times New Roman"/>
                <w:sz w:val="24"/>
                <w:szCs w:val="24"/>
                <w:lang w:bidi="en-US"/>
              </w:rPr>
              <w:t>*. Correlation is significant at the 0.05 level (2-tailed).</w:t>
            </w:r>
          </w:p>
        </w:tc>
      </w:tr>
    </w:tbl>
    <w:p w14:paraId="02EA3A14" w14:textId="77777777" w:rsidR="000C013D" w:rsidRPr="00D742F0" w:rsidRDefault="000C013D" w:rsidP="00D742F0">
      <w:pPr>
        <w:autoSpaceDE w:val="0"/>
        <w:autoSpaceDN w:val="0"/>
        <w:adjustRightInd w:val="0"/>
        <w:spacing w:after="0" w:line="320" w:lineRule="atLeast"/>
        <w:ind w:left="60" w:right="60"/>
        <w:rPr>
          <w:rFonts w:ascii="Times New Roman" w:eastAsia="Times New Roman" w:hAnsi="Times New Roman" w:cs="Times New Roman"/>
          <w:sz w:val="24"/>
          <w:szCs w:val="24"/>
          <w:lang w:bidi="en-US"/>
        </w:rPr>
      </w:pPr>
    </w:p>
    <w:p w14:paraId="6EC2C50A" w14:textId="46E249DE" w:rsidR="000C013D" w:rsidRPr="00C53062" w:rsidRDefault="000C013D" w:rsidP="00C53062">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C53062">
        <w:rPr>
          <w:rFonts w:ascii="Times New Roman" w:hAnsi="Times New Roman" w:cs="Times New Roman"/>
          <w:color w:val="000000" w:themeColor="text1"/>
          <w:sz w:val="24"/>
          <w:szCs w:val="24"/>
        </w:rPr>
        <w:t xml:space="preserve">The highest correlation has been observed to be 0.175 between market price of share and price </w:t>
      </w:r>
      <w:proofErr w:type="spellStart"/>
      <w:r w:rsidRPr="00C53062">
        <w:rPr>
          <w:rFonts w:ascii="Times New Roman" w:hAnsi="Times New Roman" w:cs="Times New Roman"/>
          <w:color w:val="000000" w:themeColor="text1"/>
          <w:sz w:val="24"/>
          <w:szCs w:val="24"/>
        </w:rPr>
        <w:t>earning</w:t>
      </w:r>
      <w:proofErr w:type="spellEnd"/>
      <w:r w:rsidRPr="00C53062">
        <w:rPr>
          <w:rFonts w:ascii="Times New Roman" w:hAnsi="Times New Roman" w:cs="Times New Roman"/>
          <w:color w:val="000000" w:themeColor="text1"/>
          <w:sz w:val="24"/>
          <w:szCs w:val="24"/>
        </w:rPr>
        <w:t xml:space="preserve"> ratio. The market price of share is negatively related to earnings per share, dividend per share,</w:t>
      </w:r>
      <w:r w:rsidR="00C53062" w:rsidRPr="00C53062">
        <w:rPr>
          <w:rFonts w:ascii="Times New Roman" w:hAnsi="Times New Roman" w:cs="Times New Roman"/>
          <w:color w:val="000000" w:themeColor="text1"/>
          <w:sz w:val="24"/>
          <w:szCs w:val="24"/>
        </w:rPr>
        <w:t xml:space="preserve"> </w:t>
      </w:r>
      <w:r w:rsidRPr="00C53062">
        <w:rPr>
          <w:rFonts w:ascii="Times New Roman" w:hAnsi="Times New Roman" w:cs="Times New Roman"/>
          <w:color w:val="000000" w:themeColor="text1"/>
          <w:sz w:val="24"/>
          <w:szCs w:val="24"/>
        </w:rPr>
        <w:t>book</w:t>
      </w:r>
      <w:r w:rsidR="00C53062" w:rsidRPr="00C53062">
        <w:rPr>
          <w:rFonts w:ascii="Times New Roman" w:hAnsi="Times New Roman" w:cs="Times New Roman"/>
          <w:color w:val="000000" w:themeColor="text1"/>
          <w:sz w:val="24"/>
          <w:szCs w:val="24"/>
        </w:rPr>
        <w:t xml:space="preserve"> </w:t>
      </w:r>
      <w:r w:rsidRPr="00C53062">
        <w:rPr>
          <w:rFonts w:ascii="Times New Roman" w:hAnsi="Times New Roman" w:cs="Times New Roman"/>
          <w:color w:val="000000" w:themeColor="text1"/>
          <w:sz w:val="24"/>
          <w:szCs w:val="24"/>
        </w:rPr>
        <w:t>value</w:t>
      </w:r>
      <w:r w:rsidR="00C53062" w:rsidRPr="00C53062">
        <w:rPr>
          <w:rFonts w:ascii="Times New Roman" w:hAnsi="Times New Roman" w:cs="Times New Roman"/>
          <w:color w:val="000000" w:themeColor="text1"/>
          <w:sz w:val="24"/>
          <w:szCs w:val="24"/>
        </w:rPr>
        <w:t xml:space="preserve"> </w:t>
      </w:r>
      <w:r w:rsidRPr="00C53062">
        <w:rPr>
          <w:rFonts w:ascii="Times New Roman" w:hAnsi="Times New Roman" w:cs="Times New Roman"/>
          <w:color w:val="000000" w:themeColor="text1"/>
          <w:sz w:val="24"/>
          <w:szCs w:val="24"/>
        </w:rPr>
        <w:t>per</w:t>
      </w:r>
      <w:r w:rsidR="00C53062" w:rsidRPr="00C53062">
        <w:rPr>
          <w:rFonts w:ascii="Times New Roman" w:hAnsi="Times New Roman" w:cs="Times New Roman"/>
          <w:color w:val="000000" w:themeColor="text1"/>
          <w:sz w:val="24"/>
          <w:szCs w:val="24"/>
        </w:rPr>
        <w:t xml:space="preserve"> </w:t>
      </w:r>
      <w:r w:rsidRPr="00C53062">
        <w:rPr>
          <w:rFonts w:ascii="Times New Roman" w:hAnsi="Times New Roman" w:cs="Times New Roman"/>
          <w:color w:val="000000" w:themeColor="text1"/>
          <w:sz w:val="24"/>
          <w:szCs w:val="24"/>
        </w:rPr>
        <w:t>share and return</w:t>
      </w:r>
      <w:r w:rsidR="00C53062" w:rsidRPr="00C53062">
        <w:rPr>
          <w:rFonts w:ascii="Times New Roman" w:hAnsi="Times New Roman" w:cs="Times New Roman"/>
          <w:color w:val="000000" w:themeColor="text1"/>
          <w:sz w:val="24"/>
          <w:szCs w:val="24"/>
        </w:rPr>
        <w:t xml:space="preserve"> </w:t>
      </w:r>
      <w:r w:rsidRPr="00C53062">
        <w:rPr>
          <w:rFonts w:ascii="Times New Roman" w:hAnsi="Times New Roman" w:cs="Times New Roman"/>
          <w:color w:val="000000" w:themeColor="text1"/>
          <w:sz w:val="24"/>
          <w:szCs w:val="24"/>
        </w:rPr>
        <w:t>on</w:t>
      </w:r>
      <w:r w:rsidR="00C53062" w:rsidRPr="00C53062">
        <w:rPr>
          <w:rFonts w:ascii="Times New Roman" w:hAnsi="Times New Roman" w:cs="Times New Roman"/>
          <w:color w:val="000000" w:themeColor="text1"/>
          <w:sz w:val="24"/>
          <w:szCs w:val="24"/>
        </w:rPr>
        <w:t xml:space="preserve"> </w:t>
      </w:r>
      <w:r w:rsidRPr="00C53062">
        <w:rPr>
          <w:rFonts w:ascii="Times New Roman" w:hAnsi="Times New Roman" w:cs="Times New Roman"/>
          <w:color w:val="000000" w:themeColor="text1"/>
          <w:sz w:val="24"/>
          <w:szCs w:val="24"/>
        </w:rPr>
        <w:t>asset</w:t>
      </w:r>
      <w:r w:rsidR="00C72AE6" w:rsidRPr="00C53062">
        <w:rPr>
          <w:rFonts w:ascii="Times New Roman" w:hAnsi="Times New Roman" w:cs="Times New Roman"/>
          <w:color w:val="000000" w:themeColor="text1"/>
          <w:sz w:val="24"/>
          <w:szCs w:val="24"/>
        </w:rPr>
        <w:t>.</w:t>
      </w:r>
      <w:r w:rsidR="00C53062" w:rsidRPr="00C53062">
        <w:rPr>
          <w:rFonts w:ascii="Times New Roman" w:hAnsi="Times New Roman" w:cs="Times New Roman"/>
          <w:color w:val="000000" w:themeColor="text1"/>
          <w:sz w:val="24"/>
          <w:szCs w:val="24"/>
        </w:rPr>
        <w:t xml:space="preserve"> </w:t>
      </w:r>
      <w:r w:rsidRPr="00C53062">
        <w:rPr>
          <w:rFonts w:ascii="Times New Roman" w:hAnsi="Times New Roman" w:cs="Times New Roman"/>
          <w:color w:val="000000" w:themeColor="text1"/>
          <w:sz w:val="24"/>
          <w:szCs w:val="24"/>
        </w:rPr>
        <w:t>The result shows that higher the earnings per share, dividend per share, book value per share, return on assets lower would be the market price per share. Similarly, the higher the price earnings ratio, higher would be the market price per share.</w:t>
      </w:r>
    </w:p>
    <w:p w14:paraId="410DFE2E" w14:textId="77777777" w:rsidR="000C013D" w:rsidRPr="00143B41" w:rsidRDefault="000C013D" w:rsidP="00444603">
      <w:pPr>
        <w:tabs>
          <w:tab w:val="left" w:pos="5497"/>
        </w:tabs>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4.3 Regression Analysis</w:t>
      </w:r>
    </w:p>
    <w:p w14:paraId="50DD0AB2" w14:textId="77777777" w:rsidR="000C013D" w:rsidRPr="00143B41" w:rsidRDefault="000C013D" w:rsidP="00FA21D2">
      <w:pPr>
        <w:tabs>
          <w:tab w:val="left" w:pos="5497"/>
        </w:tabs>
        <w:spacing w:before="240" w:after="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4.3.1 Earning per share and Market price per share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64"/>
        <w:gridCol w:w="1505"/>
        <w:gridCol w:w="1597"/>
        <w:gridCol w:w="2192"/>
        <w:gridCol w:w="2192"/>
      </w:tblGrid>
      <w:tr w:rsidR="000C013D" w:rsidRPr="0033367B" w14:paraId="787A239D" w14:textId="77777777" w:rsidTr="0033367B">
        <w:trPr>
          <w:cantSplit/>
        </w:trPr>
        <w:tc>
          <w:tcPr>
            <w:tcW w:w="5000" w:type="pct"/>
            <w:gridSpan w:val="5"/>
            <w:tcBorders>
              <w:top w:val="single" w:sz="4" w:space="0" w:color="auto"/>
              <w:left w:val="single" w:sz="4" w:space="0" w:color="auto"/>
              <w:right w:val="single" w:sz="4" w:space="0" w:color="auto"/>
            </w:tcBorders>
            <w:shd w:val="clear" w:color="auto" w:fill="FFFFFF"/>
          </w:tcPr>
          <w:p w14:paraId="4AF01C4A" w14:textId="77777777" w:rsidR="000C013D" w:rsidRPr="0033367B" w:rsidRDefault="000C013D" w:rsidP="0033367B">
            <w:pPr>
              <w:autoSpaceDE w:val="0"/>
              <w:autoSpaceDN w:val="0"/>
              <w:adjustRightInd w:val="0"/>
              <w:spacing w:after="0" w:line="320" w:lineRule="atLeast"/>
              <w:ind w:left="60" w:right="60"/>
              <w:jc w:val="center"/>
              <w:rPr>
                <w:rFonts w:ascii="Times New Roman" w:hAnsi="Times New Roman" w:cs="Times New Roman"/>
                <w:b/>
                <w:bCs/>
                <w:color w:val="000000"/>
                <w:sz w:val="24"/>
                <w:szCs w:val="24"/>
                <w:lang w:bidi="ne-NP"/>
              </w:rPr>
            </w:pPr>
            <w:r w:rsidRPr="0033367B">
              <w:rPr>
                <w:rFonts w:ascii="Times New Roman" w:hAnsi="Times New Roman" w:cs="Times New Roman"/>
                <w:b/>
                <w:bCs/>
                <w:color w:val="000000"/>
                <w:sz w:val="24"/>
                <w:szCs w:val="24"/>
                <w:lang w:bidi="ne-NP"/>
              </w:rPr>
              <w:t>Model Summary</w:t>
            </w:r>
          </w:p>
        </w:tc>
      </w:tr>
      <w:tr w:rsidR="000C013D" w:rsidRPr="0033367B" w14:paraId="2FFF2C88" w14:textId="77777777" w:rsidTr="00354635">
        <w:trPr>
          <w:cantSplit/>
        </w:trPr>
        <w:tc>
          <w:tcPr>
            <w:tcW w:w="673" w:type="pct"/>
            <w:shd w:val="clear" w:color="auto" w:fill="FFFFFF"/>
          </w:tcPr>
          <w:p w14:paraId="00B52AFC"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Model</w:t>
            </w:r>
          </w:p>
        </w:tc>
        <w:tc>
          <w:tcPr>
            <w:tcW w:w="870" w:type="pct"/>
            <w:shd w:val="clear" w:color="auto" w:fill="FFFFFF"/>
          </w:tcPr>
          <w:p w14:paraId="413EBD38"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R</w:t>
            </w:r>
          </w:p>
        </w:tc>
        <w:tc>
          <w:tcPr>
            <w:tcW w:w="923" w:type="pct"/>
            <w:shd w:val="clear" w:color="auto" w:fill="FFFFFF"/>
          </w:tcPr>
          <w:p w14:paraId="1EEDE59D"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R Square</w:t>
            </w:r>
          </w:p>
        </w:tc>
        <w:tc>
          <w:tcPr>
            <w:tcW w:w="1267" w:type="pct"/>
            <w:shd w:val="clear" w:color="auto" w:fill="FFFFFF"/>
          </w:tcPr>
          <w:p w14:paraId="278E75EE"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Adjusted R Square</w:t>
            </w:r>
          </w:p>
        </w:tc>
        <w:tc>
          <w:tcPr>
            <w:tcW w:w="1267" w:type="pct"/>
            <w:shd w:val="clear" w:color="auto" w:fill="FFFFFF"/>
          </w:tcPr>
          <w:p w14:paraId="1F4EE04A"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Std. Error of the Estimate</w:t>
            </w:r>
          </w:p>
        </w:tc>
      </w:tr>
      <w:tr w:rsidR="000C013D" w:rsidRPr="0033367B" w14:paraId="77E7501D" w14:textId="77777777" w:rsidTr="00354635">
        <w:trPr>
          <w:cantSplit/>
        </w:trPr>
        <w:tc>
          <w:tcPr>
            <w:tcW w:w="673" w:type="pct"/>
            <w:shd w:val="clear" w:color="auto" w:fill="FFFFFF"/>
            <w:vAlign w:val="center"/>
          </w:tcPr>
          <w:p w14:paraId="6B5C3957"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1</w:t>
            </w:r>
          </w:p>
        </w:tc>
        <w:tc>
          <w:tcPr>
            <w:tcW w:w="870" w:type="pct"/>
            <w:shd w:val="clear" w:color="auto" w:fill="FFFFFF"/>
            <w:vAlign w:val="center"/>
          </w:tcPr>
          <w:p w14:paraId="4C10B9F0"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.324a</w:t>
            </w:r>
          </w:p>
        </w:tc>
        <w:tc>
          <w:tcPr>
            <w:tcW w:w="923" w:type="pct"/>
            <w:shd w:val="clear" w:color="auto" w:fill="FFFFFF"/>
            <w:vAlign w:val="center"/>
          </w:tcPr>
          <w:p w14:paraId="38BA056E"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.105</w:t>
            </w:r>
          </w:p>
        </w:tc>
        <w:tc>
          <w:tcPr>
            <w:tcW w:w="1267" w:type="pct"/>
            <w:shd w:val="clear" w:color="auto" w:fill="FFFFFF"/>
            <w:vAlign w:val="center"/>
          </w:tcPr>
          <w:p w14:paraId="536F0D40"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.081</w:t>
            </w:r>
          </w:p>
        </w:tc>
        <w:tc>
          <w:tcPr>
            <w:tcW w:w="1267" w:type="pct"/>
            <w:shd w:val="clear" w:color="auto" w:fill="FFFFFF"/>
            <w:vAlign w:val="center"/>
          </w:tcPr>
          <w:p w14:paraId="665C243E"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219.20585</w:t>
            </w:r>
          </w:p>
        </w:tc>
      </w:tr>
      <w:tr w:rsidR="000C013D" w:rsidRPr="0033367B" w14:paraId="1A909650" w14:textId="77777777" w:rsidTr="00354635">
        <w:trPr>
          <w:cantSplit/>
        </w:trPr>
        <w:tc>
          <w:tcPr>
            <w:tcW w:w="5000" w:type="pct"/>
            <w:gridSpan w:val="5"/>
            <w:shd w:val="clear" w:color="auto" w:fill="FFFFFF"/>
          </w:tcPr>
          <w:p w14:paraId="7FF95075" w14:textId="77777777" w:rsidR="000C013D" w:rsidRPr="0033367B" w:rsidRDefault="000C013D" w:rsidP="0033367B">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33367B">
              <w:rPr>
                <w:rFonts w:ascii="Times New Roman" w:hAnsi="Times New Roman" w:cs="Times New Roman"/>
                <w:color w:val="000000"/>
                <w:sz w:val="24"/>
                <w:szCs w:val="24"/>
                <w:lang w:bidi="ne-NP"/>
              </w:rPr>
              <w:t>a. Predictors: (Constant), Earning Per Share</w:t>
            </w:r>
          </w:p>
        </w:tc>
      </w:tr>
    </w:tbl>
    <w:p w14:paraId="37E32DA4" w14:textId="77777777" w:rsidR="000C013D" w:rsidRPr="0033367B" w:rsidRDefault="000C013D" w:rsidP="00786FA2">
      <w:pPr>
        <w:autoSpaceDE w:val="0"/>
        <w:autoSpaceDN w:val="0"/>
        <w:adjustRightInd w:val="0"/>
        <w:spacing w:after="0" w:line="320" w:lineRule="atLeast"/>
        <w:ind w:left="60" w:right="60"/>
        <w:jc w:val="center"/>
        <w:rPr>
          <w:rFonts w:ascii="Times New Roman" w:hAnsi="Times New Roman" w:cs="Times New Roman"/>
          <w:b/>
          <w:bCs/>
          <w:color w:val="000000"/>
          <w:sz w:val="24"/>
          <w:szCs w:val="24"/>
          <w:lang w:bidi="ne-NP"/>
        </w:rPr>
      </w:pPr>
    </w:p>
    <w:p w14:paraId="215AB75C" w14:textId="77777777" w:rsidR="00235D77" w:rsidRPr="00786FA2" w:rsidRDefault="00235D77" w:rsidP="00786FA2">
      <w:pPr>
        <w:autoSpaceDE w:val="0"/>
        <w:autoSpaceDN w:val="0"/>
        <w:adjustRightInd w:val="0"/>
        <w:spacing w:after="0" w:line="320" w:lineRule="atLeast"/>
        <w:ind w:left="60" w:right="60"/>
        <w:jc w:val="center"/>
        <w:rPr>
          <w:rFonts w:ascii="Times New Roman" w:hAnsi="Times New Roman" w:cs="Times New Roman"/>
          <w:b/>
          <w:bCs/>
          <w:color w:val="000000"/>
          <w:sz w:val="24"/>
          <w:szCs w:val="24"/>
          <w:lang w:bidi="ne-N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03"/>
        <w:gridCol w:w="1391"/>
        <w:gridCol w:w="1611"/>
        <w:gridCol w:w="1107"/>
        <w:gridCol w:w="1526"/>
        <w:gridCol w:w="1107"/>
        <w:gridCol w:w="1105"/>
      </w:tblGrid>
      <w:tr w:rsidR="000C013D" w:rsidRPr="00786FA2" w14:paraId="162331DD" w14:textId="77777777" w:rsidTr="00DA1273">
        <w:trPr>
          <w:cantSplit/>
        </w:trPr>
        <w:tc>
          <w:tcPr>
            <w:tcW w:w="5000" w:type="pct"/>
            <w:gridSpan w:val="7"/>
            <w:tcBorders>
              <w:top w:val="single" w:sz="4" w:space="0" w:color="auto"/>
              <w:left w:val="single" w:sz="4" w:space="0" w:color="auto"/>
              <w:right w:val="single" w:sz="4" w:space="0" w:color="auto"/>
            </w:tcBorders>
            <w:shd w:val="clear" w:color="auto" w:fill="FFFFFF"/>
          </w:tcPr>
          <w:p w14:paraId="3039028A" w14:textId="77777777" w:rsidR="000C013D" w:rsidRPr="00786FA2" w:rsidRDefault="000C013D" w:rsidP="00786FA2">
            <w:pPr>
              <w:autoSpaceDE w:val="0"/>
              <w:autoSpaceDN w:val="0"/>
              <w:adjustRightInd w:val="0"/>
              <w:spacing w:after="0" w:line="320" w:lineRule="atLeast"/>
              <w:ind w:left="60" w:right="60"/>
              <w:jc w:val="center"/>
              <w:rPr>
                <w:rFonts w:ascii="Times New Roman" w:hAnsi="Times New Roman" w:cs="Times New Roman"/>
                <w:b/>
                <w:bCs/>
                <w:color w:val="000000"/>
                <w:sz w:val="24"/>
                <w:szCs w:val="24"/>
                <w:lang w:bidi="ne-NP"/>
              </w:rPr>
            </w:pPr>
            <w:proofErr w:type="spellStart"/>
            <w:r w:rsidRPr="00786FA2">
              <w:rPr>
                <w:rFonts w:ascii="Times New Roman" w:hAnsi="Times New Roman" w:cs="Times New Roman"/>
                <w:b/>
                <w:bCs/>
                <w:color w:val="000000"/>
                <w:sz w:val="24"/>
                <w:szCs w:val="24"/>
                <w:lang w:bidi="ne-NP"/>
              </w:rPr>
              <w:lastRenderedPageBreak/>
              <w:t>ANOVAa</w:t>
            </w:r>
            <w:proofErr w:type="spellEnd"/>
          </w:p>
        </w:tc>
      </w:tr>
      <w:tr w:rsidR="000C013D" w:rsidRPr="00786FA2" w14:paraId="5F86335D" w14:textId="77777777" w:rsidTr="00354635">
        <w:trPr>
          <w:cantSplit/>
        </w:trPr>
        <w:tc>
          <w:tcPr>
            <w:tcW w:w="1268" w:type="pct"/>
            <w:gridSpan w:val="2"/>
            <w:shd w:val="clear" w:color="auto" w:fill="FFFFFF"/>
          </w:tcPr>
          <w:p w14:paraId="5F3CBAEF"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Model</w:t>
            </w:r>
          </w:p>
        </w:tc>
        <w:tc>
          <w:tcPr>
            <w:tcW w:w="931" w:type="pct"/>
            <w:shd w:val="clear" w:color="auto" w:fill="FFFFFF"/>
          </w:tcPr>
          <w:p w14:paraId="37DC3FE3"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Sum of Squares</w:t>
            </w:r>
          </w:p>
        </w:tc>
        <w:tc>
          <w:tcPr>
            <w:tcW w:w="640" w:type="pct"/>
            <w:shd w:val="clear" w:color="auto" w:fill="FFFFFF"/>
          </w:tcPr>
          <w:p w14:paraId="178BB1DF"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df</w:t>
            </w:r>
          </w:p>
        </w:tc>
        <w:tc>
          <w:tcPr>
            <w:tcW w:w="882" w:type="pct"/>
            <w:shd w:val="clear" w:color="auto" w:fill="FFFFFF"/>
          </w:tcPr>
          <w:p w14:paraId="653379A6"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Mean Square</w:t>
            </w:r>
          </w:p>
        </w:tc>
        <w:tc>
          <w:tcPr>
            <w:tcW w:w="640" w:type="pct"/>
            <w:shd w:val="clear" w:color="auto" w:fill="FFFFFF"/>
          </w:tcPr>
          <w:p w14:paraId="02CEB3A5"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F</w:t>
            </w:r>
          </w:p>
        </w:tc>
        <w:tc>
          <w:tcPr>
            <w:tcW w:w="639" w:type="pct"/>
            <w:shd w:val="clear" w:color="auto" w:fill="FFFFFF"/>
          </w:tcPr>
          <w:p w14:paraId="4ECE685A"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Sig.</w:t>
            </w:r>
          </w:p>
        </w:tc>
      </w:tr>
      <w:tr w:rsidR="000C013D" w:rsidRPr="00786FA2" w14:paraId="58767BD9" w14:textId="77777777" w:rsidTr="00354635">
        <w:trPr>
          <w:cantSplit/>
        </w:trPr>
        <w:tc>
          <w:tcPr>
            <w:tcW w:w="464" w:type="pct"/>
            <w:vMerge w:val="restart"/>
            <w:shd w:val="clear" w:color="auto" w:fill="FFFFFF"/>
            <w:vAlign w:val="center"/>
          </w:tcPr>
          <w:p w14:paraId="3A6D727E"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1</w:t>
            </w:r>
          </w:p>
        </w:tc>
        <w:tc>
          <w:tcPr>
            <w:tcW w:w="804" w:type="pct"/>
            <w:shd w:val="clear" w:color="auto" w:fill="FFFFFF"/>
            <w:vAlign w:val="center"/>
          </w:tcPr>
          <w:p w14:paraId="13CE2158"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Regression</w:t>
            </w:r>
          </w:p>
        </w:tc>
        <w:tc>
          <w:tcPr>
            <w:tcW w:w="931" w:type="pct"/>
            <w:shd w:val="clear" w:color="auto" w:fill="FFFFFF"/>
            <w:vAlign w:val="center"/>
          </w:tcPr>
          <w:p w14:paraId="65E1F114"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213449.337</w:t>
            </w:r>
          </w:p>
        </w:tc>
        <w:tc>
          <w:tcPr>
            <w:tcW w:w="640" w:type="pct"/>
            <w:shd w:val="clear" w:color="auto" w:fill="FFFFFF"/>
            <w:vAlign w:val="center"/>
          </w:tcPr>
          <w:p w14:paraId="27EA6A61"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1</w:t>
            </w:r>
          </w:p>
        </w:tc>
        <w:tc>
          <w:tcPr>
            <w:tcW w:w="882" w:type="pct"/>
            <w:shd w:val="clear" w:color="auto" w:fill="FFFFFF"/>
            <w:vAlign w:val="center"/>
          </w:tcPr>
          <w:p w14:paraId="66FFC41B"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213449.337</w:t>
            </w:r>
          </w:p>
        </w:tc>
        <w:tc>
          <w:tcPr>
            <w:tcW w:w="640" w:type="pct"/>
            <w:shd w:val="clear" w:color="auto" w:fill="FFFFFF"/>
            <w:vAlign w:val="center"/>
          </w:tcPr>
          <w:p w14:paraId="7D133AD6"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4.442</w:t>
            </w:r>
          </w:p>
        </w:tc>
        <w:tc>
          <w:tcPr>
            <w:tcW w:w="639" w:type="pct"/>
            <w:shd w:val="clear" w:color="auto" w:fill="FFFFFF"/>
            <w:vAlign w:val="center"/>
          </w:tcPr>
          <w:p w14:paraId="65C52DAF"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.042b</w:t>
            </w:r>
          </w:p>
        </w:tc>
      </w:tr>
      <w:tr w:rsidR="000C013D" w:rsidRPr="00786FA2" w14:paraId="1D994D72" w14:textId="77777777" w:rsidTr="00354635">
        <w:trPr>
          <w:cantSplit/>
        </w:trPr>
        <w:tc>
          <w:tcPr>
            <w:tcW w:w="464" w:type="pct"/>
            <w:vMerge/>
            <w:shd w:val="clear" w:color="auto" w:fill="FFFFFF"/>
            <w:vAlign w:val="center"/>
          </w:tcPr>
          <w:p w14:paraId="547A158A"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804" w:type="pct"/>
            <w:shd w:val="clear" w:color="auto" w:fill="FFFFFF"/>
            <w:vAlign w:val="center"/>
          </w:tcPr>
          <w:p w14:paraId="6A992393"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Residual</w:t>
            </w:r>
          </w:p>
        </w:tc>
        <w:tc>
          <w:tcPr>
            <w:tcW w:w="931" w:type="pct"/>
            <w:shd w:val="clear" w:color="auto" w:fill="FFFFFF"/>
            <w:vAlign w:val="center"/>
          </w:tcPr>
          <w:p w14:paraId="0FF6B372"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1825945.763</w:t>
            </w:r>
          </w:p>
        </w:tc>
        <w:tc>
          <w:tcPr>
            <w:tcW w:w="640" w:type="pct"/>
            <w:shd w:val="clear" w:color="auto" w:fill="FFFFFF"/>
            <w:vAlign w:val="center"/>
          </w:tcPr>
          <w:p w14:paraId="064EC541"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38</w:t>
            </w:r>
          </w:p>
        </w:tc>
        <w:tc>
          <w:tcPr>
            <w:tcW w:w="882" w:type="pct"/>
            <w:shd w:val="clear" w:color="auto" w:fill="FFFFFF"/>
            <w:vAlign w:val="center"/>
          </w:tcPr>
          <w:p w14:paraId="16F201DE"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48051.204</w:t>
            </w:r>
          </w:p>
        </w:tc>
        <w:tc>
          <w:tcPr>
            <w:tcW w:w="640" w:type="pct"/>
            <w:shd w:val="clear" w:color="auto" w:fill="FFFFFF"/>
          </w:tcPr>
          <w:p w14:paraId="5D3E5E6A"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639" w:type="pct"/>
            <w:shd w:val="clear" w:color="auto" w:fill="FFFFFF"/>
          </w:tcPr>
          <w:p w14:paraId="3CB8EE43"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r>
      <w:tr w:rsidR="000C013D" w:rsidRPr="00786FA2" w14:paraId="2DE0B1E0" w14:textId="77777777" w:rsidTr="00354635">
        <w:trPr>
          <w:cantSplit/>
        </w:trPr>
        <w:tc>
          <w:tcPr>
            <w:tcW w:w="464" w:type="pct"/>
            <w:vMerge/>
            <w:shd w:val="clear" w:color="auto" w:fill="FFFFFF"/>
            <w:vAlign w:val="center"/>
          </w:tcPr>
          <w:p w14:paraId="1D3CBE5F"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804" w:type="pct"/>
            <w:shd w:val="clear" w:color="auto" w:fill="FFFFFF"/>
            <w:vAlign w:val="center"/>
          </w:tcPr>
          <w:p w14:paraId="3E5FFF94"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Total</w:t>
            </w:r>
          </w:p>
        </w:tc>
        <w:tc>
          <w:tcPr>
            <w:tcW w:w="931" w:type="pct"/>
            <w:shd w:val="clear" w:color="auto" w:fill="FFFFFF"/>
            <w:vAlign w:val="center"/>
          </w:tcPr>
          <w:p w14:paraId="03DCAC08"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2039395.100</w:t>
            </w:r>
          </w:p>
        </w:tc>
        <w:tc>
          <w:tcPr>
            <w:tcW w:w="640" w:type="pct"/>
            <w:shd w:val="clear" w:color="auto" w:fill="FFFFFF"/>
            <w:vAlign w:val="center"/>
          </w:tcPr>
          <w:p w14:paraId="43C06B86"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39</w:t>
            </w:r>
          </w:p>
        </w:tc>
        <w:tc>
          <w:tcPr>
            <w:tcW w:w="882" w:type="pct"/>
            <w:shd w:val="clear" w:color="auto" w:fill="FFFFFF"/>
          </w:tcPr>
          <w:p w14:paraId="47E9CB7F"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640" w:type="pct"/>
            <w:shd w:val="clear" w:color="auto" w:fill="FFFFFF"/>
          </w:tcPr>
          <w:p w14:paraId="6F309C7A"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639" w:type="pct"/>
            <w:shd w:val="clear" w:color="auto" w:fill="FFFFFF"/>
          </w:tcPr>
          <w:p w14:paraId="36EFF041" w14:textId="77777777" w:rsidR="000C013D" w:rsidRPr="00DA1273" w:rsidRDefault="000C013D" w:rsidP="00786FA2">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r>
      <w:tr w:rsidR="000C013D" w:rsidRPr="00786FA2" w14:paraId="52E6AA71" w14:textId="77777777" w:rsidTr="00354635">
        <w:trPr>
          <w:cantSplit/>
        </w:trPr>
        <w:tc>
          <w:tcPr>
            <w:tcW w:w="5000" w:type="pct"/>
            <w:gridSpan w:val="7"/>
            <w:shd w:val="clear" w:color="auto" w:fill="FFFFFF"/>
          </w:tcPr>
          <w:p w14:paraId="2014A410" w14:textId="77777777" w:rsidR="000C013D" w:rsidRPr="00DA1273" w:rsidRDefault="000C013D" w:rsidP="00DA1273">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a. Dependent Variable: Market Per Share</w:t>
            </w:r>
          </w:p>
        </w:tc>
      </w:tr>
      <w:tr w:rsidR="000C013D" w:rsidRPr="00786FA2" w14:paraId="18A48622" w14:textId="77777777" w:rsidTr="00354635">
        <w:trPr>
          <w:cantSplit/>
        </w:trPr>
        <w:tc>
          <w:tcPr>
            <w:tcW w:w="5000" w:type="pct"/>
            <w:gridSpan w:val="7"/>
            <w:shd w:val="clear" w:color="auto" w:fill="FFFFFF"/>
          </w:tcPr>
          <w:p w14:paraId="76258677" w14:textId="77777777" w:rsidR="000C013D" w:rsidRPr="00DA1273" w:rsidRDefault="000C013D" w:rsidP="00DA1273">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DA1273">
              <w:rPr>
                <w:rFonts w:ascii="Times New Roman" w:hAnsi="Times New Roman" w:cs="Times New Roman"/>
                <w:color w:val="000000"/>
                <w:sz w:val="24"/>
                <w:szCs w:val="24"/>
                <w:lang w:bidi="ne-NP"/>
              </w:rPr>
              <w:t>b. Predictors: (Constant), Earning Per Share</w:t>
            </w:r>
          </w:p>
        </w:tc>
      </w:tr>
    </w:tbl>
    <w:p w14:paraId="7ABA8669" w14:textId="77777777" w:rsidR="000C013D" w:rsidRPr="00143B41" w:rsidRDefault="000C013D" w:rsidP="00FA21D2">
      <w:pPr>
        <w:autoSpaceDE w:val="0"/>
        <w:autoSpaceDN w:val="0"/>
        <w:adjustRightInd w:val="0"/>
        <w:spacing w:before="240" w:after="0" w:line="384" w:lineRule="auto"/>
        <w:jc w:val="both"/>
        <w:rPr>
          <w:rFonts w:ascii="Times New Roman" w:hAnsi="Times New Roman" w:cs="Times New Roman"/>
          <w:color w:val="000000" w:themeColor="text1"/>
          <w:sz w:val="24"/>
          <w:szCs w:val="24"/>
        </w:rPr>
      </w:pPr>
    </w:p>
    <w:p w14:paraId="60C375F6" w14:textId="65AB78B3" w:rsidR="000C013D" w:rsidRDefault="000C013D" w:rsidP="00FA21D2">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C53062">
        <w:rPr>
          <w:rFonts w:ascii="Times New Roman" w:hAnsi="Times New Roman" w:cs="Times New Roman"/>
          <w:color w:val="000000" w:themeColor="text1"/>
          <w:sz w:val="24"/>
          <w:szCs w:val="24"/>
        </w:rPr>
        <w:t xml:space="preserve">Since the p value (0.042) of t- statistic is less than 0.05, there is no ground to accept the null hypothesis. </w:t>
      </w:r>
      <w:r w:rsidR="00DB0655" w:rsidRPr="00C53062">
        <w:rPr>
          <w:rFonts w:ascii="Times New Roman" w:hAnsi="Times New Roman" w:cs="Times New Roman"/>
          <w:color w:val="000000" w:themeColor="text1"/>
          <w:sz w:val="24"/>
          <w:szCs w:val="24"/>
        </w:rPr>
        <w:t>Therefore,</w:t>
      </w:r>
      <w:r w:rsidRPr="00C53062">
        <w:rPr>
          <w:rFonts w:ascii="Times New Roman" w:hAnsi="Times New Roman" w:cs="Times New Roman"/>
          <w:color w:val="000000" w:themeColor="text1"/>
          <w:sz w:val="24"/>
          <w:szCs w:val="24"/>
        </w:rPr>
        <w:t xml:space="preserve"> the alternative hypothesis is accepted </w:t>
      </w:r>
      <w:r w:rsidR="00997E51" w:rsidRPr="00C53062">
        <w:rPr>
          <w:rFonts w:ascii="Times New Roman" w:hAnsi="Times New Roman" w:cs="Times New Roman"/>
          <w:color w:val="000000" w:themeColor="text1"/>
          <w:sz w:val="24"/>
          <w:szCs w:val="24"/>
        </w:rPr>
        <w:t>i.e., there</w:t>
      </w:r>
      <w:r w:rsidR="005B1ED7" w:rsidRPr="00C53062">
        <w:rPr>
          <w:rFonts w:ascii="Times New Roman" w:hAnsi="Times New Roman" w:cs="Times New Roman"/>
          <w:color w:val="000000" w:themeColor="text1"/>
          <w:sz w:val="24"/>
          <w:szCs w:val="24"/>
        </w:rPr>
        <w:t xml:space="preserve"> is significant relationship between</w:t>
      </w:r>
      <w:r w:rsidRPr="00C53062">
        <w:rPr>
          <w:rFonts w:ascii="Times New Roman" w:hAnsi="Times New Roman" w:cs="Times New Roman"/>
          <w:color w:val="000000" w:themeColor="text1"/>
          <w:sz w:val="24"/>
          <w:szCs w:val="24"/>
        </w:rPr>
        <w:t xml:space="preserve"> earning price per share and market per share. Hence, the regression model is significant at 0.05 level of significance. </w:t>
      </w:r>
    </w:p>
    <w:p w14:paraId="7E426262" w14:textId="77777777" w:rsidR="00B63006" w:rsidRPr="00C53062" w:rsidRDefault="00B63006" w:rsidP="00FA21D2">
      <w:pPr>
        <w:autoSpaceDE w:val="0"/>
        <w:autoSpaceDN w:val="0"/>
        <w:adjustRightInd w:val="0"/>
        <w:spacing w:before="240" w:after="0" w:line="384"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6"/>
        <w:gridCol w:w="1810"/>
        <w:gridCol w:w="1323"/>
        <w:gridCol w:w="1323"/>
        <w:gridCol w:w="1460"/>
        <w:gridCol w:w="1003"/>
        <w:gridCol w:w="995"/>
      </w:tblGrid>
      <w:tr w:rsidR="000C013D" w:rsidRPr="00235D77" w14:paraId="6ED59E8B" w14:textId="77777777" w:rsidTr="00B63006">
        <w:trPr>
          <w:cantSplit/>
        </w:trPr>
        <w:tc>
          <w:tcPr>
            <w:tcW w:w="5000" w:type="pct"/>
            <w:gridSpan w:val="7"/>
            <w:tcBorders>
              <w:top w:val="single" w:sz="4" w:space="0" w:color="auto"/>
              <w:left w:val="single" w:sz="4" w:space="0" w:color="auto"/>
              <w:right w:val="single" w:sz="4" w:space="0" w:color="auto"/>
            </w:tcBorders>
            <w:shd w:val="clear" w:color="auto" w:fill="FFFFFF"/>
          </w:tcPr>
          <w:p w14:paraId="4591361C"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b/>
                <w:bCs/>
                <w:color w:val="000000"/>
                <w:sz w:val="24"/>
                <w:szCs w:val="24"/>
                <w:lang w:bidi="ne-NP"/>
              </w:rPr>
            </w:pPr>
            <w:proofErr w:type="spellStart"/>
            <w:r w:rsidRPr="00B63006">
              <w:rPr>
                <w:rFonts w:ascii="Times New Roman" w:hAnsi="Times New Roman" w:cs="Times New Roman"/>
                <w:b/>
                <w:bCs/>
                <w:color w:val="000000"/>
                <w:sz w:val="24"/>
                <w:szCs w:val="24"/>
                <w:lang w:bidi="ne-NP"/>
              </w:rPr>
              <w:t>Coefficientsa</w:t>
            </w:r>
            <w:proofErr w:type="spellEnd"/>
          </w:p>
        </w:tc>
      </w:tr>
      <w:tr w:rsidR="000C013D" w:rsidRPr="00B63006" w14:paraId="479C1247" w14:textId="77777777" w:rsidTr="008858FD">
        <w:trPr>
          <w:cantSplit/>
        </w:trPr>
        <w:tc>
          <w:tcPr>
            <w:tcW w:w="1471" w:type="pct"/>
            <w:gridSpan w:val="2"/>
            <w:vMerge w:val="restart"/>
            <w:shd w:val="clear" w:color="auto" w:fill="FFFFFF"/>
          </w:tcPr>
          <w:p w14:paraId="14303A8D"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Model</w:t>
            </w:r>
          </w:p>
        </w:tc>
        <w:tc>
          <w:tcPr>
            <w:tcW w:w="1529" w:type="pct"/>
            <w:gridSpan w:val="2"/>
            <w:shd w:val="clear" w:color="auto" w:fill="FFFFFF"/>
          </w:tcPr>
          <w:p w14:paraId="1942F709"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Unstandardized Coefficients</w:t>
            </w:r>
          </w:p>
        </w:tc>
        <w:tc>
          <w:tcPr>
            <w:tcW w:w="844" w:type="pct"/>
            <w:shd w:val="clear" w:color="auto" w:fill="FFFFFF"/>
          </w:tcPr>
          <w:p w14:paraId="390BD682"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Standardized Coefficients</w:t>
            </w:r>
          </w:p>
        </w:tc>
        <w:tc>
          <w:tcPr>
            <w:tcW w:w="580" w:type="pct"/>
            <w:vMerge w:val="restart"/>
            <w:shd w:val="clear" w:color="auto" w:fill="FFFFFF"/>
          </w:tcPr>
          <w:p w14:paraId="16310296"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t</w:t>
            </w:r>
          </w:p>
        </w:tc>
        <w:tc>
          <w:tcPr>
            <w:tcW w:w="576" w:type="pct"/>
            <w:vMerge w:val="restart"/>
            <w:shd w:val="clear" w:color="auto" w:fill="FFFFFF"/>
          </w:tcPr>
          <w:p w14:paraId="713CE14C"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Sig.</w:t>
            </w:r>
          </w:p>
        </w:tc>
      </w:tr>
      <w:tr w:rsidR="000C013D" w:rsidRPr="00235D77" w14:paraId="159F9753" w14:textId="77777777" w:rsidTr="008858FD">
        <w:trPr>
          <w:cantSplit/>
        </w:trPr>
        <w:tc>
          <w:tcPr>
            <w:tcW w:w="1471" w:type="pct"/>
            <w:gridSpan w:val="2"/>
            <w:vMerge/>
            <w:shd w:val="clear" w:color="auto" w:fill="FFFFFF"/>
          </w:tcPr>
          <w:p w14:paraId="4975F666"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765" w:type="pct"/>
            <w:shd w:val="clear" w:color="auto" w:fill="FFFFFF"/>
          </w:tcPr>
          <w:p w14:paraId="4D7A8145"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B</w:t>
            </w:r>
          </w:p>
        </w:tc>
        <w:tc>
          <w:tcPr>
            <w:tcW w:w="765" w:type="pct"/>
            <w:shd w:val="clear" w:color="auto" w:fill="FFFFFF"/>
          </w:tcPr>
          <w:p w14:paraId="6FBE0237"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Std. Error</w:t>
            </w:r>
          </w:p>
        </w:tc>
        <w:tc>
          <w:tcPr>
            <w:tcW w:w="844" w:type="pct"/>
            <w:shd w:val="clear" w:color="auto" w:fill="FFFFFF"/>
          </w:tcPr>
          <w:p w14:paraId="6767E320"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Beta</w:t>
            </w:r>
          </w:p>
        </w:tc>
        <w:tc>
          <w:tcPr>
            <w:tcW w:w="580" w:type="pct"/>
            <w:vMerge/>
            <w:shd w:val="clear" w:color="auto" w:fill="FFFFFF"/>
          </w:tcPr>
          <w:p w14:paraId="1781393D"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576" w:type="pct"/>
            <w:vMerge/>
            <w:shd w:val="clear" w:color="auto" w:fill="FFFFFF"/>
          </w:tcPr>
          <w:p w14:paraId="537DA13E"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r>
      <w:tr w:rsidR="000C013D" w:rsidRPr="00235D77" w14:paraId="534A7A8B" w14:textId="77777777" w:rsidTr="008858FD">
        <w:trPr>
          <w:cantSplit/>
        </w:trPr>
        <w:tc>
          <w:tcPr>
            <w:tcW w:w="425" w:type="pct"/>
            <w:vMerge w:val="restart"/>
            <w:shd w:val="clear" w:color="auto" w:fill="FFFFFF"/>
            <w:vAlign w:val="center"/>
          </w:tcPr>
          <w:p w14:paraId="267D0FCA"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1</w:t>
            </w:r>
          </w:p>
        </w:tc>
        <w:tc>
          <w:tcPr>
            <w:tcW w:w="1046" w:type="pct"/>
            <w:shd w:val="clear" w:color="auto" w:fill="FFFFFF"/>
            <w:vAlign w:val="center"/>
          </w:tcPr>
          <w:p w14:paraId="26D37A8C"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(Constant)</w:t>
            </w:r>
          </w:p>
        </w:tc>
        <w:tc>
          <w:tcPr>
            <w:tcW w:w="765" w:type="pct"/>
            <w:shd w:val="clear" w:color="auto" w:fill="FFFFFF"/>
            <w:vAlign w:val="center"/>
          </w:tcPr>
          <w:p w14:paraId="1A110F40"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666.522</w:t>
            </w:r>
          </w:p>
        </w:tc>
        <w:tc>
          <w:tcPr>
            <w:tcW w:w="765" w:type="pct"/>
            <w:shd w:val="clear" w:color="auto" w:fill="FFFFFF"/>
            <w:vAlign w:val="center"/>
          </w:tcPr>
          <w:p w14:paraId="1B82BB2E"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98.876</w:t>
            </w:r>
          </w:p>
        </w:tc>
        <w:tc>
          <w:tcPr>
            <w:tcW w:w="844" w:type="pct"/>
            <w:shd w:val="clear" w:color="auto" w:fill="FFFFFF"/>
          </w:tcPr>
          <w:p w14:paraId="01539EA5" w14:textId="77777777" w:rsidR="000C013D" w:rsidRPr="00B63006" w:rsidRDefault="000C013D" w:rsidP="00B63006">
            <w:pPr>
              <w:autoSpaceDE w:val="0"/>
              <w:autoSpaceDN w:val="0"/>
              <w:adjustRightInd w:val="0"/>
              <w:spacing w:after="0" w:line="320" w:lineRule="atLeast"/>
              <w:jc w:val="center"/>
              <w:rPr>
                <w:rFonts w:ascii="Times New Roman" w:hAnsi="Times New Roman" w:cs="Times New Roman"/>
                <w:color w:val="000000"/>
                <w:sz w:val="24"/>
                <w:szCs w:val="24"/>
                <w:lang w:bidi="ne-NP"/>
              </w:rPr>
            </w:pPr>
          </w:p>
        </w:tc>
        <w:tc>
          <w:tcPr>
            <w:tcW w:w="580" w:type="pct"/>
            <w:shd w:val="clear" w:color="auto" w:fill="FFFFFF"/>
            <w:vAlign w:val="center"/>
          </w:tcPr>
          <w:p w14:paraId="7FF9C5A0"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6.741</w:t>
            </w:r>
          </w:p>
        </w:tc>
        <w:tc>
          <w:tcPr>
            <w:tcW w:w="576" w:type="pct"/>
            <w:shd w:val="clear" w:color="auto" w:fill="FFFFFF"/>
            <w:vAlign w:val="center"/>
          </w:tcPr>
          <w:p w14:paraId="2C1F9957"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.000</w:t>
            </w:r>
          </w:p>
        </w:tc>
      </w:tr>
      <w:tr w:rsidR="000C013D" w:rsidRPr="00235D77" w14:paraId="45B2195D" w14:textId="77777777" w:rsidTr="008858FD">
        <w:trPr>
          <w:cantSplit/>
        </w:trPr>
        <w:tc>
          <w:tcPr>
            <w:tcW w:w="425" w:type="pct"/>
            <w:vMerge/>
            <w:shd w:val="clear" w:color="auto" w:fill="FFFFFF"/>
            <w:vAlign w:val="center"/>
          </w:tcPr>
          <w:p w14:paraId="6B4BFB76"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1046" w:type="pct"/>
            <w:shd w:val="clear" w:color="auto" w:fill="FFFFFF"/>
            <w:vAlign w:val="center"/>
          </w:tcPr>
          <w:p w14:paraId="5CFADD52"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Earning Per Share</w:t>
            </w:r>
          </w:p>
        </w:tc>
        <w:tc>
          <w:tcPr>
            <w:tcW w:w="765" w:type="pct"/>
            <w:shd w:val="clear" w:color="auto" w:fill="FFFFFF"/>
            <w:vAlign w:val="center"/>
          </w:tcPr>
          <w:p w14:paraId="1F096B95"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-8.472</w:t>
            </w:r>
          </w:p>
        </w:tc>
        <w:tc>
          <w:tcPr>
            <w:tcW w:w="765" w:type="pct"/>
            <w:shd w:val="clear" w:color="auto" w:fill="FFFFFF"/>
            <w:vAlign w:val="center"/>
          </w:tcPr>
          <w:p w14:paraId="4770EFF8"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4.020</w:t>
            </w:r>
          </w:p>
        </w:tc>
        <w:tc>
          <w:tcPr>
            <w:tcW w:w="844" w:type="pct"/>
            <w:shd w:val="clear" w:color="auto" w:fill="FFFFFF"/>
            <w:vAlign w:val="center"/>
          </w:tcPr>
          <w:p w14:paraId="52B2E9D0"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-.324</w:t>
            </w:r>
          </w:p>
        </w:tc>
        <w:tc>
          <w:tcPr>
            <w:tcW w:w="580" w:type="pct"/>
            <w:shd w:val="clear" w:color="auto" w:fill="FFFFFF"/>
            <w:vAlign w:val="center"/>
          </w:tcPr>
          <w:p w14:paraId="34C0BFE8"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-2.108</w:t>
            </w:r>
          </w:p>
        </w:tc>
        <w:tc>
          <w:tcPr>
            <w:tcW w:w="576" w:type="pct"/>
            <w:shd w:val="clear" w:color="auto" w:fill="FFFFFF"/>
            <w:vAlign w:val="center"/>
          </w:tcPr>
          <w:p w14:paraId="618EFDF9" w14:textId="77777777" w:rsidR="000C013D" w:rsidRPr="00B63006" w:rsidRDefault="000C013D" w:rsidP="00B63006">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.042</w:t>
            </w:r>
          </w:p>
        </w:tc>
      </w:tr>
      <w:tr w:rsidR="000C013D" w:rsidRPr="00235D77" w14:paraId="4CE050B0" w14:textId="77777777" w:rsidTr="00354635">
        <w:trPr>
          <w:cantSplit/>
        </w:trPr>
        <w:tc>
          <w:tcPr>
            <w:tcW w:w="5000" w:type="pct"/>
            <w:gridSpan w:val="7"/>
            <w:shd w:val="clear" w:color="auto" w:fill="FFFFFF"/>
          </w:tcPr>
          <w:p w14:paraId="5C83F1CE" w14:textId="77777777" w:rsidR="000C013D" w:rsidRPr="00B63006" w:rsidRDefault="000C013D" w:rsidP="00B63006">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B63006">
              <w:rPr>
                <w:rFonts w:ascii="Times New Roman" w:hAnsi="Times New Roman" w:cs="Times New Roman"/>
                <w:color w:val="000000"/>
                <w:sz w:val="24"/>
                <w:szCs w:val="24"/>
                <w:lang w:bidi="ne-NP"/>
              </w:rPr>
              <w:t>a. Dependent Variable: Market Per Share</w:t>
            </w:r>
          </w:p>
        </w:tc>
      </w:tr>
    </w:tbl>
    <w:p w14:paraId="54845C82" w14:textId="77777777" w:rsidR="000C013D" w:rsidRPr="00235D77" w:rsidRDefault="000C013D" w:rsidP="00444603">
      <w:pPr>
        <w:autoSpaceDE w:val="0"/>
        <w:autoSpaceDN w:val="0"/>
        <w:adjustRightInd w:val="0"/>
        <w:spacing w:before="240" w:after="240" w:line="384" w:lineRule="auto"/>
        <w:jc w:val="both"/>
        <w:rPr>
          <w:rFonts w:ascii="Times New Roman" w:hAnsi="Times New Roman" w:cs="Times New Roman"/>
          <w:b/>
          <w:color w:val="000000" w:themeColor="text1"/>
          <w:sz w:val="24"/>
          <w:szCs w:val="24"/>
        </w:rPr>
      </w:pPr>
      <w:r w:rsidRPr="00235D77">
        <w:rPr>
          <w:rFonts w:ascii="Times New Roman" w:hAnsi="Times New Roman" w:cs="Times New Roman"/>
          <w:b/>
          <w:color w:val="000000" w:themeColor="text1"/>
          <w:sz w:val="24"/>
          <w:szCs w:val="24"/>
        </w:rPr>
        <w:t>Model Interpretation of Earning per share in relation to Market per share</w:t>
      </w:r>
    </w:p>
    <w:p w14:paraId="74DDC8A1" w14:textId="77777777" w:rsidR="000C013D" w:rsidRPr="00235D77"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235D77">
        <w:rPr>
          <w:rFonts w:ascii="Times New Roman" w:hAnsi="Times New Roman" w:cs="Times New Roman"/>
          <w:color w:val="000000" w:themeColor="text1"/>
          <w:sz w:val="24"/>
          <w:szCs w:val="24"/>
        </w:rPr>
        <w:t xml:space="preserve">y = </w:t>
      </w:r>
      <w:proofErr w:type="spellStart"/>
      <w:r w:rsidRPr="00235D77">
        <w:rPr>
          <w:rFonts w:ascii="Times New Roman" w:hAnsi="Times New Roman" w:cs="Times New Roman"/>
          <w:color w:val="000000" w:themeColor="text1"/>
          <w:sz w:val="24"/>
          <w:szCs w:val="24"/>
        </w:rPr>
        <w:t>a+bx</w:t>
      </w:r>
      <w:proofErr w:type="spellEnd"/>
    </w:p>
    <w:p w14:paraId="7B66CDC8" w14:textId="77777777" w:rsidR="000C013D" w:rsidRPr="00235D77"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235D77">
        <w:rPr>
          <w:rFonts w:ascii="Times New Roman" w:hAnsi="Times New Roman" w:cs="Times New Roman"/>
          <w:color w:val="000000" w:themeColor="text1"/>
          <w:sz w:val="24"/>
          <w:szCs w:val="24"/>
        </w:rPr>
        <w:t xml:space="preserve">Earning Per Share= constant + slope x  </w:t>
      </w:r>
    </w:p>
    <w:p w14:paraId="31F17741" w14:textId="77777777" w:rsidR="000C013D" w:rsidRPr="00235D77"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235D77">
        <w:rPr>
          <w:rFonts w:ascii="Times New Roman" w:hAnsi="Times New Roman" w:cs="Times New Roman"/>
          <w:color w:val="000000" w:themeColor="text1"/>
          <w:sz w:val="24"/>
          <w:szCs w:val="24"/>
        </w:rPr>
        <w:t>EPS = 666.522+(-8.472) EPS</w:t>
      </w:r>
    </w:p>
    <w:p w14:paraId="1778CD5C" w14:textId="77777777" w:rsidR="000C013D" w:rsidRPr="00235D77"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235D77">
        <w:rPr>
          <w:rFonts w:ascii="Times New Roman" w:hAnsi="Times New Roman" w:cs="Times New Roman"/>
          <w:color w:val="000000" w:themeColor="text1"/>
          <w:sz w:val="24"/>
          <w:szCs w:val="24"/>
        </w:rPr>
        <w:t xml:space="preserve">P-value = (0.042)    </w:t>
      </w:r>
    </w:p>
    <w:p w14:paraId="106B069C" w14:textId="77777777" w:rsidR="000C013D" w:rsidRPr="00235D77"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235D77">
        <w:rPr>
          <w:rFonts w:ascii="Times New Roman" w:hAnsi="Times New Roman" w:cs="Times New Roman"/>
          <w:color w:val="000000" w:themeColor="text1"/>
          <w:sz w:val="24"/>
          <w:szCs w:val="24"/>
        </w:rPr>
        <w:lastRenderedPageBreak/>
        <w:t xml:space="preserve">R =   .324             </w:t>
      </w:r>
      <w:r w:rsidRPr="00235D77">
        <w:rPr>
          <w:rFonts w:ascii="Times New Roman" w:hAnsi="Times New Roman" w:cs="Times New Roman"/>
          <w:color w:val="000000" w:themeColor="text1"/>
          <w:sz w:val="24"/>
          <w:szCs w:val="24"/>
        </w:rPr>
        <w:tab/>
        <w:t>R</w:t>
      </w:r>
      <w:r w:rsidRPr="00235D77">
        <w:rPr>
          <w:rFonts w:ascii="Times New Roman" w:hAnsi="Times New Roman" w:cs="Times New Roman"/>
          <w:color w:val="000000" w:themeColor="text1"/>
          <w:sz w:val="24"/>
          <w:szCs w:val="24"/>
          <w:vertAlign w:val="superscript"/>
        </w:rPr>
        <w:t>2</w:t>
      </w:r>
      <w:r w:rsidRPr="00235D77">
        <w:rPr>
          <w:rFonts w:ascii="Times New Roman" w:hAnsi="Times New Roman" w:cs="Times New Roman"/>
          <w:color w:val="000000" w:themeColor="text1"/>
          <w:sz w:val="24"/>
          <w:szCs w:val="24"/>
        </w:rPr>
        <w:t xml:space="preserve"> = .105</w:t>
      </w:r>
    </w:p>
    <w:p w14:paraId="74E94D62"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235D77">
        <w:rPr>
          <w:rFonts w:ascii="Times New Roman" w:hAnsi="Times New Roman" w:cs="Times New Roman"/>
          <w:color w:val="000000" w:themeColor="text1"/>
          <w:sz w:val="24"/>
          <w:szCs w:val="24"/>
        </w:rPr>
        <w:t>The above regression equation states that one unit change</w:t>
      </w:r>
      <w:r w:rsidRPr="00143B41">
        <w:rPr>
          <w:rFonts w:ascii="Times New Roman" w:hAnsi="Times New Roman" w:cs="Times New Roman"/>
          <w:color w:val="000000" w:themeColor="text1"/>
          <w:sz w:val="24"/>
          <w:szCs w:val="24"/>
        </w:rPr>
        <w:t xml:space="preserve"> in earning per share will leads share price of sample commercial bank to change with -8.472.</w:t>
      </w:r>
    </w:p>
    <w:p w14:paraId="354AAA14"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In the above equation the value of R</w:t>
      </w:r>
      <w:r w:rsidRPr="00143B41">
        <w:rPr>
          <w:rFonts w:ascii="Times New Roman" w:hAnsi="Times New Roman" w:cs="Times New Roman"/>
          <w:color w:val="000000" w:themeColor="text1"/>
          <w:szCs w:val="24"/>
          <w:vertAlign w:val="superscript"/>
        </w:rPr>
        <w:t>2</w:t>
      </w:r>
      <w:r w:rsidRPr="00143B41">
        <w:rPr>
          <w:rFonts w:ascii="Times New Roman" w:hAnsi="Times New Roman" w:cs="Times New Roman"/>
          <w:color w:val="000000" w:themeColor="text1"/>
          <w:szCs w:val="24"/>
        </w:rPr>
        <w:t xml:space="preserve"> is .105 which means that 10.5% variation in earning per share is explained by market per share.</w:t>
      </w:r>
    </w:p>
    <w:p w14:paraId="0C6B9650" w14:textId="77777777" w:rsidR="000C013D" w:rsidRDefault="000C013D" w:rsidP="00444603">
      <w:pPr>
        <w:tabs>
          <w:tab w:val="left" w:pos="5497"/>
        </w:tabs>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4.3.2 Dividend per share and Market price per share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05"/>
        <w:gridCol w:w="363"/>
        <w:gridCol w:w="1028"/>
        <w:gridCol w:w="477"/>
        <w:gridCol w:w="1133"/>
        <w:gridCol w:w="464"/>
        <w:gridCol w:w="644"/>
        <w:gridCol w:w="1526"/>
        <w:gridCol w:w="22"/>
        <w:gridCol w:w="1083"/>
        <w:gridCol w:w="1105"/>
      </w:tblGrid>
      <w:tr w:rsidR="000C013D" w:rsidRPr="00143B41" w14:paraId="365ECB12" w14:textId="77777777" w:rsidTr="008B5885">
        <w:trPr>
          <w:cantSplit/>
        </w:trPr>
        <w:tc>
          <w:tcPr>
            <w:tcW w:w="5000" w:type="pct"/>
            <w:gridSpan w:val="11"/>
            <w:tcBorders>
              <w:top w:val="single" w:sz="4" w:space="0" w:color="auto"/>
              <w:left w:val="single" w:sz="4" w:space="0" w:color="auto"/>
              <w:right w:val="single" w:sz="4" w:space="0" w:color="auto"/>
            </w:tcBorders>
            <w:shd w:val="clear" w:color="auto" w:fill="FFFFFF"/>
          </w:tcPr>
          <w:p w14:paraId="167234C3"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r w:rsidRPr="008B5885">
              <w:rPr>
                <w:rFonts w:ascii="Times New Roman" w:hAnsi="Times New Roman" w:cs="Times New Roman"/>
                <w:b/>
                <w:bCs/>
                <w:color w:val="000000"/>
                <w:sz w:val="24"/>
                <w:szCs w:val="24"/>
              </w:rPr>
              <w:t>Model Summary</w:t>
            </w:r>
          </w:p>
        </w:tc>
      </w:tr>
      <w:tr w:rsidR="000C013D" w:rsidRPr="00143B41" w14:paraId="260BF58C" w14:textId="77777777" w:rsidTr="00F26278">
        <w:trPr>
          <w:cantSplit/>
        </w:trPr>
        <w:tc>
          <w:tcPr>
            <w:tcW w:w="675" w:type="pct"/>
            <w:gridSpan w:val="2"/>
            <w:shd w:val="clear" w:color="auto" w:fill="FFFFFF"/>
          </w:tcPr>
          <w:p w14:paraId="6DA14E26"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Model</w:t>
            </w:r>
          </w:p>
        </w:tc>
        <w:tc>
          <w:tcPr>
            <w:tcW w:w="870" w:type="pct"/>
            <w:gridSpan w:val="2"/>
            <w:shd w:val="clear" w:color="auto" w:fill="FFFFFF"/>
          </w:tcPr>
          <w:p w14:paraId="603FF520"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R</w:t>
            </w:r>
          </w:p>
        </w:tc>
        <w:tc>
          <w:tcPr>
            <w:tcW w:w="923" w:type="pct"/>
            <w:gridSpan w:val="2"/>
            <w:shd w:val="clear" w:color="auto" w:fill="FFFFFF"/>
          </w:tcPr>
          <w:p w14:paraId="10ABA711"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R Square</w:t>
            </w:r>
          </w:p>
        </w:tc>
        <w:tc>
          <w:tcPr>
            <w:tcW w:w="1267" w:type="pct"/>
            <w:gridSpan w:val="3"/>
            <w:shd w:val="clear" w:color="auto" w:fill="FFFFFF"/>
          </w:tcPr>
          <w:p w14:paraId="2434F3DF"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Adjusted R Square</w:t>
            </w:r>
          </w:p>
        </w:tc>
        <w:tc>
          <w:tcPr>
            <w:tcW w:w="1265" w:type="pct"/>
            <w:gridSpan w:val="2"/>
            <w:shd w:val="clear" w:color="auto" w:fill="FFFFFF"/>
          </w:tcPr>
          <w:p w14:paraId="1E7C6A6F"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Std. Error of the Estimate</w:t>
            </w:r>
          </w:p>
        </w:tc>
      </w:tr>
      <w:tr w:rsidR="000C013D" w:rsidRPr="00143B41" w14:paraId="4949F258" w14:textId="77777777" w:rsidTr="008B5885">
        <w:trPr>
          <w:cantSplit/>
        </w:trPr>
        <w:tc>
          <w:tcPr>
            <w:tcW w:w="675" w:type="pct"/>
            <w:gridSpan w:val="2"/>
            <w:tcBorders>
              <w:bottom w:val="single" w:sz="4" w:space="0" w:color="auto"/>
            </w:tcBorders>
            <w:shd w:val="clear" w:color="auto" w:fill="FFFFFF"/>
            <w:vAlign w:val="center"/>
          </w:tcPr>
          <w:p w14:paraId="33D7D1CE" w14:textId="24E6FE14"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1</w:t>
            </w:r>
          </w:p>
        </w:tc>
        <w:tc>
          <w:tcPr>
            <w:tcW w:w="870" w:type="pct"/>
            <w:gridSpan w:val="2"/>
            <w:tcBorders>
              <w:bottom w:val="single" w:sz="4" w:space="0" w:color="auto"/>
            </w:tcBorders>
            <w:shd w:val="clear" w:color="auto" w:fill="FFFFFF"/>
            <w:vAlign w:val="center"/>
          </w:tcPr>
          <w:p w14:paraId="79988C6C"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.119a</w:t>
            </w:r>
          </w:p>
        </w:tc>
        <w:tc>
          <w:tcPr>
            <w:tcW w:w="923" w:type="pct"/>
            <w:gridSpan w:val="2"/>
            <w:tcBorders>
              <w:bottom w:val="single" w:sz="4" w:space="0" w:color="auto"/>
            </w:tcBorders>
            <w:shd w:val="clear" w:color="auto" w:fill="FFFFFF"/>
            <w:vAlign w:val="center"/>
          </w:tcPr>
          <w:p w14:paraId="6C4FFB1A"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.014</w:t>
            </w:r>
          </w:p>
        </w:tc>
        <w:tc>
          <w:tcPr>
            <w:tcW w:w="1267" w:type="pct"/>
            <w:gridSpan w:val="3"/>
            <w:tcBorders>
              <w:bottom w:val="single" w:sz="4" w:space="0" w:color="auto"/>
            </w:tcBorders>
            <w:shd w:val="clear" w:color="auto" w:fill="FFFFFF"/>
            <w:vAlign w:val="center"/>
          </w:tcPr>
          <w:p w14:paraId="5360F5A0"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-.012</w:t>
            </w:r>
          </w:p>
        </w:tc>
        <w:tc>
          <w:tcPr>
            <w:tcW w:w="1265" w:type="pct"/>
            <w:gridSpan w:val="2"/>
            <w:tcBorders>
              <w:bottom w:val="single" w:sz="4" w:space="0" w:color="auto"/>
            </w:tcBorders>
            <w:shd w:val="clear" w:color="auto" w:fill="FFFFFF"/>
            <w:vAlign w:val="center"/>
          </w:tcPr>
          <w:p w14:paraId="49BBEB98" w14:textId="77777777" w:rsidR="000C013D" w:rsidRPr="008B5885" w:rsidRDefault="000C013D" w:rsidP="008B5885">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B5885">
              <w:rPr>
                <w:rFonts w:ascii="Times New Roman" w:hAnsi="Times New Roman" w:cs="Times New Roman"/>
                <w:color w:val="000000"/>
                <w:sz w:val="24"/>
                <w:szCs w:val="24"/>
              </w:rPr>
              <w:t>230.00777</w:t>
            </w:r>
          </w:p>
        </w:tc>
      </w:tr>
      <w:tr w:rsidR="000C013D" w:rsidRPr="00143B41" w14:paraId="04D4F9AA" w14:textId="77777777" w:rsidTr="008B5885">
        <w:trPr>
          <w:cantSplit/>
        </w:trPr>
        <w:tc>
          <w:tcPr>
            <w:tcW w:w="5000" w:type="pct"/>
            <w:gridSpan w:val="11"/>
            <w:tcBorders>
              <w:top w:val="single" w:sz="4" w:space="0" w:color="auto"/>
            </w:tcBorders>
            <w:shd w:val="clear" w:color="auto" w:fill="FFFFFF"/>
          </w:tcPr>
          <w:p w14:paraId="34E308CA" w14:textId="77777777" w:rsidR="000C013D" w:rsidRPr="008B5885" w:rsidRDefault="000C013D" w:rsidP="00881FDC">
            <w:pPr>
              <w:autoSpaceDE w:val="0"/>
              <w:autoSpaceDN w:val="0"/>
              <w:adjustRightInd w:val="0"/>
              <w:spacing w:after="0" w:line="320" w:lineRule="atLeast"/>
              <w:ind w:left="60" w:right="60"/>
              <w:rPr>
                <w:rFonts w:ascii="Times New Roman" w:hAnsi="Times New Roman" w:cs="Times New Roman"/>
                <w:color w:val="000000"/>
                <w:sz w:val="24"/>
                <w:szCs w:val="24"/>
              </w:rPr>
            </w:pPr>
            <w:r w:rsidRPr="008B5885">
              <w:rPr>
                <w:rFonts w:ascii="Times New Roman" w:hAnsi="Times New Roman" w:cs="Times New Roman"/>
                <w:color w:val="000000"/>
                <w:sz w:val="24"/>
                <w:szCs w:val="24"/>
              </w:rPr>
              <w:t>a. Predictors: (Constant), Dividend Per Share</w:t>
            </w:r>
          </w:p>
        </w:tc>
      </w:tr>
      <w:tr w:rsidR="000C013D" w:rsidRPr="00143B41" w14:paraId="702A6F6A" w14:textId="77777777" w:rsidTr="00881FDC">
        <w:trPr>
          <w:cantSplit/>
          <w:trHeight w:val="1213"/>
        </w:trPr>
        <w:tc>
          <w:tcPr>
            <w:tcW w:w="5000" w:type="pct"/>
            <w:gridSpan w:val="11"/>
            <w:tcBorders>
              <w:top w:val="single" w:sz="4" w:space="0" w:color="auto"/>
              <w:left w:val="nil"/>
              <w:bottom w:val="single" w:sz="4" w:space="0" w:color="auto"/>
              <w:right w:val="nil"/>
            </w:tcBorders>
            <w:shd w:val="clear" w:color="auto" w:fill="FFFFFF"/>
          </w:tcPr>
          <w:p w14:paraId="2BD8ACCA" w14:textId="77777777" w:rsidR="008B5885" w:rsidRDefault="008B5885" w:rsidP="008B5885">
            <w:pPr>
              <w:autoSpaceDE w:val="0"/>
              <w:autoSpaceDN w:val="0"/>
              <w:adjustRightInd w:val="0"/>
              <w:spacing w:after="0" w:line="384" w:lineRule="auto"/>
              <w:ind w:right="60"/>
              <w:rPr>
                <w:rFonts w:ascii="Times New Roman" w:hAnsi="Times New Roman" w:cs="Times New Roman"/>
                <w:b/>
                <w:bCs/>
                <w:color w:val="000000" w:themeColor="text1"/>
                <w:sz w:val="24"/>
                <w:szCs w:val="24"/>
              </w:rPr>
            </w:pPr>
          </w:p>
          <w:p w14:paraId="797A9EC9" w14:textId="1CE8FF32" w:rsidR="000C013D" w:rsidRPr="00143B41" w:rsidRDefault="000C013D" w:rsidP="00F051BB">
            <w:pPr>
              <w:autoSpaceDE w:val="0"/>
              <w:autoSpaceDN w:val="0"/>
              <w:adjustRightInd w:val="0"/>
              <w:spacing w:after="0" w:line="384" w:lineRule="auto"/>
              <w:ind w:left="60" w:right="60"/>
              <w:jc w:val="center"/>
              <w:rPr>
                <w:rFonts w:ascii="Times New Roman" w:hAnsi="Times New Roman" w:cs="Times New Roman"/>
                <w:color w:val="000000" w:themeColor="text1"/>
                <w:sz w:val="24"/>
                <w:szCs w:val="24"/>
              </w:rPr>
            </w:pPr>
          </w:p>
        </w:tc>
      </w:tr>
      <w:tr w:rsidR="00881FDC" w:rsidRPr="00143B41" w14:paraId="68618D42" w14:textId="77777777" w:rsidTr="008B5885">
        <w:trPr>
          <w:cantSplit/>
          <w:trHeight w:val="313"/>
        </w:trPr>
        <w:tc>
          <w:tcPr>
            <w:tcW w:w="5000" w:type="pct"/>
            <w:gridSpan w:val="11"/>
            <w:tcBorders>
              <w:top w:val="single" w:sz="4" w:space="0" w:color="auto"/>
              <w:left w:val="single" w:sz="4" w:space="0" w:color="auto"/>
              <w:right w:val="single" w:sz="4" w:space="0" w:color="auto"/>
            </w:tcBorders>
            <w:shd w:val="clear" w:color="auto" w:fill="FFFFFF"/>
          </w:tcPr>
          <w:p w14:paraId="0F5FC6FD" w14:textId="7E5BD3D3" w:rsidR="00881FDC" w:rsidRPr="00881FDC" w:rsidRDefault="00881FDC" w:rsidP="00881FDC">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roofErr w:type="spellStart"/>
            <w:r w:rsidRPr="00881FDC">
              <w:rPr>
                <w:rFonts w:ascii="Times New Roman" w:hAnsi="Times New Roman" w:cs="Times New Roman"/>
                <w:b/>
                <w:bCs/>
                <w:color w:val="000000"/>
                <w:sz w:val="24"/>
                <w:szCs w:val="24"/>
              </w:rPr>
              <w:t>ANOVAa</w:t>
            </w:r>
            <w:proofErr w:type="spellEnd"/>
          </w:p>
        </w:tc>
      </w:tr>
      <w:tr w:rsidR="000C013D" w:rsidRPr="00143B41" w14:paraId="547D6EA9" w14:textId="77777777" w:rsidTr="00F26278">
        <w:trPr>
          <w:cantSplit/>
        </w:trPr>
        <w:tc>
          <w:tcPr>
            <w:tcW w:w="1269" w:type="pct"/>
            <w:gridSpan w:val="3"/>
            <w:shd w:val="clear" w:color="auto" w:fill="FFFFFF"/>
          </w:tcPr>
          <w:p w14:paraId="27013304"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Model</w:t>
            </w:r>
          </w:p>
        </w:tc>
        <w:tc>
          <w:tcPr>
            <w:tcW w:w="931" w:type="pct"/>
            <w:gridSpan w:val="2"/>
            <w:shd w:val="clear" w:color="auto" w:fill="FFFFFF"/>
          </w:tcPr>
          <w:p w14:paraId="740EDD84"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Sum of Squares</w:t>
            </w:r>
          </w:p>
        </w:tc>
        <w:tc>
          <w:tcPr>
            <w:tcW w:w="640" w:type="pct"/>
            <w:gridSpan w:val="2"/>
            <w:shd w:val="clear" w:color="auto" w:fill="FFFFFF"/>
          </w:tcPr>
          <w:p w14:paraId="79551293"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df</w:t>
            </w:r>
          </w:p>
        </w:tc>
        <w:tc>
          <w:tcPr>
            <w:tcW w:w="882" w:type="pct"/>
            <w:shd w:val="clear" w:color="auto" w:fill="FFFFFF"/>
          </w:tcPr>
          <w:p w14:paraId="4FB69AE5"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Mean Square</w:t>
            </w:r>
          </w:p>
        </w:tc>
        <w:tc>
          <w:tcPr>
            <w:tcW w:w="639" w:type="pct"/>
            <w:gridSpan w:val="2"/>
            <w:shd w:val="clear" w:color="auto" w:fill="FFFFFF"/>
          </w:tcPr>
          <w:p w14:paraId="2B612905"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F</w:t>
            </w:r>
          </w:p>
        </w:tc>
        <w:tc>
          <w:tcPr>
            <w:tcW w:w="639" w:type="pct"/>
            <w:shd w:val="clear" w:color="auto" w:fill="FFFFFF"/>
          </w:tcPr>
          <w:p w14:paraId="496F78E3"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Sig.</w:t>
            </w:r>
          </w:p>
        </w:tc>
      </w:tr>
      <w:tr w:rsidR="000C013D" w:rsidRPr="00143B41" w14:paraId="1344AF16" w14:textId="77777777" w:rsidTr="00F26278">
        <w:trPr>
          <w:cantSplit/>
        </w:trPr>
        <w:tc>
          <w:tcPr>
            <w:tcW w:w="465" w:type="pct"/>
            <w:vMerge w:val="restart"/>
            <w:shd w:val="clear" w:color="auto" w:fill="FFFFFF"/>
            <w:vAlign w:val="center"/>
          </w:tcPr>
          <w:p w14:paraId="6B0B2D32"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1</w:t>
            </w:r>
          </w:p>
        </w:tc>
        <w:tc>
          <w:tcPr>
            <w:tcW w:w="804" w:type="pct"/>
            <w:gridSpan w:val="2"/>
            <w:shd w:val="clear" w:color="auto" w:fill="FFFFFF"/>
            <w:vAlign w:val="center"/>
          </w:tcPr>
          <w:p w14:paraId="26D1D545"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Regression</w:t>
            </w:r>
          </w:p>
        </w:tc>
        <w:tc>
          <w:tcPr>
            <w:tcW w:w="931" w:type="pct"/>
            <w:gridSpan w:val="2"/>
            <w:shd w:val="clear" w:color="auto" w:fill="FFFFFF"/>
            <w:vAlign w:val="center"/>
          </w:tcPr>
          <w:p w14:paraId="5AEF8684"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29059.313</w:t>
            </w:r>
          </w:p>
        </w:tc>
        <w:tc>
          <w:tcPr>
            <w:tcW w:w="640" w:type="pct"/>
            <w:gridSpan w:val="2"/>
            <w:shd w:val="clear" w:color="auto" w:fill="FFFFFF"/>
            <w:vAlign w:val="center"/>
          </w:tcPr>
          <w:p w14:paraId="3208569D"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1</w:t>
            </w:r>
          </w:p>
        </w:tc>
        <w:tc>
          <w:tcPr>
            <w:tcW w:w="882" w:type="pct"/>
            <w:shd w:val="clear" w:color="auto" w:fill="FFFFFF"/>
            <w:vAlign w:val="center"/>
          </w:tcPr>
          <w:p w14:paraId="04EF84A7"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29059.313</w:t>
            </w:r>
          </w:p>
        </w:tc>
        <w:tc>
          <w:tcPr>
            <w:tcW w:w="639" w:type="pct"/>
            <w:gridSpan w:val="2"/>
            <w:shd w:val="clear" w:color="auto" w:fill="FFFFFF"/>
            <w:vAlign w:val="center"/>
          </w:tcPr>
          <w:p w14:paraId="73C0B64F"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.549</w:t>
            </w:r>
          </w:p>
        </w:tc>
        <w:tc>
          <w:tcPr>
            <w:tcW w:w="639" w:type="pct"/>
            <w:shd w:val="clear" w:color="auto" w:fill="FFFFFF"/>
            <w:vAlign w:val="center"/>
          </w:tcPr>
          <w:p w14:paraId="431EE504"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.463b</w:t>
            </w:r>
          </w:p>
        </w:tc>
      </w:tr>
      <w:tr w:rsidR="000C013D" w:rsidRPr="00143B41" w14:paraId="3AB67643" w14:textId="77777777" w:rsidTr="00F26278">
        <w:trPr>
          <w:cantSplit/>
        </w:trPr>
        <w:tc>
          <w:tcPr>
            <w:tcW w:w="465" w:type="pct"/>
            <w:vMerge/>
            <w:shd w:val="clear" w:color="auto" w:fill="FFFFFF"/>
            <w:vAlign w:val="center"/>
          </w:tcPr>
          <w:p w14:paraId="4CFD904B"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gridSpan w:val="2"/>
            <w:shd w:val="clear" w:color="auto" w:fill="FFFFFF"/>
            <w:vAlign w:val="center"/>
          </w:tcPr>
          <w:p w14:paraId="36957B04"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Residual</w:t>
            </w:r>
          </w:p>
        </w:tc>
        <w:tc>
          <w:tcPr>
            <w:tcW w:w="931" w:type="pct"/>
            <w:gridSpan w:val="2"/>
            <w:shd w:val="clear" w:color="auto" w:fill="FFFFFF"/>
            <w:vAlign w:val="center"/>
          </w:tcPr>
          <w:p w14:paraId="1F9D2644"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2010335.787</w:t>
            </w:r>
          </w:p>
        </w:tc>
        <w:tc>
          <w:tcPr>
            <w:tcW w:w="640" w:type="pct"/>
            <w:gridSpan w:val="2"/>
            <w:shd w:val="clear" w:color="auto" w:fill="FFFFFF"/>
            <w:vAlign w:val="center"/>
          </w:tcPr>
          <w:p w14:paraId="6AD1C210"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38</w:t>
            </w:r>
          </w:p>
        </w:tc>
        <w:tc>
          <w:tcPr>
            <w:tcW w:w="882" w:type="pct"/>
            <w:shd w:val="clear" w:color="auto" w:fill="FFFFFF"/>
            <w:vAlign w:val="center"/>
          </w:tcPr>
          <w:p w14:paraId="0C0EC4F8"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52903.573</w:t>
            </w:r>
          </w:p>
        </w:tc>
        <w:tc>
          <w:tcPr>
            <w:tcW w:w="639" w:type="pct"/>
            <w:gridSpan w:val="2"/>
            <w:shd w:val="clear" w:color="auto" w:fill="FFFFFF"/>
          </w:tcPr>
          <w:p w14:paraId="2DA719F7"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7E9BD139"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143B41" w14:paraId="70A653BC" w14:textId="77777777" w:rsidTr="00F26278">
        <w:trPr>
          <w:cantSplit/>
        </w:trPr>
        <w:tc>
          <w:tcPr>
            <w:tcW w:w="465" w:type="pct"/>
            <w:vMerge/>
            <w:shd w:val="clear" w:color="auto" w:fill="FFFFFF"/>
            <w:vAlign w:val="center"/>
          </w:tcPr>
          <w:p w14:paraId="04E3BA3E"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gridSpan w:val="2"/>
            <w:shd w:val="clear" w:color="auto" w:fill="FFFFFF"/>
            <w:vAlign w:val="center"/>
          </w:tcPr>
          <w:p w14:paraId="2F6C7E18"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Total</w:t>
            </w:r>
          </w:p>
        </w:tc>
        <w:tc>
          <w:tcPr>
            <w:tcW w:w="931" w:type="pct"/>
            <w:gridSpan w:val="2"/>
            <w:shd w:val="clear" w:color="auto" w:fill="FFFFFF"/>
            <w:vAlign w:val="center"/>
          </w:tcPr>
          <w:p w14:paraId="702E2094"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2039395.100</w:t>
            </w:r>
          </w:p>
        </w:tc>
        <w:tc>
          <w:tcPr>
            <w:tcW w:w="640" w:type="pct"/>
            <w:gridSpan w:val="2"/>
            <w:shd w:val="clear" w:color="auto" w:fill="FFFFFF"/>
            <w:vAlign w:val="center"/>
          </w:tcPr>
          <w:p w14:paraId="34A4C102"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881FDC">
              <w:rPr>
                <w:rFonts w:ascii="Times New Roman" w:hAnsi="Times New Roman" w:cs="Times New Roman"/>
                <w:color w:val="000000"/>
                <w:sz w:val="24"/>
                <w:szCs w:val="24"/>
              </w:rPr>
              <w:t>39</w:t>
            </w:r>
          </w:p>
        </w:tc>
        <w:tc>
          <w:tcPr>
            <w:tcW w:w="882" w:type="pct"/>
            <w:shd w:val="clear" w:color="auto" w:fill="FFFFFF"/>
          </w:tcPr>
          <w:p w14:paraId="2F8D2B4A"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gridSpan w:val="2"/>
            <w:shd w:val="clear" w:color="auto" w:fill="FFFFFF"/>
          </w:tcPr>
          <w:p w14:paraId="55C28D40"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23B1A226" w14:textId="77777777" w:rsidR="000C013D" w:rsidRPr="00881FDC" w:rsidRDefault="000C013D" w:rsidP="00881FDC">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143B41" w14:paraId="3CE350A2" w14:textId="77777777" w:rsidTr="00354635">
        <w:trPr>
          <w:cantSplit/>
        </w:trPr>
        <w:tc>
          <w:tcPr>
            <w:tcW w:w="5000" w:type="pct"/>
            <w:gridSpan w:val="11"/>
            <w:shd w:val="clear" w:color="auto" w:fill="FFFFFF"/>
          </w:tcPr>
          <w:p w14:paraId="37E73B86" w14:textId="77777777" w:rsidR="000C013D" w:rsidRPr="00881FDC" w:rsidRDefault="000C013D" w:rsidP="00881FDC">
            <w:pPr>
              <w:autoSpaceDE w:val="0"/>
              <w:autoSpaceDN w:val="0"/>
              <w:adjustRightInd w:val="0"/>
              <w:spacing w:after="0" w:line="320" w:lineRule="atLeast"/>
              <w:ind w:left="60" w:right="60"/>
              <w:rPr>
                <w:rFonts w:ascii="Times New Roman" w:hAnsi="Times New Roman" w:cs="Times New Roman"/>
                <w:color w:val="000000"/>
                <w:sz w:val="24"/>
                <w:szCs w:val="24"/>
              </w:rPr>
            </w:pPr>
            <w:r w:rsidRPr="00881FDC">
              <w:rPr>
                <w:rFonts w:ascii="Times New Roman" w:hAnsi="Times New Roman" w:cs="Times New Roman"/>
                <w:color w:val="000000"/>
                <w:sz w:val="24"/>
                <w:szCs w:val="24"/>
              </w:rPr>
              <w:t>a. Dependent Variable: Market Per Share</w:t>
            </w:r>
          </w:p>
        </w:tc>
      </w:tr>
      <w:tr w:rsidR="000C013D" w:rsidRPr="00143B41" w14:paraId="4850061B" w14:textId="77777777" w:rsidTr="00354635">
        <w:trPr>
          <w:cantSplit/>
        </w:trPr>
        <w:tc>
          <w:tcPr>
            <w:tcW w:w="5000" w:type="pct"/>
            <w:gridSpan w:val="11"/>
            <w:shd w:val="clear" w:color="auto" w:fill="FFFFFF"/>
          </w:tcPr>
          <w:p w14:paraId="77991F3B" w14:textId="77777777" w:rsidR="000C013D" w:rsidRPr="00881FDC" w:rsidRDefault="000C013D" w:rsidP="00881FDC">
            <w:pPr>
              <w:autoSpaceDE w:val="0"/>
              <w:autoSpaceDN w:val="0"/>
              <w:adjustRightInd w:val="0"/>
              <w:spacing w:after="0" w:line="320" w:lineRule="atLeast"/>
              <w:ind w:left="60" w:right="60"/>
              <w:rPr>
                <w:rFonts w:ascii="Times New Roman" w:hAnsi="Times New Roman" w:cs="Times New Roman"/>
                <w:color w:val="000000"/>
                <w:sz w:val="24"/>
                <w:szCs w:val="24"/>
              </w:rPr>
            </w:pPr>
            <w:r w:rsidRPr="00881FDC">
              <w:rPr>
                <w:rFonts w:ascii="Times New Roman" w:hAnsi="Times New Roman" w:cs="Times New Roman"/>
                <w:color w:val="000000"/>
                <w:sz w:val="24"/>
                <w:szCs w:val="24"/>
              </w:rPr>
              <w:t>b. Predictors: (Constant), Dividend Per Share</w:t>
            </w:r>
          </w:p>
        </w:tc>
      </w:tr>
    </w:tbl>
    <w:p w14:paraId="41071466" w14:textId="4E88A4AB" w:rsidR="000C013D" w:rsidRPr="00143B41" w:rsidRDefault="000C013D" w:rsidP="00F051BB">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Since the p value (0.463) of t- statistic is more than 0.05, there is enough ground to accept the null hypothesis. </w:t>
      </w:r>
      <w:r w:rsidR="00C53062" w:rsidRPr="00143B41">
        <w:rPr>
          <w:rFonts w:ascii="Times New Roman" w:hAnsi="Times New Roman" w:cs="Times New Roman"/>
          <w:color w:val="000000" w:themeColor="text1"/>
          <w:sz w:val="24"/>
          <w:szCs w:val="24"/>
        </w:rPr>
        <w:t>Therefore,</w:t>
      </w:r>
      <w:r w:rsidRPr="00143B41">
        <w:rPr>
          <w:rFonts w:ascii="Times New Roman" w:hAnsi="Times New Roman" w:cs="Times New Roman"/>
          <w:color w:val="000000" w:themeColor="text1"/>
          <w:sz w:val="24"/>
          <w:szCs w:val="24"/>
        </w:rPr>
        <w:t xml:space="preserve"> the alternative hypothesis is rejected i.e. There is no significant relationship between dividend per share and market per share.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2"/>
        <w:gridCol w:w="1866"/>
        <w:gridCol w:w="1310"/>
        <w:gridCol w:w="1310"/>
        <w:gridCol w:w="1446"/>
        <w:gridCol w:w="994"/>
        <w:gridCol w:w="992"/>
      </w:tblGrid>
      <w:tr w:rsidR="000C013D" w:rsidRPr="00143B41" w14:paraId="537EAB1E" w14:textId="77777777" w:rsidTr="00597459">
        <w:trPr>
          <w:cantSplit/>
        </w:trPr>
        <w:tc>
          <w:tcPr>
            <w:tcW w:w="5000" w:type="pct"/>
            <w:gridSpan w:val="7"/>
            <w:tcBorders>
              <w:top w:val="nil"/>
              <w:left w:val="nil"/>
              <w:right w:val="nil"/>
            </w:tcBorders>
            <w:shd w:val="clear" w:color="auto" w:fill="FFFFFF"/>
          </w:tcPr>
          <w:p w14:paraId="1C88A11C" w14:textId="40998078" w:rsidR="005A639C" w:rsidRDefault="005A639C" w:rsidP="005A639C">
            <w:pPr>
              <w:autoSpaceDE w:val="0"/>
              <w:autoSpaceDN w:val="0"/>
              <w:adjustRightInd w:val="0"/>
              <w:spacing w:before="240" w:after="0" w:line="384" w:lineRule="auto"/>
              <w:ind w:right="60"/>
              <w:rPr>
                <w:rFonts w:ascii="Times New Roman" w:hAnsi="Times New Roman" w:cs="Times New Roman"/>
                <w:b/>
                <w:bCs/>
                <w:color w:val="000000" w:themeColor="text1"/>
                <w:sz w:val="24"/>
                <w:szCs w:val="24"/>
              </w:rPr>
            </w:pPr>
          </w:p>
          <w:p w14:paraId="5BE25881" w14:textId="77777777" w:rsidR="005A639C" w:rsidRDefault="005A639C" w:rsidP="005A639C">
            <w:pPr>
              <w:autoSpaceDE w:val="0"/>
              <w:autoSpaceDN w:val="0"/>
              <w:adjustRightInd w:val="0"/>
              <w:spacing w:before="240" w:after="0" w:line="384" w:lineRule="auto"/>
              <w:ind w:right="60"/>
              <w:rPr>
                <w:rFonts w:ascii="Times New Roman" w:hAnsi="Times New Roman" w:cs="Times New Roman"/>
                <w:b/>
                <w:bCs/>
                <w:color w:val="000000" w:themeColor="text1"/>
                <w:sz w:val="24"/>
                <w:szCs w:val="24"/>
              </w:rPr>
            </w:pPr>
          </w:p>
          <w:p w14:paraId="47A657AF" w14:textId="194F915F" w:rsidR="000C013D" w:rsidRPr="00143B41" w:rsidRDefault="000C013D" w:rsidP="00F051BB">
            <w:pPr>
              <w:autoSpaceDE w:val="0"/>
              <w:autoSpaceDN w:val="0"/>
              <w:adjustRightInd w:val="0"/>
              <w:spacing w:before="240" w:after="0" w:line="384" w:lineRule="auto"/>
              <w:ind w:left="60" w:right="60"/>
              <w:jc w:val="center"/>
              <w:rPr>
                <w:rFonts w:ascii="Times New Roman" w:hAnsi="Times New Roman" w:cs="Times New Roman"/>
                <w:color w:val="000000" w:themeColor="text1"/>
                <w:sz w:val="24"/>
                <w:szCs w:val="24"/>
              </w:rPr>
            </w:pPr>
            <w:proofErr w:type="spellStart"/>
            <w:r w:rsidRPr="00143B41">
              <w:rPr>
                <w:rFonts w:ascii="Times New Roman" w:hAnsi="Times New Roman" w:cs="Times New Roman"/>
                <w:b/>
                <w:bCs/>
                <w:color w:val="000000" w:themeColor="text1"/>
                <w:sz w:val="24"/>
                <w:szCs w:val="24"/>
              </w:rPr>
              <w:t>Coefficients</w:t>
            </w:r>
            <w:r w:rsidRPr="00143B41">
              <w:rPr>
                <w:rFonts w:ascii="Times New Roman" w:hAnsi="Times New Roman" w:cs="Times New Roman"/>
                <w:b/>
                <w:bCs/>
                <w:color w:val="000000" w:themeColor="text1"/>
                <w:sz w:val="24"/>
                <w:szCs w:val="24"/>
                <w:vertAlign w:val="superscript"/>
              </w:rPr>
              <w:t>a</w:t>
            </w:r>
            <w:proofErr w:type="spellEnd"/>
          </w:p>
        </w:tc>
      </w:tr>
      <w:tr w:rsidR="000C013D" w:rsidRPr="002A4A3B" w14:paraId="2E6929CD" w14:textId="77777777" w:rsidTr="00597459">
        <w:trPr>
          <w:cantSplit/>
        </w:trPr>
        <w:tc>
          <w:tcPr>
            <w:tcW w:w="1498" w:type="pct"/>
            <w:gridSpan w:val="2"/>
            <w:vMerge w:val="restart"/>
            <w:shd w:val="clear" w:color="auto" w:fill="FFFFFF"/>
          </w:tcPr>
          <w:p w14:paraId="3D776FDF"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Model</w:t>
            </w:r>
          </w:p>
        </w:tc>
        <w:tc>
          <w:tcPr>
            <w:tcW w:w="1516" w:type="pct"/>
            <w:gridSpan w:val="2"/>
            <w:shd w:val="clear" w:color="auto" w:fill="FFFFFF"/>
          </w:tcPr>
          <w:p w14:paraId="2A0B8CEA"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Unstandardized Coefficients</w:t>
            </w:r>
          </w:p>
        </w:tc>
        <w:tc>
          <w:tcPr>
            <w:tcW w:w="837" w:type="pct"/>
            <w:shd w:val="clear" w:color="auto" w:fill="FFFFFF"/>
          </w:tcPr>
          <w:p w14:paraId="1829AAC0"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Standardized Coefficients</w:t>
            </w:r>
          </w:p>
        </w:tc>
        <w:tc>
          <w:tcPr>
            <w:tcW w:w="575" w:type="pct"/>
            <w:vMerge w:val="restart"/>
            <w:shd w:val="clear" w:color="auto" w:fill="FFFFFF"/>
          </w:tcPr>
          <w:p w14:paraId="11885501"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t</w:t>
            </w:r>
          </w:p>
        </w:tc>
        <w:tc>
          <w:tcPr>
            <w:tcW w:w="574" w:type="pct"/>
            <w:vMerge w:val="restart"/>
            <w:shd w:val="clear" w:color="auto" w:fill="FFFFFF"/>
          </w:tcPr>
          <w:p w14:paraId="3631C541"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Sig.</w:t>
            </w:r>
          </w:p>
        </w:tc>
      </w:tr>
      <w:tr w:rsidR="000C013D" w:rsidRPr="002A4A3B" w14:paraId="3126738A" w14:textId="77777777" w:rsidTr="00597459">
        <w:trPr>
          <w:cantSplit/>
        </w:trPr>
        <w:tc>
          <w:tcPr>
            <w:tcW w:w="1498" w:type="pct"/>
            <w:gridSpan w:val="2"/>
            <w:vMerge/>
            <w:shd w:val="clear" w:color="auto" w:fill="FFFFFF"/>
          </w:tcPr>
          <w:p w14:paraId="1375797D"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758" w:type="pct"/>
            <w:shd w:val="clear" w:color="auto" w:fill="FFFFFF"/>
          </w:tcPr>
          <w:p w14:paraId="1CC265FD"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B</w:t>
            </w:r>
          </w:p>
        </w:tc>
        <w:tc>
          <w:tcPr>
            <w:tcW w:w="758" w:type="pct"/>
            <w:shd w:val="clear" w:color="auto" w:fill="FFFFFF"/>
          </w:tcPr>
          <w:p w14:paraId="68CF4983"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Std. Error</w:t>
            </w:r>
          </w:p>
        </w:tc>
        <w:tc>
          <w:tcPr>
            <w:tcW w:w="837" w:type="pct"/>
            <w:shd w:val="clear" w:color="auto" w:fill="FFFFFF"/>
          </w:tcPr>
          <w:p w14:paraId="7344260A"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Beta</w:t>
            </w:r>
          </w:p>
        </w:tc>
        <w:tc>
          <w:tcPr>
            <w:tcW w:w="575" w:type="pct"/>
            <w:vMerge/>
            <w:shd w:val="clear" w:color="auto" w:fill="FFFFFF"/>
          </w:tcPr>
          <w:p w14:paraId="18744CB7"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574" w:type="pct"/>
            <w:vMerge/>
            <w:shd w:val="clear" w:color="auto" w:fill="FFFFFF"/>
          </w:tcPr>
          <w:p w14:paraId="40AFBE5B"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2A4A3B" w14:paraId="2F472298" w14:textId="77777777" w:rsidTr="00597459">
        <w:trPr>
          <w:cantSplit/>
        </w:trPr>
        <w:tc>
          <w:tcPr>
            <w:tcW w:w="418" w:type="pct"/>
            <w:vMerge w:val="restart"/>
            <w:shd w:val="clear" w:color="auto" w:fill="FFFFFF"/>
            <w:vAlign w:val="center"/>
          </w:tcPr>
          <w:p w14:paraId="2B2B3DBD"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1</w:t>
            </w:r>
          </w:p>
        </w:tc>
        <w:tc>
          <w:tcPr>
            <w:tcW w:w="1080" w:type="pct"/>
            <w:shd w:val="clear" w:color="auto" w:fill="FFFFFF"/>
            <w:vAlign w:val="center"/>
          </w:tcPr>
          <w:p w14:paraId="34EC55E0"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(Constant)</w:t>
            </w:r>
          </w:p>
        </w:tc>
        <w:tc>
          <w:tcPr>
            <w:tcW w:w="758" w:type="pct"/>
            <w:shd w:val="clear" w:color="auto" w:fill="FFFFFF"/>
            <w:vAlign w:val="center"/>
          </w:tcPr>
          <w:p w14:paraId="69A74086"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535.668</w:t>
            </w:r>
          </w:p>
        </w:tc>
        <w:tc>
          <w:tcPr>
            <w:tcW w:w="758" w:type="pct"/>
            <w:shd w:val="clear" w:color="auto" w:fill="FFFFFF"/>
            <w:vAlign w:val="center"/>
          </w:tcPr>
          <w:p w14:paraId="50633FD4"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94.095</w:t>
            </w:r>
          </w:p>
        </w:tc>
        <w:tc>
          <w:tcPr>
            <w:tcW w:w="837" w:type="pct"/>
            <w:shd w:val="clear" w:color="auto" w:fill="FFFFFF"/>
          </w:tcPr>
          <w:p w14:paraId="0A94781E"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575" w:type="pct"/>
            <w:shd w:val="clear" w:color="auto" w:fill="FFFFFF"/>
            <w:vAlign w:val="center"/>
          </w:tcPr>
          <w:p w14:paraId="7CD0D10A"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5.693</w:t>
            </w:r>
          </w:p>
        </w:tc>
        <w:tc>
          <w:tcPr>
            <w:tcW w:w="574" w:type="pct"/>
            <w:shd w:val="clear" w:color="auto" w:fill="FFFFFF"/>
            <w:vAlign w:val="center"/>
          </w:tcPr>
          <w:p w14:paraId="71F06B09"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.000</w:t>
            </w:r>
          </w:p>
        </w:tc>
      </w:tr>
      <w:tr w:rsidR="000C013D" w:rsidRPr="002A4A3B" w14:paraId="79EF3A3D" w14:textId="77777777" w:rsidTr="00597459">
        <w:trPr>
          <w:cantSplit/>
        </w:trPr>
        <w:tc>
          <w:tcPr>
            <w:tcW w:w="418" w:type="pct"/>
            <w:vMerge/>
            <w:shd w:val="clear" w:color="auto" w:fill="FFFFFF"/>
            <w:vAlign w:val="center"/>
          </w:tcPr>
          <w:p w14:paraId="5706F177"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1080" w:type="pct"/>
            <w:shd w:val="clear" w:color="auto" w:fill="FFFFFF"/>
            <w:vAlign w:val="center"/>
          </w:tcPr>
          <w:p w14:paraId="406A50AD"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Dividend Per Share</w:t>
            </w:r>
          </w:p>
        </w:tc>
        <w:tc>
          <w:tcPr>
            <w:tcW w:w="758" w:type="pct"/>
            <w:shd w:val="clear" w:color="auto" w:fill="FFFFFF"/>
            <w:vAlign w:val="center"/>
          </w:tcPr>
          <w:p w14:paraId="49A5CCA5"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-3.479</w:t>
            </w:r>
          </w:p>
        </w:tc>
        <w:tc>
          <w:tcPr>
            <w:tcW w:w="758" w:type="pct"/>
            <w:shd w:val="clear" w:color="auto" w:fill="FFFFFF"/>
            <w:vAlign w:val="center"/>
          </w:tcPr>
          <w:p w14:paraId="78A8C0F0"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4.693</w:t>
            </w:r>
          </w:p>
        </w:tc>
        <w:tc>
          <w:tcPr>
            <w:tcW w:w="837" w:type="pct"/>
            <w:shd w:val="clear" w:color="auto" w:fill="FFFFFF"/>
            <w:vAlign w:val="center"/>
          </w:tcPr>
          <w:p w14:paraId="7CFE9FB6"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-.119</w:t>
            </w:r>
          </w:p>
        </w:tc>
        <w:tc>
          <w:tcPr>
            <w:tcW w:w="575" w:type="pct"/>
            <w:shd w:val="clear" w:color="auto" w:fill="FFFFFF"/>
            <w:vAlign w:val="center"/>
          </w:tcPr>
          <w:p w14:paraId="4F41F1F1"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-.741</w:t>
            </w:r>
          </w:p>
        </w:tc>
        <w:tc>
          <w:tcPr>
            <w:tcW w:w="574" w:type="pct"/>
            <w:shd w:val="clear" w:color="auto" w:fill="FFFFFF"/>
            <w:vAlign w:val="center"/>
          </w:tcPr>
          <w:p w14:paraId="2FEB88E3"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A4A3B">
              <w:rPr>
                <w:rFonts w:ascii="Times New Roman" w:hAnsi="Times New Roman" w:cs="Times New Roman"/>
                <w:color w:val="000000"/>
                <w:sz w:val="24"/>
                <w:szCs w:val="24"/>
              </w:rPr>
              <w:t>.463</w:t>
            </w:r>
          </w:p>
        </w:tc>
      </w:tr>
      <w:tr w:rsidR="000C013D" w:rsidRPr="002A4A3B" w14:paraId="5983BDCB" w14:textId="77777777" w:rsidTr="00354635">
        <w:trPr>
          <w:cantSplit/>
        </w:trPr>
        <w:tc>
          <w:tcPr>
            <w:tcW w:w="5000" w:type="pct"/>
            <w:gridSpan w:val="7"/>
            <w:shd w:val="clear" w:color="auto" w:fill="FFFFFF"/>
          </w:tcPr>
          <w:p w14:paraId="699A24D4" w14:textId="77777777" w:rsidR="000C013D" w:rsidRPr="002A4A3B" w:rsidRDefault="000C013D" w:rsidP="002A4A3B">
            <w:pPr>
              <w:autoSpaceDE w:val="0"/>
              <w:autoSpaceDN w:val="0"/>
              <w:adjustRightInd w:val="0"/>
              <w:spacing w:after="0" w:line="320" w:lineRule="atLeast"/>
              <w:ind w:left="60" w:right="60"/>
              <w:rPr>
                <w:rFonts w:ascii="Times New Roman" w:hAnsi="Times New Roman" w:cs="Times New Roman"/>
                <w:color w:val="000000"/>
                <w:sz w:val="24"/>
                <w:szCs w:val="24"/>
              </w:rPr>
            </w:pPr>
            <w:r w:rsidRPr="002A4A3B">
              <w:rPr>
                <w:rFonts w:ascii="Times New Roman" w:hAnsi="Times New Roman" w:cs="Times New Roman"/>
                <w:color w:val="000000"/>
                <w:sz w:val="24"/>
                <w:szCs w:val="24"/>
              </w:rPr>
              <w:t>a. Dependent Variable: Market Per Share</w:t>
            </w:r>
          </w:p>
        </w:tc>
      </w:tr>
    </w:tbl>
    <w:p w14:paraId="2E14FA5A" w14:textId="77777777" w:rsidR="000C013D" w:rsidRPr="002A4A3B" w:rsidRDefault="000C013D" w:rsidP="002A4A3B">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
    <w:p w14:paraId="75D50DDB"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b/>
          <w:color w:val="000000" w:themeColor="text1"/>
          <w:sz w:val="24"/>
          <w:szCs w:val="24"/>
        </w:rPr>
      </w:pPr>
      <w:r w:rsidRPr="00143B41">
        <w:rPr>
          <w:rFonts w:ascii="Times New Roman" w:hAnsi="Times New Roman" w:cs="Times New Roman"/>
          <w:b/>
          <w:color w:val="000000" w:themeColor="text1"/>
          <w:sz w:val="24"/>
          <w:szCs w:val="24"/>
        </w:rPr>
        <w:t>Model Interpretation of Dividend per share in relation to Market per share</w:t>
      </w:r>
    </w:p>
    <w:p w14:paraId="09818F7C"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y = </w:t>
      </w:r>
      <w:proofErr w:type="spellStart"/>
      <w:r w:rsidRPr="00143B41">
        <w:rPr>
          <w:rFonts w:ascii="Times New Roman" w:hAnsi="Times New Roman" w:cs="Times New Roman"/>
          <w:color w:val="000000" w:themeColor="text1"/>
          <w:sz w:val="24"/>
          <w:szCs w:val="24"/>
        </w:rPr>
        <w:t>a+bx</w:t>
      </w:r>
      <w:proofErr w:type="spellEnd"/>
    </w:p>
    <w:p w14:paraId="4A6A4484"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Dividend Per Share= constant + slope x  </w:t>
      </w:r>
    </w:p>
    <w:p w14:paraId="69D345D5"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DPS = 535.668+(-3.479) DPS</w:t>
      </w:r>
    </w:p>
    <w:p w14:paraId="692AD9F6"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P-value = (0.463)    </w:t>
      </w:r>
    </w:p>
    <w:p w14:paraId="2BF8AD8D"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R =   .119             </w:t>
      </w:r>
      <w:r w:rsidRPr="00143B41">
        <w:rPr>
          <w:rFonts w:ascii="Times New Roman" w:hAnsi="Times New Roman" w:cs="Times New Roman"/>
          <w:color w:val="000000" w:themeColor="text1"/>
          <w:sz w:val="24"/>
          <w:szCs w:val="24"/>
        </w:rPr>
        <w:tab/>
        <w:t>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 .014</w:t>
      </w:r>
    </w:p>
    <w:p w14:paraId="7E26C55F"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 w:val="24"/>
          <w:szCs w:val="24"/>
        </w:rPr>
        <w:t>The above regression equation states that one unit change in dividend per share will leads share price of sample commercial bank to change with -3.479.</w:t>
      </w:r>
    </w:p>
    <w:p w14:paraId="306ED4D5"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In the above equation the value of R</w:t>
      </w:r>
      <w:r w:rsidRPr="00143B41">
        <w:rPr>
          <w:rFonts w:ascii="Times New Roman" w:hAnsi="Times New Roman" w:cs="Times New Roman"/>
          <w:color w:val="000000" w:themeColor="text1"/>
          <w:szCs w:val="24"/>
          <w:vertAlign w:val="superscript"/>
        </w:rPr>
        <w:t>2</w:t>
      </w:r>
      <w:r w:rsidRPr="00143B41">
        <w:rPr>
          <w:rFonts w:ascii="Times New Roman" w:hAnsi="Times New Roman" w:cs="Times New Roman"/>
          <w:color w:val="000000" w:themeColor="text1"/>
          <w:szCs w:val="24"/>
        </w:rPr>
        <w:t xml:space="preserve"> is .014 which means that 1.4% variation in dividend per share is explained by market per share.</w:t>
      </w:r>
    </w:p>
    <w:p w14:paraId="725C8A56" w14:textId="77777777" w:rsidR="00881FDC" w:rsidRDefault="00881FDC" w:rsidP="00444603">
      <w:pPr>
        <w:tabs>
          <w:tab w:val="left" w:pos="5497"/>
        </w:tabs>
        <w:spacing w:before="240" w:after="240" w:line="384" w:lineRule="auto"/>
        <w:jc w:val="both"/>
        <w:rPr>
          <w:rFonts w:ascii="Times New Roman" w:hAnsi="Times New Roman" w:cs="Times New Roman"/>
          <w:b/>
          <w:bCs/>
          <w:color w:val="000000" w:themeColor="text1"/>
          <w:sz w:val="24"/>
          <w:szCs w:val="24"/>
        </w:rPr>
      </w:pPr>
    </w:p>
    <w:p w14:paraId="25B4898C" w14:textId="77777777" w:rsidR="005A639C" w:rsidRDefault="005A639C" w:rsidP="00444603">
      <w:pPr>
        <w:tabs>
          <w:tab w:val="left" w:pos="5497"/>
        </w:tabs>
        <w:spacing w:before="240" w:after="240" w:line="384" w:lineRule="auto"/>
        <w:jc w:val="both"/>
        <w:rPr>
          <w:rFonts w:ascii="Times New Roman" w:hAnsi="Times New Roman" w:cs="Times New Roman"/>
          <w:b/>
          <w:bCs/>
          <w:color w:val="000000" w:themeColor="text1"/>
          <w:sz w:val="24"/>
          <w:szCs w:val="24"/>
        </w:rPr>
      </w:pPr>
    </w:p>
    <w:p w14:paraId="26E7CB05" w14:textId="156A2FB2" w:rsidR="000C013D" w:rsidRPr="00143B41" w:rsidRDefault="000C013D" w:rsidP="00444603">
      <w:pPr>
        <w:tabs>
          <w:tab w:val="left" w:pos="5497"/>
        </w:tabs>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lastRenderedPageBreak/>
        <w:t>4.3.3 Return on Assets and Market price per share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64"/>
        <w:gridCol w:w="1505"/>
        <w:gridCol w:w="1597"/>
        <w:gridCol w:w="2192"/>
        <w:gridCol w:w="2192"/>
      </w:tblGrid>
      <w:tr w:rsidR="000C013D" w:rsidRPr="00AC2FFE" w14:paraId="10C1CF39" w14:textId="77777777" w:rsidTr="00AC2FFE">
        <w:trPr>
          <w:cantSplit/>
        </w:trPr>
        <w:tc>
          <w:tcPr>
            <w:tcW w:w="5000" w:type="pct"/>
            <w:gridSpan w:val="5"/>
            <w:tcBorders>
              <w:top w:val="single" w:sz="4" w:space="0" w:color="auto"/>
              <w:left w:val="single" w:sz="4" w:space="0" w:color="auto"/>
              <w:right w:val="single" w:sz="4" w:space="0" w:color="auto"/>
            </w:tcBorders>
            <w:shd w:val="clear" w:color="auto" w:fill="FFFFFF"/>
          </w:tcPr>
          <w:p w14:paraId="256437EA" w14:textId="77777777" w:rsidR="000C013D" w:rsidRPr="00AC2FFE" w:rsidRDefault="000C013D" w:rsidP="00AC2FFE">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r w:rsidRPr="00AC2FFE">
              <w:rPr>
                <w:rFonts w:ascii="Times New Roman" w:hAnsi="Times New Roman" w:cs="Times New Roman"/>
                <w:b/>
                <w:bCs/>
                <w:color w:val="000000"/>
                <w:sz w:val="24"/>
                <w:szCs w:val="24"/>
              </w:rPr>
              <w:t>Model Summary</w:t>
            </w:r>
          </w:p>
        </w:tc>
      </w:tr>
      <w:tr w:rsidR="000C013D" w:rsidRPr="00AC2FFE" w14:paraId="00116C00" w14:textId="77777777" w:rsidTr="00354635">
        <w:trPr>
          <w:cantSplit/>
        </w:trPr>
        <w:tc>
          <w:tcPr>
            <w:tcW w:w="673" w:type="pct"/>
            <w:shd w:val="clear" w:color="auto" w:fill="FFFFFF"/>
          </w:tcPr>
          <w:p w14:paraId="76376E8F"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Model</w:t>
            </w:r>
          </w:p>
        </w:tc>
        <w:tc>
          <w:tcPr>
            <w:tcW w:w="870" w:type="pct"/>
            <w:shd w:val="clear" w:color="auto" w:fill="FFFFFF"/>
          </w:tcPr>
          <w:p w14:paraId="47994E46"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R</w:t>
            </w:r>
          </w:p>
        </w:tc>
        <w:tc>
          <w:tcPr>
            <w:tcW w:w="923" w:type="pct"/>
            <w:shd w:val="clear" w:color="auto" w:fill="FFFFFF"/>
          </w:tcPr>
          <w:p w14:paraId="5F5CA3AD"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R Square</w:t>
            </w:r>
          </w:p>
        </w:tc>
        <w:tc>
          <w:tcPr>
            <w:tcW w:w="1267" w:type="pct"/>
            <w:shd w:val="clear" w:color="auto" w:fill="FFFFFF"/>
          </w:tcPr>
          <w:p w14:paraId="0000124C"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Adjusted R Square</w:t>
            </w:r>
          </w:p>
        </w:tc>
        <w:tc>
          <w:tcPr>
            <w:tcW w:w="1267" w:type="pct"/>
            <w:shd w:val="clear" w:color="auto" w:fill="FFFFFF"/>
          </w:tcPr>
          <w:p w14:paraId="1DCA970C"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Std. Error of the Estimate</w:t>
            </w:r>
          </w:p>
        </w:tc>
      </w:tr>
      <w:tr w:rsidR="000C013D" w:rsidRPr="00AC2FFE" w14:paraId="7BD1DD34" w14:textId="77777777" w:rsidTr="00354635">
        <w:trPr>
          <w:cantSplit/>
        </w:trPr>
        <w:tc>
          <w:tcPr>
            <w:tcW w:w="673" w:type="pct"/>
            <w:shd w:val="clear" w:color="auto" w:fill="FFFFFF"/>
            <w:vAlign w:val="center"/>
          </w:tcPr>
          <w:p w14:paraId="3768E596"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1</w:t>
            </w:r>
          </w:p>
        </w:tc>
        <w:tc>
          <w:tcPr>
            <w:tcW w:w="870" w:type="pct"/>
            <w:shd w:val="clear" w:color="auto" w:fill="FFFFFF"/>
            <w:vAlign w:val="center"/>
          </w:tcPr>
          <w:p w14:paraId="4E3C7E10"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.248a</w:t>
            </w:r>
          </w:p>
        </w:tc>
        <w:tc>
          <w:tcPr>
            <w:tcW w:w="923" w:type="pct"/>
            <w:shd w:val="clear" w:color="auto" w:fill="FFFFFF"/>
            <w:vAlign w:val="center"/>
          </w:tcPr>
          <w:p w14:paraId="01BD19BD"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.061</w:t>
            </w:r>
          </w:p>
        </w:tc>
        <w:tc>
          <w:tcPr>
            <w:tcW w:w="1267" w:type="pct"/>
            <w:shd w:val="clear" w:color="auto" w:fill="FFFFFF"/>
            <w:vAlign w:val="center"/>
          </w:tcPr>
          <w:p w14:paraId="4E9106AE"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.037</w:t>
            </w:r>
          </w:p>
        </w:tc>
        <w:tc>
          <w:tcPr>
            <w:tcW w:w="1267" w:type="pct"/>
            <w:shd w:val="clear" w:color="auto" w:fill="FFFFFF"/>
            <w:vAlign w:val="center"/>
          </w:tcPr>
          <w:p w14:paraId="2CBA22B2" w14:textId="77777777" w:rsidR="000C013D" w:rsidRPr="00AC2FFE" w:rsidRDefault="000C013D" w:rsidP="0033617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AC2FFE">
              <w:rPr>
                <w:rFonts w:ascii="Times New Roman" w:hAnsi="Times New Roman" w:cs="Times New Roman"/>
                <w:color w:val="000000"/>
                <w:sz w:val="24"/>
                <w:szCs w:val="24"/>
              </w:rPr>
              <w:t>224.44720</w:t>
            </w:r>
          </w:p>
        </w:tc>
      </w:tr>
      <w:tr w:rsidR="000C013D" w:rsidRPr="00AC2FFE" w14:paraId="1181DC1F" w14:textId="77777777" w:rsidTr="00354635">
        <w:trPr>
          <w:cantSplit/>
        </w:trPr>
        <w:tc>
          <w:tcPr>
            <w:tcW w:w="5000" w:type="pct"/>
            <w:gridSpan w:val="5"/>
            <w:shd w:val="clear" w:color="auto" w:fill="FFFFFF"/>
          </w:tcPr>
          <w:p w14:paraId="3D200C3A" w14:textId="77777777" w:rsidR="000C013D" w:rsidRPr="00AC2FFE" w:rsidRDefault="000C013D" w:rsidP="00AC2FFE">
            <w:pPr>
              <w:autoSpaceDE w:val="0"/>
              <w:autoSpaceDN w:val="0"/>
              <w:adjustRightInd w:val="0"/>
              <w:spacing w:after="0" w:line="320" w:lineRule="atLeast"/>
              <w:ind w:left="60" w:right="60"/>
              <w:rPr>
                <w:rFonts w:ascii="Times New Roman" w:hAnsi="Times New Roman" w:cs="Times New Roman"/>
                <w:color w:val="000000"/>
                <w:sz w:val="24"/>
                <w:szCs w:val="24"/>
              </w:rPr>
            </w:pPr>
            <w:r w:rsidRPr="00AC2FFE">
              <w:rPr>
                <w:rFonts w:ascii="Times New Roman" w:hAnsi="Times New Roman" w:cs="Times New Roman"/>
                <w:color w:val="000000"/>
                <w:sz w:val="24"/>
                <w:szCs w:val="24"/>
              </w:rPr>
              <w:t>a. Predictors: (Constant), Return on Assets</w:t>
            </w:r>
          </w:p>
        </w:tc>
      </w:tr>
    </w:tbl>
    <w:p w14:paraId="3DE65CF1" w14:textId="641E5455" w:rsidR="000C013D" w:rsidRDefault="000C013D" w:rsidP="00AC2FFE">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
    <w:p w14:paraId="7A963337" w14:textId="6F37CC39" w:rsidR="00881FDC" w:rsidRDefault="00881FDC" w:rsidP="00AC2FFE">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
    <w:p w14:paraId="4AA2A1AA" w14:textId="77777777" w:rsidR="00881FDC" w:rsidRPr="00AC2FFE" w:rsidRDefault="00881FDC" w:rsidP="00AC2FFE">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03"/>
        <w:gridCol w:w="1391"/>
        <w:gridCol w:w="1611"/>
        <w:gridCol w:w="1107"/>
        <w:gridCol w:w="1526"/>
        <w:gridCol w:w="1107"/>
        <w:gridCol w:w="1105"/>
      </w:tblGrid>
      <w:tr w:rsidR="000C013D" w:rsidRPr="00143B41" w14:paraId="0D3AA8F5" w14:textId="77777777" w:rsidTr="00B62CBB">
        <w:trPr>
          <w:cantSplit/>
        </w:trPr>
        <w:tc>
          <w:tcPr>
            <w:tcW w:w="5000" w:type="pct"/>
            <w:gridSpan w:val="7"/>
            <w:tcBorders>
              <w:top w:val="single" w:sz="4" w:space="0" w:color="auto"/>
              <w:left w:val="single" w:sz="4" w:space="0" w:color="auto"/>
              <w:right w:val="single" w:sz="4" w:space="0" w:color="auto"/>
            </w:tcBorders>
            <w:shd w:val="clear" w:color="auto" w:fill="FFFFFF"/>
            <w:vAlign w:val="bottom"/>
          </w:tcPr>
          <w:p w14:paraId="49884E8F" w14:textId="39A32378" w:rsidR="000C013D" w:rsidRPr="00B62CBB" w:rsidRDefault="000C013D" w:rsidP="00B62CBB">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roofErr w:type="spellStart"/>
            <w:r w:rsidRPr="00B62CBB">
              <w:rPr>
                <w:rFonts w:ascii="Times New Roman" w:hAnsi="Times New Roman" w:cs="Times New Roman"/>
                <w:b/>
                <w:bCs/>
                <w:color w:val="000000"/>
                <w:sz w:val="24"/>
                <w:szCs w:val="24"/>
              </w:rPr>
              <w:t>ANOVA</w:t>
            </w:r>
            <w:r w:rsidRPr="00B62CBB">
              <w:rPr>
                <w:rFonts w:ascii="Times New Roman" w:hAnsi="Times New Roman" w:cs="Times New Roman"/>
                <w:b/>
                <w:bCs/>
                <w:color w:val="000000"/>
                <w:sz w:val="24"/>
                <w:szCs w:val="24"/>
                <w:vertAlign w:val="superscript"/>
              </w:rPr>
              <w:t>a</w:t>
            </w:r>
            <w:proofErr w:type="spellEnd"/>
          </w:p>
        </w:tc>
      </w:tr>
      <w:tr w:rsidR="000C013D" w:rsidRPr="006C5481" w14:paraId="7592FA63" w14:textId="77777777" w:rsidTr="00F051BB">
        <w:trPr>
          <w:cantSplit/>
        </w:trPr>
        <w:tc>
          <w:tcPr>
            <w:tcW w:w="1268" w:type="pct"/>
            <w:gridSpan w:val="2"/>
            <w:shd w:val="clear" w:color="auto" w:fill="FFFFFF"/>
          </w:tcPr>
          <w:p w14:paraId="1E706CCA"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Model</w:t>
            </w:r>
          </w:p>
        </w:tc>
        <w:tc>
          <w:tcPr>
            <w:tcW w:w="931" w:type="pct"/>
            <w:shd w:val="clear" w:color="auto" w:fill="FFFFFF"/>
          </w:tcPr>
          <w:p w14:paraId="5A0A342F"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Sum of Squares</w:t>
            </w:r>
          </w:p>
        </w:tc>
        <w:tc>
          <w:tcPr>
            <w:tcW w:w="640" w:type="pct"/>
            <w:shd w:val="clear" w:color="auto" w:fill="FFFFFF"/>
          </w:tcPr>
          <w:p w14:paraId="5480CEC2"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df</w:t>
            </w:r>
          </w:p>
        </w:tc>
        <w:tc>
          <w:tcPr>
            <w:tcW w:w="882" w:type="pct"/>
            <w:shd w:val="clear" w:color="auto" w:fill="FFFFFF"/>
          </w:tcPr>
          <w:p w14:paraId="6C88C097"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Mean Square</w:t>
            </w:r>
          </w:p>
        </w:tc>
        <w:tc>
          <w:tcPr>
            <w:tcW w:w="640" w:type="pct"/>
            <w:shd w:val="clear" w:color="auto" w:fill="FFFFFF"/>
          </w:tcPr>
          <w:p w14:paraId="55515212"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F</w:t>
            </w:r>
          </w:p>
        </w:tc>
        <w:tc>
          <w:tcPr>
            <w:tcW w:w="639" w:type="pct"/>
            <w:shd w:val="clear" w:color="auto" w:fill="FFFFFF"/>
          </w:tcPr>
          <w:p w14:paraId="2BC66810"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Sig.</w:t>
            </w:r>
          </w:p>
        </w:tc>
      </w:tr>
      <w:tr w:rsidR="000C013D" w:rsidRPr="006C5481" w14:paraId="72E05A63" w14:textId="77777777" w:rsidTr="00F051BB">
        <w:trPr>
          <w:cantSplit/>
        </w:trPr>
        <w:tc>
          <w:tcPr>
            <w:tcW w:w="464" w:type="pct"/>
            <w:vMerge w:val="restart"/>
            <w:shd w:val="clear" w:color="auto" w:fill="FFFFFF"/>
            <w:vAlign w:val="center"/>
          </w:tcPr>
          <w:p w14:paraId="229C9A3C"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1</w:t>
            </w:r>
          </w:p>
        </w:tc>
        <w:tc>
          <w:tcPr>
            <w:tcW w:w="804" w:type="pct"/>
            <w:shd w:val="clear" w:color="auto" w:fill="FFFFFF"/>
            <w:vAlign w:val="center"/>
          </w:tcPr>
          <w:p w14:paraId="6CD5A36C"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Regression</w:t>
            </w:r>
          </w:p>
        </w:tc>
        <w:tc>
          <w:tcPr>
            <w:tcW w:w="931" w:type="pct"/>
            <w:shd w:val="clear" w:color="auto" w:fill="FFFFFF"/>
            <w:vAlign w:val="center"/>
          </w:tcPr>
          <w:p w14:paraId="5AEB45D7"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125086.415</w:t>
            </w:r>
          </w:p>
        </w:tc>
        <w:tc>
          <w:tcPr>
            <w:tcW w:w="640" w:type="pct"/>
            <w:shd w:val="clear" w:color="auto" w:fill="FFFFFF"/>
            <w:vAlign w:val="center"/>
          </w:tcPr>
          <w:p w14:paraId="0EE3409F"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1</w:t>
            </w:r>
          </w:p>
        </w:tc>
        <w:tc>
          <w:tcPr>
            <w:tcW w:w="882" w:type="pct"/>
            <w:shd w:val="clear" w:color="auto" w:fill="FFFFFF"/>
            <w:vAlign w:val="center"/>
          </w:tcPr>
          <w:p w14:paraId="3F32BC60"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125086.415</w:t>
            </w:r>
          </w:p>
        </w:tc>
        <w:tc>
          <w:tcPr>
            <w:tcW w:w="640" w:type="pct"/>
            <w:shd w:val="clear" w:color="auto" w:fill="FFFFFF"/>
            <w:vAlign w:val="center"/>
          </w:tcPr>
          <w:p w14:paraId="18717396"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2.483</w:t>
            </w:r>
          </w:p>
        </w:tc>
        <w:tc>
          <w:tcPr>
            <w:tcW w:w="639" w:type="pct"/>
            <w:shd w:val="clear" w:color="auto" w:fill="FFFFFF"/>
            <w:vAlign w:val="center"/>
          </w:tcPr>
          <w:p w14:paraId="536C0A9F"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.123b</w:t>
            </w:r>
          </w:p>
        </w:tc>
      </w:tr>
      <w:tr w:rsidR="000C013D" w:rsidRPr="006C5481" w14:paraId="43973AA3" w14:textId="77777777" w:rsidTr="00F051BB">
        <w:trPr>
          <w:cantSplit/>
        </w:trPr>
        <w:tc>
          <w:tcPr>
            <w:tcW w:w="464" w:type="pct"/>
            <w:vMerge/>
            <w:shd w:val="clear" w:color="auto" w:fill="FFFFFF"/>
            <w:vAlign w:val="center"/>
          </w:tcPr>
          <w:p w14:paraId="23F885FF"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shd w:val="clear" w:color="auto" w:fill="FFFFFF"/>
            <w:vAlign w:val="center"/>
          </w:tcPr>
          <w:p w14:paraId="10394F32"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Residual</w:t>
            </w:r>
          </w:p>
        </w:tc>
        <w:tc>
          <w:tcPr>
            <w:tcW w:w="931" w:type="pct"/>
            <w:shd w:val="clear" w:color="auto" w:fill="FFFFFF"/>
            <w:vAlign w:val="center"/>
          </w:tcPr>
          <w:p w14:paraId="019FF68D"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1914308.685</w:t>
            </w:r>
          </w:p>
        </w:tc>
        <w:tc>
          <w:tcPr>
            <w:tcW w:w="640" w:type="pct"/>
            <w:shd w:val="clear" w:color="auto" w:fill="FFFFFF"/>
            <w:vAlign w:val="center"/>
          </w:tcPr>
          <w:p w14:paraId="70C23A57"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38</w:t>
            </w:r>
          </w:p>
        </w:tc>
        <w:tc>
          <w:tcPr>
            <w:tcW w:w="882" w:type="pct"/>
            <w:shd w:val="clear" w:color="auto" w:fill="FFFFFF"/>
            <w:vAlign w:val="center"/>
          </w:tcPr>
          <w:p w14:paraId="66450182"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50376.544</w:t>
            </w:r>
          </w:p>
        </w:tc>
        <w:tc>
          <w:tcPr>
            <w:tcW w:w="640" w:type="pct"/>
            <w:shd w:val="clear" w:color="auto" w:fill="FFFFFF"/>
          </w:tcPr>
          <w:p w14:paraId="0057BECF"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413FB1DD"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6C5481" w14:paraId="73944316" w14:textId="77777777" w:rsidTr="00F051BB">
        <w:trPr>
          <w:cantSplit/>
        </w:trPr>
        <w:tc>
          <w:tcPr>
            <w:tcW w:w="464" w:type="pct"/>
            <w:vMerge/>
            <w:shd w:val="clear" w:color="auto" w:fill="FFFFFF"/>
            <w:vAlign w:val="center"/>
          </w:tcPr>
          <w:p w14:paraId="1BB14ECB"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shd w:val="clear" w:color="auto" w:fill="FFFFFF"/>
            <w:vAlign w:val="center"/>
          </w:tcPr>
          <w:p w14:paraId="7C287179"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Total</w:t>
            </w:r>
          </w:p>
        </w:tc>
        <w:tc>
          <w:tcPr>
            <w:tcW w:w="931" w:type="pct"/>
            <w:shd w:val="clear" w:color="auto" w:fill="FFFFFF"/>
            <w:vAlign w:val="center"/>
          </w:tcPr>
          <w:p w14:paraId="369623D9"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2039395.100</w:t>
            </w:r>
          </w:p>
        </w:tc>
        <w:tc>
          <w:tcPr>
            <w:tcW w:w="640" w:type="pct"/>
            <w:shd w:val="clear" w:color="auto" w:fill="FFFFFF"/>
            <w:vAlign w:val="center"/>
          </w:tcPr>
          <w:p w14:paraId="38E9FD18"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B62CBB">
              <w:rPr>
                <w:rFonts w:ascii="Times New Roman" w:hAnsi="Times New Roman" w:cs="Times New Roman"/>
                <w:color w:val="000000"/>
                <w:sz w:val="24"/>
                <w:szCs w:val="24"/>
              </w:rPr>
              <w:t>39</w:t>
            </w:r>
          </w:p>
        </w:tc>
        <w:tc>
          <w:tcPr>
            <w:tcW w:w="882" w:type="pct"/>
            <w:shd w:val="clear" w:color="auto" w:fill="FFFFFF"/>
          </w:tcPr>
          <w:p w14:paraId="039F6394"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40" w:type="pct"/>
            <w:shd w:val="clear" w:color="auto" w:fill="FFFFFF"/>
          </w:tcPr>
          <w:p w14:paraId="14BBE0C9"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06AB4575" w14:textId="77777777" w:rsidR="000C013D" w:rsidRPr="00B62CBB" w:rsidRDefault="000C013D" w:rsidP="006C548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6C5481" w14:paraId="0C10B389" w14:textId="77777777" w:rsidTr="00354635">
        <w:trPr>
          <w:cantSplit/>
        </w:trPr>
        <w:tc>
          <w:tcPr>
            <w:tcW w:w="5000" w:type="pct"/>
            <w:gridSpan w:val="7"/>
            <w:shd w:val="clear" w:color="auto" w:fill="FFFFFF"/>
          </w:tcPr>
          <w:p w14:paraId="19DE9BEE" w14:textId="77777777" w:rsidR="000C013D" w:rsidRPr="00B62CBB" w:rsidRDefault="000C013D" w:rsidP="00B62CBB">
            <w:pPr>
              <w:autoSpaceDE w:val="0"/>
              <w:autoSpaceDN w:val="0"/>
              <w:adjustRightInd w:val="0"/>
              <w:spacing w:after="0" w:line="320" w:lineRule="atLeast"/>
              <w:ind w:left="60" w:right="60"/>
              <w:rPr>
                <w:rFonts w:ascii="Times New Roman" w:hAnsi="Times New Roman" w:cs="Times New Roman"/>
                <w:color w:val="000000"/>
                <w:sz w:val="24"/>
                <w:szCs w:val="24"/>
              </w:rPr>
            </w:pPr>
            <w:r w:rsidRPr="00B62CBB">
              <w:rPr>
                <w:rFonts w:ascii="Times New Roman" w:hAnsi="Times New Roman" w:cs="Times New Roman"/>
                <w:color w:val="000000"/>
                <w:sz w:val="24"/>
                <w:szCs w:val="24"/>
              </w:rPr>
              <w:t>a. Dependent Variable: Market Per Share</w:t>
            </w:r>
          </w:p>
        </w:tc>
      </w:tr>
      <w:tr w:rsidR="000C013D" w:rsidRPr="006C5481" w14:paraId="3DDDEBB1" w14:textId="77777777" w:rsidTr="00354635">
        <w:trPr>
          <w:cantSplit/>
        </w:trPr>
        <w:tc>
          <w:tcPr>
            <w:tcW w:w="5000" w:type="pct"/>
            <w:gridSpan w:val="7"/>
            <w:shd w:val="clear" w:color="auto" w:fill="FFFFFF"/>
          </w:tcPr>
          <w:p w14:paraId="77C4397A" w14:textId="77777777" w:rsidR="000C013D" w:rsidRPr="00B62CBB" w:rsidRDefault="000C013D" w:rsidP="00B62CBB">
            <w:pPr>
              <w:autoSpaceDE w:val="0"/>
              <w:autoSpaceDN w:val="0"/>
              <w:adjustRightInd w:val="0"/>
              <w:spacing w:after="0" w:line="320" w:lineRule="atLeast"/>
              <w:ind w:left="60" w:right="60"/>
              <w:rPr>
                <w:rFonts w:ascii="Times New Roman" w:hAnsi="Times New Roman" w:cs="Times New Roman"/>
                <w:color w:val="000000"/>
                <w:sz w:val="24"/>
                <w:szCs w:val="24"/>
              </w:rPr>
            </w:pPr>
            <w:r w:rsidRPr="00B62CBB">
              <w:rPr>
                <w:rFonts w:ascii="Times New Roman" w:hAnsi="Times New Roman" w:cs="Times New Roman"/>
                <w:color w:val="000000"/>
                <w:sz w:val="24"/>
                <w:szCs w:val="24"/>
              </w:rPr>
              <w:t>b. Predictors: (Constant), Return on Assets</w:t>
            </w:r>
          </w:p>
        </w:tc>
      </w:tr>
    </w:tbl>
    <w:p w14:paraId="05A7AE36" w14:textId="19499FFC" w:rsidR="000C013D" w:rsidRPr="00A85517"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6C5481">
        <w:rPr>
          <w:rFonts w:ascii="Times New Roman" w:hAnsi="Times New Roman" w:cs="Times New Roman"/>
          <w:color w:val="000000" w:themeColor="text1"/>
          <w:sz w:val="24"/>
          <w:szCs w:val="24"/>
        </w:rPr>
        <w:t>Since the p value (0.123) of t- statistic is more than 0.05, there is eno</w:t>
      </w:r>
      <w:r w:rsidRPr="00A85517">
        <w:rPr>
          <w:rFonts w:ascii="Times New Roman" w:hAnsi="Times New Roman" w:cs="Times New Roman"/>
          <w:color w:val="000000" w:themeColor="text1"/>
          <w:sz w:val="24"/>
          <w:szCs w:val="24"/>
        </w:rPr>
        <w:t xml:space="preserve">ugh ground to accept the null hypothesis. </w:t>
      </w:r>
      <w:r w:rsidR="00C72AE6" w:rsidRPr="00A85517">
        <w:rPr>
          <w:rFonts w:ascii="Times New Roman" w:hAnsi="Times New Roman" w:cs="Times New Roman"/>
          <w:color w:val="000000" w:themeColor="text1"/>
          <w:sz w:val="24"/>
          <w:szCs w:val="24"/>
        </w:rPr>
        <w:t>Therefore,</w:t>
      </w:r>
      <w:r w:rsidRPr="00A85517">
        <w:rPr>
          <w:rFonts w:ascii="Times New Roman" w:hAnsi="Times New Roman" w:cs="Times New Roman"/>
          <w:color w:val="000000" w:themeColor="text1"/>
          <w:sz w:val="24"/>
          <w:szCs w:val="24"/>
        </w:rPr>
        <w:t xml:space="preserve"> the alternative hypothesis is rejected </w:t>
      </w:r>
      <w:r w:rsidR="00A85517" w:rsidRPr="00A85517">
        <w:rPr>
          <w:rFonts w:ascii="Times New Roman" w:hAnsi="Times New Roman" w:cs="Times New Roman"/>
          <w:color w:val="000000" w:themeColor="text1"/>
          <w:sz w:val="24"/>
          <w:szCs w:val="24"/>
        </w:rPr>
        <w:t>i.e., there</w:t>
      </w:r>
      <w:r w:rsidR="00B74E33" w:rsidRPr="00A85517">
        <w:rPr>
          <w:rFonts w:ascii="Times New Roman" w:hAnsi="Times New Roman" w:cs="Times New Roman"/>
          <w:color w:val="000000" w:themeColor="text1"/>
          <w:sz w:val="24"/>
          <w:szCs w:val="24"/>
        </w:rPr>
        <w:t xml:space="preserve"> is no significant</w:t>
      </w:r>
      <w:r w:rsidRPr="00A85517">
        <w:rPr>
          <w:rFonts w:ascii="Times New Roman" w:hAnsi="Times New Roman" w:cs="Times New Roman"/>
          <w:color w:val="000000" w:themeColor="text1"/>
          <w:sz w:val="24"/>
          <w:szCs w:val="24"/>
        </w:rPr>
        <w:t xml:space="preserve"> relationship between return on assets and market per share. Hence, the regression model is not significant at 0.05 level of significance.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3"/>
        <w:gridCol w:w="1737"/>
        <w:gridCol w:w="1337"/>
        <w:gridCol w:w="1337"/>
        <w:gridCol w:w="1476"/>
        <w:gridCol w:w="1014"/>
        <w:gridCol w:w="1016"/>
      </w:tblGrid>
      <w:tr w:rsidR="000C013D" w:rsidRPr="00143B41" w14:paraId="1459B8DA" w14:textId="77777777" w:rsidTr="00866724">
        <w:trPr>
          <w:cantSplit/>
        </w:trPr>
        <w:tc>
          <w:tcPr>
            <w:tcW w:w="5000" w:type="pct"/>
            <w:gridSpan w:val="7"/>
            <w:tcBorders>
              <w:top w:val="single" w:sz="4" w:space="0" w:color="auto"/>
              <w:left w:val="single" w:sz="4" w:space="0" w:color="auto"/>
              <w:right w:val="single" w:sz="4" w:space="0" w:color="auto"/>
            </w:tcBorders>
            <w:shd w:val="clear" w:color="auto" w:fill="FFFFFF"/>
          </w:tcPr>
          <w:p w14:paraId="0CD2F6FB" w14:textId="1B27BE20" w:rsidR="000C013D" w:rsidRPr="00DE62FE" w:rsidRDefault="000477C4" w:rsidP="00DE62FE">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r w:rsidRPr="00DE62FE">
              <w:rPr>
                <w:rFonts w:ascii="Times New Roman" w:hAnsi="Times New Roman" w:cs="Times New Roman"/>
                <w:b/>
                <w:bCs/>
                <w:color w:val="000000"/>
                <w:sz w:val="24"/>
                <w:szCs w:val="24"/>
              </w:rPr>
              <w:t>Coefficients</w:t>
            </w:r>
          </w:p>
        </w:tc>
      </w:tr>
      <w:tr w:rsidR="000C013D" w:rsidRPr="00143B41" w14:paraId="53545BA0" w14:textId="77777777" w:rsidTr="006A288B">
        <w:trPr>
          <w:cantSplit/>
        </w:trPr>
        <w:tc>
          <w:tcPr>
            <w:tcW w:w="1428" w:type="pct"/>
            <w:gridSpan w:val="2"/>
            <w:vMerge w:val="restart"/>
            <w:shd w:val="clear" w:color="auto" w:fill="FFFFFF"/>
          </w:tcPr>
          <w:p w14:paraId="5115497A"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Model</w:t>
            </w:r>
          </w:p>
        </w:tc>
        <w:tc>
          <w:tcPr>
            <w:tcW w:w="1546" w:type="pct"/>
            <w:gridSpan w:val="2"/>
            <w:shd w:val="clear" w:color="auto" w:fill="FFFFFF"/>
          </w:tcPr>
          <w:p w14:paraId="38B0B5B2"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Unstandardized Coefficients</w:t>
            </w:r>
          </w:p>
        </w:tc>
        <w:tc>
          <w:tcPr>
            <w:tcW w:w="853" w:type="pct"/>
            <w:shd w:val="clear" w:color="auto" w:fill="FFFFFF"/>
          </w:tcPr>
          <w:p w14:paraId="6E37487A"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Standardized Coefficients</w:t>
            </w:r>
          </w:p>
        </w:tc>
        <w:tc>
          <w:tcPr>
            <w:tcW w:w="586" w:type="pct"/>
            <w:vMerge w:val="restart"/>
            <w:shd w:val="clear" w:color="auto" w:fill="FFFFFF"/>
          </w:tcPr>
          <w:p w14:paraId="59E44FDA"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t</w:t>
            </w:r>
          </w:p>
        </w:tc>
        <w:tc>
          <w:tcPr>
            <w:tcW w:w="586" w:type="pct"/>
            <w:vMerge w:val="restart"/>
            <w:shd w:val="clear" w:color="auto" w:fill="FFFFFF"/>
          </w:tcPr>
          <w:p w14:paraId="26D84ED0"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Sig.</w:t>
            </w:r>
          </w:p>
        </w:tc>
      </w:tr>
      <w:tr w:rsidR="000C013D" w:rsidRPr="00143B41" w14:paraId="4BC25C7F" w14:textId="77777777" w:rsidTr="006A288B">
        <w:trPr>
          <w:cantSplit/>
        </w:trPr>
        <w:tc>
          <w:tcPr>
            <w:tcW w:w="1428" w:type="pct"/>
            <w:gridSpan w:val="2"/>
            <w:vMerge/>
            <w:shd w:val="clear" w:color="auto" w:fill="FFFFFF"/>
          </w:tcPr>
          <w:p w14:paraId="664BEFB3"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773" w:type="pct"/>
            <w:shd w:val="clear" w:color="auto" w:fill="FFFFFF"/>
          </w:tcPr>
          <w:p w14:paraId="0A37996C"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B</w:t>
            </w:r>
          </w:p>
        </w:tc>
        <w:tc>
          <w:tcPr>
            <w:tcW w:w="773" w:type="pct"/>
            <w:shd w:val="clear" w:color="auto" w:fill="FFFFFF"/>
          </w:tcPr>
          <w:p w14:paraId="12056D39"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Std. Error</w:t>
            </w:r>
          </w:p>
        </w:tc>
        <w:tc>
          <w:tcPr>
            <w:tcW w:w="853" w:type="pct"/>
            <w:shd w:val="clear" w:color="auto" w:fill="FFFFFF"/>
          </w:tcPr>
          <w:p w14:paraId="753BE4E4"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Beta</w:t>
            </w:r>
          </w:p>
        </w:tc>
        <w:tc>
          <w:tcPr>
            <w:tcW w:w="586" w:type="pct"/>
            <w:vMerge/>
            <w:shd w:val="clear" w:color="auto" w:fill="FFFFFF"/>
          </w:tcPr>
          <w:p w14:paraId="15C90015"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586" w:type="pct"/>
            <w:vMerge/>
            <w:shd w:val="clear" w:color="auto" w:fill="FFFFFF"/>
          </w:tcPr>
          <w:p w14:paraId="5B14E5D7"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143B41" w14:paraId="093EB7CB" w14:textId="77777777" w:rsidTr="006A288B">
        <w:trPr>
          <w:cantSplit/>
        </w:trPr>
        <w:tc>
          <w:tcPr>
            <w:tcW w:w="424" w:type="pct"/>
            <w:vMerge w:val="restart"/>
            <w:shd w:val="clear" w:color="auto" w:fill="FFFFFF"/>
            <w:vAlign w:val="center"/>
          </w:tcPr>
          <w:p w14:paraId="7A63437C"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1</w:t>
            </w:r>
          </w:p>
        </w:tc>
        <w:tc>
          <w:tcPr>
            <w:tcW w:w="1004" w:type="pct"/>
            <w:shd w:val="clear" w:color="auto" w:fill="FFFFFF"/>
            <w:vAlign w:val="center"/>
          </w:tcPr>
          <w:p w14:paraId="4D20D399"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(Constant)</w:t>
            </w:r>
          </w:p>
        </w:tc>
        <w:tc>
          <w:tcPr>
            <w:tcW w:w="773" w:type="pct"/>
            <w:shd w:val="clear" w:color="auto" w:fill="FFFFFF"/>
            <w:vAlign w:val="center"/>
          </w:tcPr>
          <w:p w14:paraId="7F626F9E"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627.074</w:t>
            </w:r>
          </w:p>
        </w:tc>
        <w:tc>
          <w:tcPr>
            <w:tcW w:w="773" w:type="pct"/>
            <w:shd w:val="clear" w:color="auto" w:fill="FFFFFF"/>
            <w:vAlign w:val="center"/>
          </w:tcPr>
          <w:p w14:paraId="7E60F4D5"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105.003</w:t>
            </w:r>
          </w:p>
        </w:tc>
        <w:tc>
          <w:tcPr>
            <w:tcW w:w="853" w:type="pct"/>
            <w:shd w:val="clear" w:color="auto" w:fill="FFFFFF"/>
          </w:tcPr>
          <w:p w14:paraId="689D9A12" w14:textId="77777777" w:rsidR="000C013D" w:rsidRPr="00DE62FE" w:rsidRDefault="000C013D" w:rsidP="00DE62FE">
            <w:pPr>
              <w:autoSpaceDE w:val="0"/>
              <w:autoSpaceDN w:val="0"/>
              <w:adjustRightInd w:val="0"/>
              <w:spacing w:after="0" w:line="320" w:lineRule="atLeast"/>
              <w:jc w:val="center"/>
              <w:rPr>
                <w:rFonts w:ascii="Times New Roman" w:hAnsi="Times New Roman" w:cs="Times New Roman"/>
                <w:color w:val="000000"/>
                <w:sz w:val="24"/>
                <w:szCs w:val="24"/>
              </w:rPr>
            </w:pPr>
          </w:p>
        </w:tc>
        <w:tc>
          <w:tcPr>
            <w:tcW w:w="586" w:type="pct"/>
            <w:shd w:val="clear" w:color="auto" w:fill="FFFFFF"/>
            <w:vAlign w:val="center"/>
          </w:tcPr>
          <w:p w14:paraId="012C86C6"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5.972</w:t>
            </w:r>
          </w:p>
        </w:tc>
        <w:tc>
          <w:tcPr>
            <w:tcW w:w="586" w:type="pct"/>
            <w:shd w:val="clear" w:color="auto" w:fill="FFFFFF"/>
            <w:vAlign w:val="center"/>
          </w:tcPr>
          <w:p w14:paraId="243B126D"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.000</w:t>
            </w:r>
          </w:p>
        </w:tc>
      </w:tr>
      <w:tr w:rsidR="000C013D" w:rsidRPr="00143B41" w14:paraId="72970F6C" w14:textId="77777777" w:rsidTr="006A288B">
        <w:trPr>
          <w:cantSplit/>
        </w:trPr>
        <w:tc>
          <w:tcPr>
            <w:tcW w:w="424" w:type="pct"/>
            <w:vMerge/>
            <w:shd w:val="clear" w:color="auto" w:fill="FFFFFF"/>
            <w:vAlign w:val="center"/>
          </w:tcPr>
          <w:p w14:paraId="461D9DB5"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1004" w:type="pct"/>
            <w:shd w:val="clear" w:color="auto" w:fill="FFFFFF"/>
            <w:vAlign w:val="center"/>
          </w:tcPr>
          <w:p w14:paraId="7937F85D"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Return on Assets</w:t>
            </w:r>
          </w:p>
        </w:tc>
        <w:tc>
          <w:tcPr>
            <w:tcW w:w="773" w:type="pct"/>
            <w:shd w:val="clear" w:color="auto" w:fill="FFFFFF"/>
            <w:vAlign w:val="center"/>
          </w:tcPr>
          <w:p w14:paraId="733FF494"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-9840.375</w:t>
            </w:r>
          </w:p>
        </w:tc>
        <w:tc>
          <w:tcPr>
            <w:tcW w:w="773" w:type="pct"/>
            <w:shd w:val="clear" w:color="auto" w:fill="FFFFFF"/>
            <w:vAlign w:val="center"/>
          </w:tcPr>
          <w:p w14:paraId="7796C813"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6244.832</w:t>
            </w:r>
          </w:p>
        </w:tc>
        <w:tc>
          <w:tcPr>
            <w:tcW w:w="853" w:type="pct"/>
            <w:shd w:val="clear" w:color="auto" w:fill="FFFFFF"/>
            <w:vAlign w:val="center"/>
          </w:tcPr>
          <w:p w14:paraId="6E8679E9"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-.248</w:t>
            </w:r>
          </w:p>
        </w:tc>
        <w:tc>
          <w:tcPr>
            <w:tcW w:w="586" w:type="pct"/>
            <w:shd w:val="clear" w:color="auto" w:fill="FFFFFF"/>
            <w:vAlign w:val="center"/>
          </w:tcPr>
          <w:p w14:paraId="37FFC6F9"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-1.576</w:t>
            </w:r>
          </w:p>
        </w:tc>
        <w:tc>
          <w:tcPr>
            <w:tcW w:w="586" w:type="pct"/>
            <w:shd w:val="clear" w:color="auto" w:fill="FFFFFF"/>
            <w:vAlign w:val="center"/>
          </w:tcPr>
          <w:p w14:paraId="6A810483" w14:textId="77777777" w:rsidR="000C013D" w:rsidRPr="00DE62FE" w:rsidRDefault="000C013D" w:rsidP="00DE62F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E62FE">
              <w:rPr>
                <w:rFonts w:ascii="Times New Roman" w:hAnsi="Times New Roman" w:cs="Times New Roman"/>
                <w:color w:val="000000"/>
                <w:sz w:val="24"/>
                <w:szCs w:val="24"/>
              </w:rPr>
              <w:t>.123</w:t>
            </w:r>
          </w:p>
        </w:tc>
      </w:tr>
      <w:tr w:rsidR="000C013D" w:rsidRPr="00143B41" w14:paraId="759F5FA0" w14:textId="77777777" w:rsidTr="00354635">
        <w:trPr>
          <w:cantSplit/>
        </w:trPr>
        <w:tc>
          <w:tcPr>
            <w:tcW w:w="5000" w:type="pct"/>
            <w:gridSpan w:val="7"/>
            <w:shd w:val="clear" w:color="auto" w:fill="FFFFFF"/>
          </w:tcPr>
          <w:p w14:paraId="2837896A" w14:textId="77777777" w:rsidR="000C013D" w:rsidRPr="00DE62FE" w:rsidRDefault="000C013D" w:rsidP="00DE62FE">
            <w:pPr>
              <w:autoSpaceDE w:val="0"/>
              <w:autoSpaceDN w:val="0"/>
              <w:adjustRightInd w:val="0"/>
              <w:spacing w:after="0" w:line="320" w:lineRule="atLeast"/>
              <w:ind w:left="60" w:right="60"/>
              <w:rPr>
                <w:rFonts w:ascii="Times New Roman" w:hAnsi="Times New Roman" w:cs="Times New Roman"/>
                <w:color w:val="000000"/>
                <w:sz w:val="24"/>
                <w:szCs w:val="24"/>
              </w:rPr>
            </w:pPr>
            <w:r w:rsidRPr="00DE62FE">
              <w:rPr>
                <w:rFonts w:ascii="Times New Roman" w:hAnsi="Times New Roman" w:cs="Times New Roman"/>
                <w:color w:val="000000"/>
                <w:sz w:val="24"/>
                <w:szCs w:val="24"/>
              </w:rPr>
              <w:t>a. Dependent Variable: Market Per Share</w:t>
            </w:r>
          </w:p>
        </w:tc>
      </w:tr>
    </w:tbl>
    <w:p w14:paraId="3043FF44" w14:textId="77777777" w:rsidR="003F252A" w:rsidRDefault="003F252A" w:rsidP="00444603">
      <w:pPr>
        <w:autoSpaceDE w:val="0"/>
        <w:autoSpaceDN w:val="0"/>
        <w:adjustRightInd w:val="0"/>
        <w:spacing w:before="240" w:after="240" w:line="384" w:lineRule="auto"/>
        <w:jc w:val="both"/>
        <w:rPr>
          <w:rFonts w:ascii="Times New Roman" w:hAnsi="Times New Roman" w:cs="Times New Roman"/>
          <w:b/>
          <w:color w:val="000000" w:themeColor="text1"/>
          <w:szCs w:val="24"/>
        </w:rPr>
      </w:pPr>
    </w:p>
    <w:p w14:paraId="6AA55798" w14:textId="77777777" w:rsidR="00881FDC" w:rsidRDefault="00881FDC" w:rsidP="00444603">
      <w:pPr>
        <w:autoSpaceDE w:val="0"/>
        <w:autoSpaceDN w:val="0"/>
        <w:adjustRightInd w:val="0"/>
        <w:spacing w:before="240" w:after="240" w:line="384" w:lineRule="auto"/>
        <w:jc w:val="both"/>
        <w:rPr>
          <w:rFonts w:ascii="Times New Roman" w:hAnsi="Times New Roman" w:cs="Times New Roman"/>
          <w:b/>
          <w:color w:val="000000" w:themeColor="text1"/>
          <w:szCs w:val="24"/>
        </w:rPr>
      </w:pPr>
    </w:p>
    <w:p w14:paraId="5930ADF4" w14:textId="65117AEA" w:rsidR="000C013D" w:rsidRPr="00143B41" w:rsidRDefault="000C013D" w:rsidP="00444603">
      <w:pPr>
        <w:autoSpaceDE w:val="0"/>
        <w:autoSpaceDN w:val="0"/>
        <w:adjustRightInd w:val="0"/>
        <w:spacing w:before="240" w:after="240" w:line="384" w:lineRule="auto"/>
        <w:jc w:val="both"/>
        <w:rPr>
          <w:rFonts w:ascii="Times New Roman" w:hAnsi="Times New Roman" w:cs="Times New Roman"/>
          <w:b/>
          <w:color w:val="000000" w:themeColor="text1"/>
          <w:szCs w:val="24"/>
        </w:rPr>
      </w:pPr>
      <w:r w:rsidRPr="00143B41">
        <w:rPr>
          <w:rFonts w:ascii="Times New Roman" w:hAnsi="Times New Roman" w:cs="Times New Roman"/>
          <w:b/>
          <w:color w:val="000000" w:themeColor="text1"/>
          <w:szCs w:val="24"/>
        </w:rPr>
        <w:lastRenderedPageBreak/>
        <w:t>Model Interpretation of Return on Assets in relation to Market per share</w:t>
      </w:r>
    </w:p>
    <w:p w14:paraId="3B8E4F2B"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y = </w:t>
      </w:r>
      <w:proofErr w:type="spellStart"/>
      <w:r w:rsidRPr="00143B41">
        <w:rPr>
          <w:rFonts w:ascii="Times New Roman" w:hAnsi="Times New Roman" w:cs="Times New Roman"/>
          <w:color w:val="000000" w:themeColor="text1"/>
          <w:szCs w:val="24"/>
        </w:rPr>
        <w:t>a+bx</w:t>
      </w:r>
      <w:proofErr w:type="spellEnd"/>
    </w:p>
    <w:p w14:paraId="5D80032E"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Return on Assets= constant + slope x  </w:t>
      </w:r>
    </w:p>
    <w:p w14:paraId="1306DE65"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ROA= 627.074+(-9840.375) ROA</w:t>
      </w:r>
    </w:p>
    <w:p w14:paraId="098E84A3"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P-value = (0.123)    </w:t>
      </w:r>
    </w:p>
    <w:p w14:paraId="3B8320AE"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R =   .248             </w:t>
      </w:r>
      <w:r w:rsidRPr="00143B41">
        <w:rPr>
          <w:rFonts w:ascii="Times New Roman" w:hAnsi="Times New Roman" w:cs="Times New Roman"/>
          <w:color w:val="000000" w:themeColor="text1"/>
          <w:szCs w:val="24"/>
        </w:rPr>
        <w:tab/>
        <w:t>R</w:t>
      </w:r>
      <w:r w:rsidRPr="00143B41">
        <w:rPr>
          <w:rFonts w:ascii="Times New Roman" w:hAnsi="Times New Roman" w:cs="Times New Roman"/>
          <w:color w:val="000000" w:themeColor="text1"/>
          <w:szCs w:val="24"/>
          <w:vertAlign w:val="superscript"/>
        </w:rPr>
        <w:t>2</w:t>
      </w:r>
      <w:r w:rsidRPr="00143B41">
        <w:rPr>
          <w:rFonts w:ascii="Times New Roman" w:hAnsi="Times New Roman" w:cs="Times New Roman"/>
          <w:color w:val="000000" w:themeColor="text1"/>
          <w:szCs w:val="24"/>
        </w:rPr>
        <w:t xml:space="preserve"> = .061</w:t>
      </w:r>
    </w:p>
    <w:p w14:paraId="30898748"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 w:val="24"/>
          <w:szCs w:val="24"/>
        </w:rPr>
        <w:t>The above regression equation states that one unit change in return on assets will leads share price of sample commercial bank to change with -9840.375.</w:t>
      </w:r>
    </w:p>
    <w:p w14:paraId="2717A75B"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In the above equation the value of R</w:t>
      </w:r>
      <w:r w:rsidRPr="00143B41">
        <w:rPr>
          <w:rFonts w:ascii="Times New Roman" w:hAnsi="Times New Roman" w:cs="Times New Roman"/>
          <w:color w:val="000000" w:themeColor="text1"/>
          <w:szCs w:val="24"/>
          <w:vertAlign w:val="superscript"/>
        </w:rPr>
        <w:t>2</w:t>
      </w:r>
      <w:r w:rsidRPr="00143B41">
        <w:rPr>
          <w:rFonts w:ascii="Times New Roman" w:hAnsi="Times New Roman" w:cs="Times New Roman"/>
          <w:color w:val="000000" w:themeColor="text1"/>
          <w:szCs w:val="24"/>
        </w:rPr>
        <w:t xml:space="preserve"> is .061 which means that 6.1% variation in return on assets is explained by market per share.</w:t>
      </w:r>
    </w:p>
    <w:p w14:paraId="517C0B80" w14:textId="77777777" w:rsidR="000C013D" w:rsidRPr="00143B41" w:rsidRDefault="000C013D" w:rsidP="00F051BB">
      <w:pPr>
        <w:tabs>
          <w:tab w:val="left" w:pos="5497"/>
        </w:tabs>
        <w:spacing w:before="240" w:after="0" w:line="360"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4.3.4 Price Earnings Ratio and Market price per share</w:t>
      </w: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03"/>
        <w:gridCol w:w="363"/>
        <w:gridCol w:w="1028"/>
        <w:gridCol w:w="477"/>
        <w:gridCol w:w="1133"/>
        <w:gridCol w:w="464"/>
        <w:gridCol w:w="644"/>
        <w:gridCol w:w="1526"/>
        <w:gridCol w:w="22"/>
        <w:gridCol w:w="1085"/>
        <w:gridCol w:w="1105"/>
      </w:tblGrid>
      <w:tr w:rsidR="000C013D" w:rsidRPr="00143B41" w14:paraId="7A1FE9E5" w14:textId="77777777" w:rsidTr="000477C4">
        <w:trPr>
          <w:cantSplit/>
        </w:trPr>
        <w:tc>
          <w:tcPr>
            <w:tcW w:w="5000" w:type="pct"/>
            <w:gridSpan w:val="11"/>
            <w:tcBorders>
              <w:top w:val="single" w:sz="4" w:space="0" w:color="auto"/>
              <w:left w:val="single" w:sz="4" w:space="0" w:color="auto"/>
              <w:right w:val="single" w:sz="4" w:space="0" w:color="auto"/>
            </w:tcBorders>
            <w:shd w:val="clear" w:color="auto" w:fill="FFFFFF"/>
          </w:tcPr>
          <w:p w14:paraId="1ED2053E" w14:textId="77777777" w:rsidR="000C013D" w:rsidRPr="00DA16E3" w:rsidRDefault="000C013D" w:rsidP="00F051BB">
            <w:pPr>
              <w:autoSpaceDE w:val="0"/>
              <w:autoSpaceDN w:val="0"/>
              <w:adjustRightInd w:val="0"/>
              <w:spacing w:before="240" w:after="0" w:line="360" w:lineRule="auto"/>
              <w:ind w:left="60" w:right="60"/>
              <w:jc w:val="center"/>
              <w:rPr>
                <w:rFonts w:ascii="Times New Roman" w:hAnsi="Times New Roman" w:cs="Times New Roman"/>
                <w:color w:val="000000" w:themeColor="text1"/>
                <w:sz w:val="24"/>
                <w:szCs w:val="24"/>
              </w:rPr>
            </w:pPr>
            <w:r w:rsidRPr="00DA16E3">
              <w:rPr>
                <w:rFonts w:ascii="Times New Roman" w:hAnsi="Times New Roman" w:cs="Times New Roman"/>
                <w:b/>
                <w:bCs/>
                <w:color w:val="000000" w:themeColor="text1"/>
                <w:sz w:val="24"/>
                <w:szCs w:val="24"/>
              </w:rPr>
              <w:t>Model Summary</w:t>
            </w:r>
          </w:p>
        </w:tc>
      </w:tr>
      <w:tr w:rsidR="000C013D" w:rsidRPr="00143B41" w14:paraId="1CD88E11" w14:textId="77777777" w:rsidTr="00F051BB">
        <w:trPr>
          <w:cantSplit/>
        </w:trPr>
        <w:tc>
          <w:tcPr>
            <w:tcW w:w="674" w:type="pct"/>
            <w:gridSpan w:val="2"/>
            <w:shd w:val="clear" w:color="auto" w:fill="FFFFFF"/>
          </w:tcPr>
          <w:p w14:paraId="355CF63F"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Model</w:t>
            </w:r>
          </w:p>
        </w:tc>
        <w:tc>
          <w:tcPr>
            <w:tcW w:w="870" w:type="pct"/>
            <w:gridSpan w:val="2"/>
            <w:shd w:val="clear" w:color="auto" w:fill="FFFFFF"/>
          </w:tcPr>
          <w:p w14:paraId="4A5F92B2"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R</w:t>
            </w:r>
          </w:p>
        </w:tc>
        <w:tc>
          <w:tcPr>
            <w:tcW w:w="923" w:type="pct"/>
            <w:gridSpan w:val="2"/>
            <w:shd w:val="clear" w:color="auto" w:fill="FFFFFF"/>
          </w:tcPr>
          <w:p w14:paraId="4F8B9F43"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R Square</w:t>
            </w:r>
          </w:p>
        </w:tc>
        <w:tc>
          <w:tcPr>
            <w:tcW w:w="1267" w:type="pct"/>
            <w:gridSpan w:val="3"/>
            <w:shd w:val="clear" w:color="auto" w:fill="FFFFFF"/>
          </w:tcPr>
          <w:p w14:paraId="3A69BD0F"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Adjusted R Square</w:t>
            </w:r>
          </w:p>
        </w:tc>
        <w:tc>
          <w:tcPr>
            <w:tcW w:w="1267" w:type="pct"/>
            <w:gridSpan w:val="2"/>
            <w:shd w:val="clear" w:color="auto" w:fill="FFFFFF"/>
          </w:tcPr>
          <w:p w14:paraId="0586BBA0"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Std. Error of the Estimate</w:t>
            </w:r>
          </w:p>
        </w:tc>
      </w:tr>
      <w:tr w:rsidR="000C013D" w:rsidRPr="00143B41" w14:paraId="4A82B531" w14:textId="77777777" w:rsidTr="00F051BB">
        <w:trPr>
          <w:cantSplit/>
        </w:trPr>
        <w:tc>
          <w:tcPr>
            <w:tcW w:w="674" w:type="pct"/>
            <w:gridSpan w:val="2"/>
            <w:shd w:val="clear" w:color="auto" w:fill="FFFFFF"/>
            <w:vAlign w:val="center"/>
          </w:tcPr>
          <w:p w14:paraId="3ACEEAB5"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1</w:t>
            </w:r>
          </w:p>
        </w:tc>
        <w:tc>
          <w:tcPr>
            <w:tcW w:w="870" w:type="pct"/>
            <w:gridSpan w:val="2"/>
            <w:shd w:val="clear" w:color="auto" w:fill="FFFFFF"/>
            <w:vAlign w:val="center"/>
          </w:tcPr>
          <w:p w14:paraId="2F0EF500"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.175a</w:t>
            </w:r>
          </w:p>
        </w:tc>
        <w:tc>
          <w:tcPr>
            <w:tcW w:w="923" w:type="pct"/>
            <w:gridSpan w:val="2"/>
            <w:shd w:val="clear" w:color="auto" w:fill="FFFFFF"/>
            <w:vAlign w:val="center"/>
          </w:tcPr>
          <w:p w14:paraId="6BD9D345"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.031</w:t>
            </w:r>
          </w:p>
        </w:tc>
        <w:tc>
          <w:tcPr>
            <w:tcW w:w="1267" w:type="pct"/>
            <w:gridSpan w:val="3"/>
            <w:shd w:val="clear" w:color="auto" w:fill="FFFFFF"/>
            <w:vAlign w:val="center"/>
          </w:tcPr>
          <w:p w14:paraId="1E8AE8D7"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.005</w:t>
            </w:r>
          </w:p>
        </w:tc>
        <w:tc>
          <w:tcPr>
            <w:tcW w:w="1267" w:type="pct"/>
            <w:gridSpan w:val="2"/>
            <w:shd w:val="clear" w:color="auto" w:fill="FFFFFF"/>
            <w:vAlign w:val="center"/>
          </w:tcPr>
          <w:p w14:paraId="521353CD" w14:textId="77777777" w:rsidR="000C013D" w:rsidRPr="00DA16E3" w:rsidRDefault="000C013D" w:rsidP="00DA16E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DA16E3">
              <w:rPr>
                <w:rFonts w:ascii="Times New Roman" w:hAnsi="Times New Roman" w:cs="Times New Roman"/>
                <w:color w:val="000000"/>
                <w:sz w:val="24"/>
                <w:szCs w:val="24"/>
              </w:rPr>
              <w:t>228.09917</w:t>
            </w:r>
          </w:p>
        </w:tc>
      </w:tr>
      <w:tr w:rsidR="000C013D" w:rsidRPr="00143B41" w14:paraId="7AD75CB2" w14:textId="77777777" w:rsidTr="00F051BB">
        <w:trPr>
          <w:cantSplit/>
        </w:trPr>
        <w:tc>
          <w:tcPr>
            <w:tcW w:w="5000" w:type="pct"/>
            <w:gridSpan w:val="11"/>
            <w:shd w:val="clear" w:color="auto" w:fill="FFFFFF"/>
          </w:tcPr>
          <w:p w14:paraId="136DEADA" w14:textId="77777777" w:rsidR="000C013D" w:rsidRPr="00DA16E3" w:rsidRDefault="000C013D" w:rsidP="00DA16E3">
            <w:pPr>
              <w:autoSpaceDE w:val="0"/>
              <w:autoSpaceDN w:val="0"/>
              <w:adjustRightInd w:val="0"/>
              <w:spacing w:after="0" w:line="320" w:lineRule="atLeast"/>
              <w:ind w:left="60" w:right="60"/>
              <w:rPr>
                <w:rFonts w:ascii="Times New Roman" w:hAnsi="Times New Roman" w:cs="Times New Roman"/>
                <w:color w:val="000000"/>
                <w:sz w:val="24"/>
                <w:szCs w:val="24"/>
              </w:rPr>
            </w:pPr>
            <w:r w:rsidRPr="00DA16E3">
              <w:rPr>
                <w:rFonts w:ascii="Times New Roman" w:hAnsi="Times New Roman" w:cs="Times New Roman"/>
                <w:color w:val="000000"/>
                <w:sz w:val="24"/>
                <w:szCs w:val="24"/>
              </w:rPr>
              <w:t xml:space="preserve">a. Predictors: (Constant), Price </w:t>
            </w:r>
            <w:proofErr w:type="spellStart"/>
            <w:r w:rsidRPr="00DA16E3">
              <w:rPr>
                <w:rFonts w:ascii="Times New Roman" w:hAnsi="Times New Roman" w:cs="Times New Roman"/>
                <w:color w:val="000000"/>
                <w:sz w:val="24"/>
                <w:szCs w:val="24"/>
              </w:rPr>
              <w:t>Earning</w:t>
            </w:r>
            <w:proofErr w:type="spellEnd"/>
            <w:r w:rsidRPr="00DA16E3">
              <w:rPr>
                <w:rFonts w:ascii="Times New Roman" w:hAnsi="Times New Roman" w:cs="Times New Roman"/>
                <w:color w:val="000000"/>
                <w:sz w:val="24"/>
                <w:szCs w:val="24"/>
              </w:rPr>
              <w:t xml:space="preserve"> Ratio</w:t>
            </w:r>
          </w:p>
        </w:tc>
      </w:tr>
      <w:tr w:rsidR="000C013D" w:rsidRPr="00927163" w14:paraId="730E83CA" w14:textId="77777777" w:rsidTr="00B964F8">
        <w:tblPrEx>
          <w:tblBorders>
            <w:top w:val="single" w:sz="4" w:space="0" w:color="auto"/>
          </w:tblBorders>
        </w:tblPrEx>
        <w:trPr>
          <w:cantSplit/>
          <w:trHeight w:val="414"/>
        </w:trPr>
        <w:tc>
          <w:tcPr>
            <w:tcW w:w="5000" w:type="pct"/>
            <w:gridSpan w:val="11"/>
            <w:tcBorders>
              <w:top w:val="single" w:sz="4" w:space="0" w:color="auto"/>
              <w:left w:val="nil"/>
              <w:right w:val="nil"/>
            </w:tcBorders>
            <w:shd w:val="clear" w:color="auto" w:fill="FFFFFF"/>
          </w:tcPr>
          <w:p w14:paraId="48919288" w14:textId="77777777" w:rsidR="00927163" w:rsidRPr="00927163" w:rsidRDefault="00927163" w:rsidP="00927163">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
          <w:p w14:paraId="330C1F03" w14:textId="40A91F22" w:rsidR="000C013D" w:rsidRPr="00927163" w:rsidRDefault="000477C4" w:rsidP="000477C4">
            <w:pPr>
              <w:autoSpaceDE w:val="0"/>
              <w:autoSpaceDN w:val="0"/>
              <w:adjustRightInd w:val="0"/>
              <w:spacing w:after="0" w:line="320" w:lineRule="atLeast"/>
              <w:ind w:right="6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
        </w:tc>
      </w:tr>
      <w:tr w:rsidR="00B964F8" w:rsidRPr="00927163" w14:paraId="7E4968DE" w14:textId="77777777" w:rsidTr="00B964F8">
        <w:tblPrEx>
          <w:tblBorders>
            <w:top w:val="single" w:sz="4" w:space="0" w:color="auto"/>
          </w:tblBorders>
        </w:tblPrEx>
        <w:trPr>
          <w:cantSplit/>
          <w:trHeight w:val="225"/>
        </w:trPr>
        <w:tc>
          <w:tcPr>
            <w:tcW w:w="5000" w:type="pct"/>
            <w:gridSpan w:val="11"/>
            <w:tcBorders>
              <w:top w:val="single" w:sz="4" w:space="0" w:color="auto"/>
              <w:left w:val="single" w:sz="4" w:space="0" w:color="auto"/>
              <w:right w:val="single" w:sz="4" w:space="0" w:color="auto"/>
            </w:tcBorders>
            <w:shd w:val="clear" w:color="auto" w:fill="FFFFFF"/>
            <w:vAlign w:val="bottom"/>
          </w:tcPr>
          <w:p w14:paraId="3752CB2E" w14:textId="631C1402" w:rsidR="00B964F8" w:rsidRPr="00927163" w:rsidRDefault="00B964F8" w:rsidP="00B964F8">
            <w:pPr>
              <w:autoSpaceDE w:val="0"/>
              <w:autoSpaceDN w:val="0"/>
              <w:adjustRightInd w:val="0"/>
              <w:spacing w:after="0" w:line="320" w:lineRule="atLeast"/>
              <w:ind w:right="60"/>
              <w:jc w:val="center"/>
              <w:rPr>
                <w:rFonts w:ascii="Times New Roman" w:hAnsi="Times New Roman" w:cs="Times New Roman"/>
                <w:b/>
                <w:bCs/>
                <w:color w:val="000000"/>
                <w:sz w:val="24"/>
                <w:szCs w:val="24"/>
              </w:rPr>
            </w:pPr>
            <w:proofErr w:type="spellStart"/>
            <w:r w:rsidRPr="00B964F8">
              <w:rPr>
                <w:rFonts w:ascii="Times New Roman" w:hAnsi="Times New Roman" w:cs="Times New Roman"/>
                <w:b/>
                <w:bCs/>
                <w:color w:val="000000"/>
                <w:sz w:val="24"/>
                <w:szCs w:val="24"/>
              </w:rPr>
              <w:t>ANOVA</w:t>
            </w:r>
            <w:r w:rsidRPr="001368E3">
              <w:rPr>
                <w:rFonts w:ascii="Times New Roman" w:hAnsi="Times New Roman" w:cs="Times New Roman"/>
                <w:b/>
                <w:bCs/>
                <w:color w:val="000000"/>
                <w:sz w:val="24"/>
                <w:szCs w:val="24"/>
                <w:vertAlign w:val="superscript"/>
              </w:rPr>
              <w:t>a</w:t>
            </w:r>
            <w:proofErr w:type="spellEnd"/>
          </w:p>
        </w:tc>
      </w:tr>
      <w:tr w:rsidR="000C013D" w:rsidRPr="00927163" w14:paraId="5DA10063" w14:textId="77777777" w:rsidTr="00F051BB">
        <w:tblPrEx>
          <w:tblBorders>
            <w:top w:val="single" w:sz="4" w:space="0" w:color="auto"/>
          </w:tblBorders>
        </w:tblPrEx>
        <w:trPr>
          <w:cantSplit/>
        </w:trPr>
        <w:tc>
          <w:tcPr>
            <w:tcW w:w="1268" w:type="pct"/>
            <w:gridSpan w:val="3"/>
            <w:shd w:val="clear" w:color="auto" w:fill="FFFFFF"/>
          </w:tcPr>
          <w:p w14:paraId="0EE2C416"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Model</w:t>
            </w:r>
          </w:p>
        </w:tc>
        <w:tc>
          <w:tcPr>
            <w:tcW w:w="931" w:type="pct"/>
            <w:gridSpan w:val="2"/>
            <w:shd w:val="clear" w:color="auto" w:fill="FFFFFF"/>
          </w:tcPr>
          <w:p w14:paraId="2C894275"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Sum of Squares</w:t>
            </w:r>
          </w:p>
        </w:tc>
        <w:tc>
          <w:tcPr>
            <w:tcW w:w="640" w:type="pct"/>
            <w:gridSpan w:val="2"/>
            <w:shd w:val="clear" w:color="auto" w:fill="FFFFFF"/>
          </w:tcPr>
          <w:p w14:paraId="28C73A67"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df</w:t>
            </w:r>
          </w:p>
        </w:tc>
        <w:tc>
          <w:tcPr>
            <w:tcW w:w="882" w:type="pct"/>
            <w:shd w:val="clear" w:color="auto" w:fill="FFFFFF"/>
          </w:tcPr>
          <w:p w14:paraId="7E184839"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Mean Square</w:t>
            </w:r>
          </w:p>
        </w:tc>
        <w:tc>
          <w:tcPr>
            <w:tcW w:w="640" w:type="pct"/>
            <w:gridSpan w:val="2"/>
            <w:shd w:val="clear" w:color="auto" w:fill="FFFFFF"/>
          </w:tcPr>
          <w:p w14:paraId="0497A580"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F</w:t>
            </w:r>
          </w:p>
        </w:tc>
        <w:tc>
          <w:tcPr>
            <w:tcW w:w="639" w:type="pct"/>
            <w:shd w:val="clear" w:color="auto" w:fill="FFFFFF"/>
          </w:tcPr>
          <w:p w14:paraId="48B4DD77"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Sig.</w:t>
            </w:r>
          </w:p>
        </w:tc>
      </w:tr>
      <w:tr w:rsidR="000C013D" w:rsidRPr="00927163" w14:paraId="014D4675" w14:textId="77777777" w:rsidTr="00F051BB">
        <w:tblPrEx>
          <w:tblBorders>
            <w:top w:val="single" w:sz="4" w:space="0" w:color="auto"/>
          </w:tblBorders>
        </w:tblPrEx>
        <w:trPr>
          <w:cantSplit/>
        </w:trPr>
        <w:tc>
          <w:tcPr>
            <w:tcW w:w="464" w:type="pct"/>
            <w:vMerge w:val="restart"/>
            <w:shd w:val="clear" w:color="auto" w:fill="FFFFFF"/>
            <w:vAlign w:val="center"/>
          </w:tcPr>
          <w:p w14:paraId="0498ADDC"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1</w:t>
            </w:r>
          </w:p>
        </w:tc>
        <w:tc>
          <w:tcPr>
            <w:tcW w:w="804" w:type="pct"/>
            <w:gridSpan w:val="2"/>
            <w:shd w:val="clear" w:color="auto" w:fill="FFFFFF"/>
            <w:vAlign w:val="center"/>
          </w:tcPr>
          <w:p w14:paraId="705286DE"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Regression</w:t>
            </w:r>
          </w:p>
        </w:tc>
        <w:tc>
          <w:tcPr>
            <w:tcW w:w="931" w:type="pct"/>
            <w:gridSpan w:val="2"/>
            <w:shd w:val="clear" w:color="auto" w:fill="FFFFFF"/>
            <w:vAlign w:val="center"/>
          </w:tcPr>
          <w:p w14:paraId="290CEA76"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62284.249</w:t>
            </w:r>
          </w:p>
        </w:tc>
        <w:tc>
          <w:tcPr>
            <w:tcW w:w="640" w:type="pct"/>
            <w:gridSpan w:val="2"/>
            <w:shd w:val="clear" w:color="auto" w:fill="FFFFFF"/>
            <w:vAlign w:val="center"/>
          </w:tcPr>
          <w:p w14:paraId="6F8B756D"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1</w:t>
            </w:r>
          </w:p>
        </w:tc>
        <w:tc>
          <w:tcPr>
            <w:tcW w:w="882" w:type="pct"/>
            <w:shd w:val="clear" w:color="auto" w:fill="FFFFFF"/>
            <w:vAlign w:val="center"/>
          </w:tcPr>
          <w:p w14:paraId="5424B827"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62284.249</w:t>
            </w:r>
          </w:p>
        </w:tc>
        <w:tc>
          <w:tcPr>
            <w:tcW w:w="640" w:type="pct"/>
            <w:gridSpan w:val="2"/>
            <w:shd w:val="clear" w:color="auto" w:fill="FFFFFF"/>
            <w:vAlign w:val="center"/>
          </w:tcPr>
          <w:p w14:paraId="1FB99D31"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1.197</w:t>
            </w:r>
          </w:p>
        </w:tc>
        <w:tc>
          <w:tcPr>
            <w:tcW w:w="639" w:type="pct"/>
            <w:shd w:val="clear" w:color="auto" w:fill="FFFFFF"/>
            <w:vAlign w:val="center"/>
          </w:tcPr>
          <w:p w14:paraId="2ED01F4B"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.281b</w:t>
            </w:r>
          </w:p>
        </w:tc>
      </w:tr>
      <w:tr w:rsidR="000C013D" w:rsidRPr="00927163" w14:paraId="76467FAE" w14:textId="77777777" w:rsidTr="00F051BB">
        <w:tblPrEx>
          <w:tblBorders>
            <w:top w:val="single" w:sz="4" w:space="0" w:color="auto"/>
          </w:tblBorders>
        </w:tblPrEx>
        <w:trPr>
          <w:cantSplit/>
        </w:trPr>
        <w:tc>
          <w:tcPr>
            <w:tcW w:w="464" w:type="pct"/>
            <w:vMerge/>
            <w:shd w:val="clear" w:color="auto" w:fill="FFFFFF"/>
            <w:vAlign w:val="center"/>
          </w:tcPr>
          <w:p w14:paraId="0C94B18D"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gridSpan w:val="2"/>
            <w:shd w:val="clear" w:color="auto" w:fill="FFFFFF"/>
            <w:vAlign w:val="center"/>
          </w:tcPr>
          <w:p w14:paraId="3F6C26CC"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Residual</w:t>
            </w:r>
          </w:p>
        </w:tc>
        <w:tc>
          <w:tcPr>
            <w:tcW w:w="931" w:type="pct"/>
            <w:gridSpan w:val="2"/>
            <w:shd w:val="clear" w:color="auto" w:fill="FFFFFF"/>
            <w:vAlign w:val="center"/>
          </w:tcPr>
          <w:p w14:paraId="33192468"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1977110.851</w:t>
            </w:r>
          </w:p>
        </w:tc>
        <w:tc>
          <w:tcPr>
            <w:tcW w:w="640" w:type="pct"/>
            <w:gridSpan w:val="2"/>
            <w:shd w:val="clear" w:color="auto" w:fill="FFFFFF"/>
            <w:vAlign w:val="center"/>
          </w:tcPr>
          <w:p w14:paraId="66968617"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38</w:t>
            </w:r>
          </w:p>
        </w:tc>
        <w:tc>
          <w:tcPr>
            <w:tcW w:w="882" w:type="pct"/>
            <w:shd w:val="clear" w:color="auto" w:fill="FFFFFF"/>
            <w:vAlign w:val="center"/>
          </w:tcPr>
          <w:p w14:paraId="37A3182B"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52029.233</w:t>
            </w:r>
          </w:p>
        </w:tc>
        <w:tc>
          <w:tcPr>
            <w:tcW w:w="640" w:type="pct"/>
            <w:gridSpan w:val="2"/>
            <w:shd w:val="clear" w:color="auto" w:fill="FFFFFF"/>
          </w:tcPr>
          <w:p w14:paraId="06E2EE1C"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4AD55C66"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927163" w14:paraId="78451060" w14:textId="77777777" w:rsidTr="00F051BB">
        <w:tblPrEx>
          <w:tblBorders>
            <w:top w:val="single" w:sz="4" w:space="0" w:color="auto"/>
          </w:tblBorders>
        </w:tblPrEx>
        <w:trPr>
          <w:cantSplit/>
        </w:trPr>
        <w:tc>
          <w:tcPr>
            <w:tcW w:w="464" w:type="pct"/>
            <w:vMerge/>
            <w:shd w:val="clear" w:color="auto" w:fill="FFFFFF"/>
            <w:vAlign w:val="center"/>
          </w:tcPr>
          <w:p w14:paraId="099D331F"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gridSpan w:val="2"/>
            <w:shd w:val="clear" w:color="auto" w:fill="FFFFFF"/>
            <w:vAlign w:val="center"/>
          </w:tcPr>
          <w:p w14:paraId="6EBED7F1"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Total</w:t>
            </w:r>
          </w:p>
        </w:tc>
        <w:tc>
          <w:tcPr>
            <w:tcW w:w="931" w:type="pct"/>
            <w:gridSpan w:val="2"/>
            <w:shd w:val="clear" w:color="auto" w:fill="FFFFFF"/>
            <w:vAlign w:val="center"/>
          </w:tcPr>
          <w:p w14:paraId="2A6F34C9"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2039395.100</w:t>
            </w:r>
          </w:p>
        </w:tc>
        <w:tc>
          <w:tcPr>
            <w:tcW w:w="640" w:type="pct"/>
            <w:gridSpan w:val="2"/>
            <w:shd w:val="clear" w:color="auto" w:fill="FFFFFF"/>
            <w:vAlign w:val="center"/>
          </w:tcPr>
          <w:p w14:paraId="0748BCCB"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927163">
              <w:rPr>
                <w:rFonts w:ascii="Times New Roman" w:hAnsi="Times New Roman" w:cs="Times New Roman"/>
                <w:color w:val="000000"/>
                <w:sz w:val="24"/>
                <w:szCs w:val="24"/>
              </w:rPr>
              <w:t>39</w:t>
            </w:r>
          </w:p>
        </w:tc>
        <w:tc>
          <w:tcPr>
            <w:tcW w:w="882" w:type="pct"/>
            <w:shd w:val="clear" w:color="auto" w:fill="FFFFFF"/>
          </w:tcPr>
          <w:p w14:paraId="0C7F6CF3"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40" w:type="pct"/>
            <w:gridSpan w:val="2"/>
            <w:shd w:val="clear" w:color="auto" w:fill="FFFFFF"/>
          </w:tcPr>
          <w:p w14:paraId="0F835868"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3CE3551D" w14:textId="77777777" w:rsidR="000C013D" w:rsidRPr="00927163" w:rsidRDefault="000C013D" w:rsidP="0092716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927163" w14:paraId="5CFE17C5" w14:textId="77777777" w:rsidTr="00354635">
        <w:tblPrEx>
          <w:tblBorders>
            <w:top w:val="single" w:sz="4" w:space="0" w:color="auto"/>
          </w:tblBorders>
        </w:tblPrEx>
        <w:trPr>
          <w:cantSplit/>
        </w:trPr>
        <w:tc>
          <w:tcPr>
            <w:tcW w:w="5000" w:type="pct"/>
            <w:gridSpan w:val="11"/>
            <w:shd w:val="clear" w:color="auto" w:fill="FFFFFF"/>
          </w:tcPr>
          <w:p w14:paraId="0C9220B9" w14:textId="77777777" w:rsidR="000C013D" w:rsidRPr="00927163" w:rsidRDefault="000C013D" w:rsidP="00927163">
            <w:pPr>
              <w:autoSpaceDE w:val="0"/>
              <w:autoSpaceDN w:val="0"/>
              <w:adjustRightInd w:val="0"/>
              <w:spacing w:after="0" w:line="320" w:lineRule="atLeast"/>
              <w:ind w:left="60" w:right="60"/>
              <w:rPr>
                <w:rFonts w:ascii="Times New Roman" w:hAnsi="Times New Roman" w:cs="Times New Roman"/>
                <w:color w:val="000000"/>
                <w:sz w:val="24"/>
                <w:szCs w:val="24"/>
              </w:rPr>
            </w:pPr>
            <w:r w:rsidRPr="00927163">
              <w:rPr>
                <w:rFonts w:ascii="Times New Roman" w:hAnsi="Times New Roman" w:cs="Times New Roman"/>
                <w:color w:val="000000"/>
                <w:sz w:val="24"/>
                <w:szCs w:val="24"/>
              </w:rPr>
              <w:t>a. Dependent Variable: Market Per Share</w:t>
            </w:r>
          </w:p>
        </w:tc>
      </w:tr>
      <w:tr w:rsidR="000C013D" w:rsidRPr="00927163" w14:paraId="0AEFED19" w14:textId="77777777" w:rsidTr="00354635">
        <w:tblPrEx>
          <w:tblBorders>
            <w:top w:val="single" w:sz="4" w:space="0" w:color="auto"/>
          </w:tblBorders>
        </w:tblPrEx>
        <w:trPr>
          <w:cantSplit/>
        </w:trPr>
        <w:tc>
          <w:tcPr>
            <w:tcW w:w="5000" w:type="pct"/>
            <w:gridSpan w:val="11"/>
            <w:shd w:val="clear" w:color="auto" w:fill="FFFFFF"/>
          </w:tcPr>
          <w:p w14:paraId="1AE2D41C" w14:textId="77777777" w:rsidR="000C013D" w:rsidRPr="00927163" w:rsidRDefault="000C013D" w:rsidP="00927163">
            <w:pPr>
              <w:autoSpaceDE w:val="0"/>
              <w:autoSpaceDN w:val="0"/>
              <w:adjustRightInd w:val="0"/>
              <w:spacing w:after="0" w:line="320" w:lineRule="atLeast"/>
              <w:ind w:left="60" w:right="60"/>
              <w:rPr>
                <w:rFonts w:ascii="Times New Roman" w:hAnsi="Times New Roman" w:cs="Times New Roman"/>
                <w:color w:val="000000"/>
                <w:sz w:val="24"/>
                <w:szCs w:val="24"/>
              </w:rPr>
            </w:pPr>
            <w:r w:rsidRPr="00927163">
              <w:rPr>
                <w:rFonts w:ascii="Times New Roman" w:hAnsi="Times New Roman" w:cs="Times New Roman"/>
                <w:color w:val="000000"/>
                <w:sz w:val="24"/>
                <w:szCs w:val="24"/>
              </w:rPr>
              <w:t xml:space="preserve">b. Predictors: (Constant), Price </w:t>
            </w:r>
            <w:proofErr w:type="spellStart"/>
            <w:r w:rsidRPr="00927163">
              <w:rPr>
                <w:rFonts w:ascii="Times New Roman" w:hAnsi="Times New Roman" w:cs="Times New Roman"/>
                <w:color w:val="000000"/>
                <w:sz w:val="24"/>
                <w:szCs w:val="24"/>
              </w:rPr>
              <w:t>Earning</w:t>
            </w:r>
            <w:proofErr w:type="spellEnd"/>
            <w:r w:rsidRPr="00927163">
              <w:rPr>
                <w:rFonts w:ascii="Times New Roman" w:hAnsi="Times New Roman" w:cs="Times New Roman"/>
                <w:color w:val="000000"/>
                <w:sz w:val="24"/>
                <w:szCs w:val="24"/>
              </w:rPr>
              <w:t xml:space="preserve"> Ratio</w:t>
            </w:r>
          </w:p>
        </w:tc>
      </w:tr>
    </w:tbl>
    <w:p w14:paraId="31679107" w14:textId="77777777" w:rsidR="000C013D"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 xml:space="preserve">Since the p value (0.281) of t- statistic is more than 0.05, there is enough ground to accept the null hypothesis. </w:t>
      </w:r>
      <w:r w:rsidR="005E1B11" w:rsidRPr="00143B41">
        <w:rPr>
          <w:rFonts w:ascii="Times New Roman" w:hAnsi="Times New Roman" w:cs="Times New Roman"/>
          <w:color w:val="000000" w:themeColor="text1"/>
          <w:sz w:val="24"/>
          <w:szCs w:val="24"/>
        </w:rPr>
        <w:t>Therefore,</w:t>
      </w:r>
      <w:r w:rsidRPr="00143B41">
        <w:rPr>
          <w:rFonts w:ascii="Times New Roman" w:hAnsi="Times New Roman" w:cs="Times New Roman"/>
          <w:color w:val="000000" w:themeColor="text1"/>
          <w:sz w:val="24"/>
          <w:szCs w:val="24"/>
        </w:rPr>
        <w:t xml:space="preserve"> the alternative hypothesis is rejected i.e. </w:t>
      </w:r>
      <w:r w:rsidR="00714B88" w:rsidRPr="00143B41">
        <w:rPr>
          <w:rFonts w:ascii="Times New Roman" w:hAnsi="Times New Roman" w:cs="Times New Roman"/>
          <w:color w:val="000000" w:themeColor="text1"/>
          <w:sz w:val="24"/>
          <w:szCs w:val="24"/>
        </w:rPr>
        <w:t>There is no significant</w:t>
      </w:r>
      <w:r w:rsidRPr="00143B41">
        <w:rPr>
          <w:rFonts w:ascii="Times New Roman" w:hAnsi="Times New Roman" w:cs="Times New Roman"/>
          <w:color w:val="000000" w:themeColor="text1"/>
          <w:sz w:val="24"/>
          <w:szCs w:val="24"/>
        </w:rPr>
        <w:t xml:space="preserve"> relationship between price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and market per share. Hence, the regression model is not significant at 0.05 level of significance. </w:t>
      </w:r>
    </w:p>
    <w:p w14:paraId="6D33952E" w14:textId="0D4429AE" w:rsidR="006A288B" w:rsidRDefault="006A288B" w:rsidP="00A85517">
      <w:pPr>
        <w:autoSpaceDE w:val="0"/>
        <w:autoSpaceDN w:val="0"/>
        <w:adjustRightInd w:val="0"/>
        <w:spacing w:after="240" w:line="384" w:lineRule="auto"/>
        <w:ind w:left="60" w:right="60"/>
        <w:jc w:val="center"/>
        <w:rPr>
          <w:rFonts w:ascii="Times New Roman" w:hAnsi="Times New Roman" w:cs="Times New Roman"/>
          <w:color w:val="000000" w:themeColor="text1"/>
          <w:sz w:val="24"/>
          <w:szCs w:val="24"/>
        </w:rPr>
      </w:pPr>
    </w:p>
    <w:p w14:paraId="0AFFA519" w14:textId="77777777" w:rsidR="000328D2" w:rsidRPr="00143B41" w:rsidRDefault="000328D2" w:rsidP="00A85517">
      <w:pPr>
        <w:autoSpaceDE w:val="0"/>
        <w:autoSpaceDN w:val="0"/>
        <w:adjustRightInd w:val="0"/>
        <w:spacing w:after="240" w:line="384" w:lineRule="auto"/>
        <w:ind w:left="60" w:right="60"/>
        <w:jc w:val="center"/>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4"/>
        <w:gridCol w:w="1868"/>
        <w:gridCol w:w="1311"/>
        <w:gridCol w:w="1311"/>
        <w:gridCol w:w="1448"/>
        <w:gridCol w:w="995"/>
        <w:gridCol w:w="993"/>
      </w:tblGrid>
      <w:tr w:rsidR="000C013D" w:rsidRPr="000477C4" w14:paraId="5DDA8C58" w14:textId="77777777" w:rsidTr="000477C4">
        <w:trPr>
          <w:cantSplit/>
        </w:trPr>
        <w:tc>
          <w:tcPr>
            <w:tcW w:w="5000" w:type="pct"/>
            <w:gridSpan w:val="7"/>
            <w:tcBorders>
              <w:top w:val="single" w:sz="4" w:space="0" w:color="auto"/>
              <w:left w:val="single" w:sz="4" w:space="0" w:color="auto"/>
              <w:right w:val="single" w:sz="4" w:space="0" w:color="auto"/>
            </w:tcBorders>
            <w:shd w:val="clear" w:color="auto" w:fill="FFFFFF"/>
          </w:tcPr>
          <w:p w14:paraId="6EEEE52B"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roofErr w:type="spellStart"/>
            <w:r w:rsidRPr="000477C4">
              <w:rPr>
                <w:rFonts w:ascii="Times New Roman" w:hAnsi="Times New Roman" w:cs="Times New Roman"/>
                <w:b/>
                <w:bCs/>
                <w:color w:val="000000"/>
                <w:sz w:val="24"/>
                <w:szCs w:val="24"/>
              </w:rPr>
              <w:t>Coefficients</w:t>
            </w:r>
            <w:r w:rsidRPr="00BB01CE">
              <w:rPr>
                <w:rFonts w:ascii="Times New Roman" w:hAnsi="Times New Roman" w:cs="Times New Roman"/>
                <w:b/>
                <w:bCs/>
                <w:color w:val="000000"/>
                <w:sz w:val="24"/>
                <w:szCs w:val="24"/>
                <w:vertAlign w:val="superscript"/>
              </w:rPr>
              <w:t>a</w:t>
            </w:r>
            <w:proofErr w:type="spellEnd"/>
          </w:p>
        </w:tc>
      </w:tr>
      <w:tr w:rsidR="000C013D" w:rsidRPr="000477C4" w14:paraId="422C736C" w14:textId="77777777" w:rsidTr="00F051BB">
        <w:trPr>
          <w:cantSplit/>
        </w:trPr>
        <w:tc>
          <w:tcPr>
            <w:tcW w:w="1498" w:type="pct"/>
            <w:gridSpan w:val="2"/>
            <w:vMerge w:val="restart"/>
            <w:shd w:val="clear" w:color="auto" w:fill="FFFFFF"/>
          </w:tcPr>
          <w:p w14:paraId="2446F133"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Model</w:t>
            </w:r>
          </w:p>
        </w:tc>
        <w:tc>
          <w:tcPr>
            <w:tcW w:w="1516" w:type="pct"/>
            <w:gridSpan w:val="2"/>
            <w:shd w:val="clear" w:color="auto" w:fill="FFFFFF"/>
          </w:tcPr>
          <w:p w14:paraId="509FF436"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Unstandardized Coefficients</w:t>
            </w:r>
          </w:p>
        </w:tc>
        <w:tc>
          <w:tcPr>
            <w:tcW w:w="837" w:type="pct"/>
            <w:shd w:val="clear" w:color="auto" w:fill="FFFFFF"/>
          </w:tcPr>
          <w:p w14:paraId="2368AEC9"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Standardized Coefficients</w:t>
            </w:r>
          </w:p>
        </w:tc>
        <w:tc>
          <w:tcPr>
            <w:tcW w:w="575" w:type="pct"/>
            <w:vMerge w:val="restart"/>
            <w:shd w:val="clear" w:color="auto" w:fill="FFFFFF"/>
          </w:tcPr>
          <w:p w14:paraId="02060F78"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t</w:t>
            </w:r>
          </w:p>
        </w:tc>
        <w:tc>
          <w:tcPr>
            <w:tcW w:w="574" w:type="pct"/>
            <w:vMerge w:val="restart"/>
            <w:shd w:val="clear" w:color="auto" w:fill="FFFFFF"/>
          </w:tcPr>
          <w:p w14:paraId="3D8C15C8"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Sig.</w:t>
            </w:r>
          </w:p>
        </w:tc>
      </w:tr>
      <w:tr w:rsidR="000C013D" w:rsidRPr="000477C4" w14:paraId="648C9A51" w14:textId="77777777" w:rsidTr="00F051BB">
        <w:trPr>
          <w:cantSplit/>
        </w:trPr>
        <w:tc>
          <w:tcPr>
            <w:tcW w:w="1498" w:type="pct"/>
            <w:gridSpan w:val="2"/>
            <w:vMerge/>
            <w:shd w:val="clear" w:color="auto" w:fill="FFFFFF"/>
          </w:tcPr>
          <w:p w14:paraId="3E54D7F1"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758" w:type="pct"/>
            <w:shd w:val="clear" w:color="auto" w:fill="FFFFFF"/>
          </w:tcPr>
          <w:p w14:paraId="57ED0CFE"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B</w:t>
            </w:r>
          </w:p>
        </w:tc>
        <w:tc>
          <w:tcPr>
            <w:tcW w:w="758" w:type="pct"/>
            <w:shd w:val="clear" w:color="auto" w:fill="FFFFFF"/>
          </w:tcPr>
          <w:p w14:paraId="3C186150"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Std. Error</w:t>
            </w:r>
          </w:p>
        </w:tc>
        <w:tc>
          <w:tcPr>
            <w:tcW w:w="837" w:type="pct"/>
            <w:shd w:val="clear" w:color="auto" w:fill="FFFFFF"/>
          </w:tcPr>
          <w:p w14:paraId="0E5A0944"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Beta</w:t>
            </w:r>
          </w:p>
        </w:tc>
        <w:tc>
          <w:tcPr>
            <w:tcW w:w="575" w:type="pct"/>
            <w:vMerge/>
            <w:shd w:val="clear" w:color="auto" w:fill="FFFFFF"/>
          </w:tcPr>
          <w:p w14:paraId="2F2228F5"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574" w:type="pct"/>
            <w:vMerge/>
            <w:shd w:val="clear" w:color="auto" w:fill="FFFFFF"/>
          </w:tcPr>
          <w:p w14:paraId="4C89FBC5"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0477C4" w14:paraId="74938524" w14:textId="77777777" w:rsidTr="00F051BB">
        <w:trPr>
          <w:cantSplit/>
        </w:trPr>
        <w:tc>
          <w:tcPr>
            <w:tcW w:w="418" w:type="pct"/>
            <w:vMerge w:val="restart"/>
            <w:shd w:val="clear" w:color="auto" w:fill="FFFFFF"/>
            <w:vAlign w:val="center"/>
          </w:tcPr>
          <w:p w14:paraId="010908E5"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1</w:t>
            </w:r>
          </w:p>
        </w:tc>
        <w:tc>
          <w:tcPr>
            <w:tcW w:w="1080" w:type="pct"/>
            <w:shd w:val="clear" w:color="auto" w:fill="FFFFFF"/>
            <w:vAlign w:val="center"/>
          </w:tcPr>
          <w:p w14:paraId="52A6E925"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(Constant)</w:t>
            </w:r>
          </w:p>
        </w:tc>
        <w:tc>
          <w:tcPr>
            <w:tcW w:w="758" w:type="pct"/>
            <w:shd w:val="clear" w:color="auto" w:fill="FFFFFF"/>
            <w:vAlign w:val="center"/>
          </w:tcPr>
          <w:p w14:paraId="684B13DF"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383.045</w:t>
            </w:r>
          </w:p>
        </w:tc>
        <w:tc>
          <w:tcPr>
            <w:tcW w:w="758" w:type="pct"/>
            <w:shd w:val="clear" w:color="auto" w:fill="FFFFFF"/>
            <w:vAlign w:val="center"/>
          </w:tcPr>
          <w:p w14:paraId="234638BE"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88.400</w:t>
            </w:r>
          </w:p>
        </w:tc>
        <w:tc>
          <w:tcPr>
            <w:tcW w:w="837" w:type="pct"/>
            <w:shd w:val="clear" w:color="auto" w:fill="FFFFFF"/>
          </w:tcPr>
          <w:p w14:paraId="57FB859F"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575" w:type="pct"/>
            <w:shd w:val="clear" w:color="auto" w:fill="FFFFFF"/>
            <w:vAlign w:val="center"/>
          </w:tcPr>
          <w:p w14:paraId="6742123B"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4.333</w:t>
            </w:r>
          </w:p>
        </w:tc>
        <w:tc>
          <w:tcPr>
            <w:tcW w:w="574" w:type="pct"/>
            <w:shd w:val="clear" w:color="auto" w:fill="FFFFFF"/>
            <w:vAlign w:val="center"/>
          </w:tcPr>
          <w:p w14:paraId="6CC249BB"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.000</w:t>
            </w:r>
          </w:p>
        </w:tc>
      </w:tr>
      <w:tr w:rsidR="000C013D" w:rsidRPr="000477C4" w14:paraId="018281C5" w14:textId="77777777" w:rsidTr="00F051BB">
        <w:trPr>
          <w:cantSplit/>
        </w:trPr>
        <w:tc>
          <w:tcPr>
            <w:tcW w:w="418" w:type="pct"/>
            <w:vMerge/>
            <w:shd w:val="clear" w:color="auto" w:fill="FFFFFF"/>
            <w:vAlign w:val="center"/>
          </w:tcPr>
          <w:p w14:paraId="5A6799CE"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1080" w:type="pct"/>
            <w:shd w:val="clear" w:color="auto" w:fill="FFFFFF"/>
            <w:vAlign w:val="center"/>
          </w:tcPr>
          <w:p w14:paraId="53846B0C"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 xml:space="preserve">Price </w:t>
            </w:r>
            <w:proofErr w:type="spellStart"/>
            <w:r w:rsidRPr="000477C4">
              <w:rPr>
                <w:rFonts w:ascii="Times New Roman" w:hAnsi="Times New Roman" w:cs="Times New Roman"/>
                <w:color w:val="000000"/>
                <w:sz w:val="24"/>
                <w:szCs w:val="24"/>
              </w:rPr>
              <w:t>Earning</w:t>
            </w:r>
            <w:proofErr w:type="spellEnd"/>
            <w:r w:rsidRPr="000477C4">
              <w:rPr>
                <w:rFonts w:ascii="Times New Roman" w:hAnsi="Times New Roman" w:cs="Times New Roman"/>
                <w:color w:val="000000"/>
                <w:sz w:val="24"/>
                <w:szCs w:val="24"/>
              </w:rPr>
              <w:t xml:space="preserve"> Ratio</w:t>
            </w:r>
          </w:p>
        </w:tc>
        <w:tc>
          <w:tcPr>
            <w:tcW w:w="758" w:type="pct"/>
            <w:shd w:val="clear" w:color="auto" w:fill="FFFFFF"/>
            <w:vAlign w:val="center"/>
          </w:tcPr>
          <w:p w14:paraId="1A0B84D4"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3.529</w:t>
            </w:r>
          </w:p>
        </w:tc>
        <w:tc>
          <w:tcPr>
            <w:tcW w:w="758" w:type="pct"/>
            <w:shd w:val="clear" w:color="auto" w:fill="FFFFFF"/>
            <w:vAlign w:val="center"/>
          </w:tcPr>
          <w:p w14:paraId="46F367D9"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3.226</w:t>
            </w:r>
          </w:p>
        </w:tc>
        <w:tc>
          <w:tcPr>
            <w:tcW w:w="837" w:type="pct"/>
            <w:shd w:val="clear" w:color="auto" w:fill="FFFFFF"/>
            <w:vAlign w:val="center"/>
          </w:tcPr>
          <w:p w14:paraId="02E3B778"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.175</w:t>
            </w:r>
          </w:p>
        </w:tc>
        <w:tc>
          <w:tcPr>
            <w:tcW w:w="575" w:type="pct"/>
            <w:shd w:val="clear" w:color="auto" w:fill="FFFFFF"/>
            <w:vAlign w:val="center"/>
          </w:tcPr>
          <w:p w14:paraId="75021C94"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1.094</w:t>
            </w:r>
          </w:p>
        </w:tc>
        <w:tc>
          <w:tcPr>
            <w:tcW w:w="574" w:type="pct"/>
            <w:shd w:val="clear" w:color="auto" w:fill="FFFFFF"/>
            <w:vAlign w:val="center"/>
          </w:tcPr>
          <w:p w14:paraId="6D0F5D7D"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0477C4">
              <w:rPr>
                <w:rFonts w:ascii="Times New Roman" w:hAnsi="Times New Roman" w:cs="Times New Roman"/>
                <w:color w:val="000000"/>
                <w:sz w:val="24"/>
                <w:szCs w:val="24"/>
              </w:rPr>
              <w:t>.281</w:t>
            </w:r>
          </w:p>
        </w:tc>
      </w:tr>
      <w:tr w:rsidR="000C013D" w:rsidRPr="000477C4" w14:paraId="04E8BD2D" w14:textId="77777777" w:rsidTr="00354635">
        <w:trPr>
          <w:cantSplit/>
        </w:trPr>
        <w:tc>
          <w:tcPr>
            <w:tcW w:w="5000" w:type="pct"/>
            <w:gridSpan w:val="7"/>
            <w:shd w:val="clear" w:color="auto" w:fill="FFFFFF"/>
          </w:tcPr>
          <w:p w14:paraId="06B911B3" w14:textId="77777777" w:rsidR="000C013D" w:rsidRPr="000477C4" w:rsidRDefault="000C013D" w:rsidP="000477C4">
            <w:pPr>
              <w:autoSpaceDE w:val="0"/>
              <w:autoSpaceDN w:val="0"/>
              <w:adjustRightInd w:val="0"/>
              <w:spacing w:after="0" w:line="320" w:lineRule="atLeast"/>
              <w:ind w:left="60" w:right="60"/>
              <w:rPr>
                <w:rFonts w:ascii="Times New Roman" w:hAnsi="Times New Roman" w:cs="Times New Roman"/>
                <w:color w:val="000000"/>
                <w:sz w:val="24"/>
                <w:szCs w:val="24"/>
              </w:rPr>
            </w:pPr>
            <w:r w:rsidRPr="000477C4">
              <w:rPr>
                <w:rFonts w:ascii="Times New Roman" w:hAnsi="Times New Roman" w:cs="Times New Roman"/>
                <w:color w:val="000000"/>
                <w:sz w:val="24"/>
                <w:szCs w:val="24"/>
              </w:rPr>
              <w:t>a. Dependent Variable: Market Per Share</w:t>
            </w:r>
          </w:p>
        </w:tc>
      </w:tr>
    </w:tbl>
    <w:p w14:paraId="6FAE085A" w14:textId="77777777" w:rsidR="000C013D" w:rsidRPr="000477C4" w:rsidRDefault="000C013D" w:rsidP="000477C4">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
    <w:p w14:paraId="3629F01C" w14:textId="77777777" w:rsidR="003F252A" w:rsidRDefault="003F252A" w:rsidP="00444603">
      <w:pPr>
        <w:autoSpaceDE w:val="0"/>
        <w:autoSpaceDN w:val="0"/>
        <w:adjustRightInd w:val="0"/>
        <w:spacing w:before="240" w:after="240" w:line="384" w:lineRule="auto"/>
        <w:jc w:val="both"/>
        <w:rPr>
          <w:rFonts w:ascii="Times New Roman" w:hAnsi="Times New Roman" w:cs="Times New Roman"/>
          <w:b/>
          <w:color w:val="000000" w:themeColor="text1"/>
          <w:szCs w:val="24"/>
        </w:rPr>
      </w:pPr>
    </w:p>
    <w:p w14:paraId="02835235" w14:textId="4163A830" w:rsidR="000C013D" w:rsidRPr="00143B41" w:rsidRDefault="00B27805" w:rsidP="00444603">
      <w:pPr>
        <w:autoSpaceDE w:val="0"/>
        <w:autoSpaceDN w:val="0"/>
        <w:adjustRightInd w:val="0"/>
        <w:spacing w:before="240" w:after="240" w:line="384" w:lineRule="auto"/>
        <w:jc w:val="both"/>
        <w:rPr>
          <w:rFonts w:ascii="Times New Roman" w:hAnsi="Times New Roman" w:cs="Times New Roman"/>
          <w:b/>
          <w:color w:val="000000" w:themeColor="text1"/>
          <w:szCs w:val="24"/>
        </w:rPr>
      </w:pPr>
      <w:proofErr w:type="spellStart"/>
      <w:r>
        <w:rPr>
          <w:rFonts w:ascii="Times New Roman" w:hAnsi="Times New Roman" w:cs="Times New Roman"/>
          <w:b/>
          <w:color w:val="000000" w:themeColor="text1"/>
          <w:szCs w:val="24"/>
        </w:rPr>
        <w:t>S</w:t>
      </w:r>
      <w:r w:rsidR="000C013D" w:rsidRPr="00143B41">
        <w:rPr>
          <w:rFonts w:ascii="Times New Roman" w:hAnsi="Times New Roman" w:cs="Times New Roman"/>
          <w:b/>
          <w:color w:val="000000" w:themeColor="text1"/>
          <w:szCs w:val="24"/>
        </w:rPr>
        <w:t>Model</w:t>
      </w:r>
      <w:proofErr w:type="spellEnd"/>
      <w:r w:rsidR="000C013D" w:rsidRPr="00143B41">
        <w:rPr>
          <w:rFonts w:ascii="Times New Roman" w:hAnsi="Times New Roman" w:cs="Times New Roman"/>
          <w:b/>
          <w:color w:val="000000" w:themeColor="text1"/>
          <w:szCs w:val="24"/>
        </w:rPr>
        <w:t xml:space="preserve"> Interpretation of Price </w:t>
      </w:r>
      <w:proofErr w:type="spellStart"/>
      <w:r w:rsidR="000C013D" w:rsidRPr="00143B41">
        <w:rPr>
          <w:rFonts w:ascii="Times New Roman" w:hAnsi="Times New Roman" w:cs="Times New Roman"/>
          <w:b/>
          <w:color w:val="000000" w:themeColor="text1"/>
          <w:szCs w:val="24"/>
        </w:rPr>
        <w:t>Earning</w:t>
      </w:r>
      <w:proofErr w:type="spellEnd"/>
      <w:r w:rsidR="000C013D" w:rsidRPr="00143B41">
        <w:rPr>
          <w:rFonts w:ascii="Times New Roman" w:hAnsi="Times New Roman" w:cs="Times New Roman"/>
          <w:b/>
          <w:color w:val="000000" w:themeColor="text1"/>
          <w:szCs w:val="24"/>
        </w:rPr>
        <w:t xml:space="preserve"> ratio in relation to Market per share</w:t>
      </w:r>
    </w:p>
    <w:p w14:paraId="02F56D89"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y = </w:t>
      </w:r>
      <w:proofErr w:type="spellStart"/>
      <w:r w:rsidRPr="00143B41">
        <w:rPr>
          <w:rFonts w:ascii="Times New Roman" w:hAnsi="Times New Roman" w:cs="Times New Roman"/>
          <w:color w:val="000000" w:themeColor="text1"/>
          <w:szCs w:val="24"/>
        </w:rPr>
        <w:t>a+bx</w:t>
      </w:r>
      <w:proofErr w:type="spellEnd"/>
    </w:p>
    <w:p w14:paraId="1C77CFAE"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Price </w:t>
      </w:r>
      <w:proofErr w:type="spellStart"/>
      <w:r w:rsidRPr="00143B41">
        <w:rPr>
          <w:rFonts w:ascii="Times New Roman" w:hAnsi="Times New Roman" w:cs="Times New Roman"/>
          <w:color w:val="000000" w:themeColor="text1"/>
          <w:szCs w:val="24"/>
        </w:rPr>
        <w:t>Earning</w:t>
      </w:r>
      <w:proofErr w:type="spellEnd"/>
      <w:r w:rsidRPr="00143B41">
        <w:rPr>
          <w:rFonts w:ascii="Times New Roman" w:hAnsi="Times New Roman" w:cs="Times New Roman"/>
          <w:color w:val="000000" w:themeColor="text1"/>
          <w:szCs w:val="24"/>
        </w:rPr>
        <w:t xml:space="preserve"> ratio= constant + slope x  </w:t>
      </w:r>
    </w:p>
    <w:p w14:paraId="3B670572"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P/E ratio= 383.045+3.529 P/E ratio</w:t>
      </w:r>
    </w:p>
    <w:p w14:paraId="7A48C44C"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P-value = (0.281)    </w:t>
      </w:r>
    </w:p>
    <w:p w14:paraId="549F884D"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R =   .175             </w:t>
      </w:r>
      <w:r w:rsidRPr="00143B41">
        <w:rPr>
          <w:rFonts w:ascii="Times New Roman" w:hAnsi="Times New Roman" w:cs="Times New Roman"/>
          <w:color w:val="000000" w:themeColor="text1"/>
          <w:szCs w:val="24"/>
        </w:rPr>
        <w:tab/>
        <w:t>R</w:t>
      </w:r>
      <w:r w:rsidRPr="00143B41">
        <w:rPr>
          <w:rFonts w:ascii="Times New Roman" w:hAnsi="Times New Roman" w:cs="Times New Roman"/>
          <w:color w:val="000000" w:themeColor="text1"/>
          <w:szCs w:val="24"/>
          <w:vertAlign w:val="superscript"/>
        </w:rPr>
        <w:t>2</w:t>
      </w:r>
      <w:r w:rsidRPr="00143B41">
        <w:rPr>
          <w:rFonts w:ascii="Times New Roman" w:hAnsi="Times New Roman" w:cs="Times New Roman"/>
          <w:color w:val="000000" w:themeColor="text1"/>
          <w:szCs w:val="24"/>
        </w:rPr>
        <w:t xml:space="preserve"> = .031</w:t>
      </w:r>
    </w:p>
    <w:p w14:paraId="073CD302"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 w:val="24"/>
          <w:szCs w:val="24"/>
        </w:rPr>
        <w:t xml:space="preserve">The above regression equation states that one unit change in price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will leads share price of sample commercial bank to change with 3.529.</w:t>
      </w:r>
    </w:p>
    <w:p w14:paraId="4377AFD2" w14:textId="77777777" w:rsidR="000C013D" w:rsidRPr="005076A7"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5076A7">
        <w:rPr>
          <w:rFonts w:ascii="Times New Roman" w:hAnsi="Times New Roman" w:cs="Times New Roman"/>
          <w:color w:val="000000" w:themeColor="text1"/>
          <w:sz w:val="24"/>
          <w:szCs w:val="24"/>
        </w:rPr>
        <w:lastRenderedPageBreak/>
        <w:t>In the above equation the value of R</w:t>
      </w:r>
      <w:r w:rsidRPr="005076A7">
        <w:rPr>
          <w:rFonts w:ascii="Times New Roman" w:hAnsi="Times New Roman" w:cs="Times New Roman"/>
          <w:color w:val="000000" w:themeColor="text1"/>
          <w:sz w:val="24"/>
          <w:szCs w:val="24"/>
          <w:vertAlign w:val="superscript"/>
        </w:rPr>
        <w:t>2</w:t>
      </w:r>
      <w:r w:rsidRPr="005076A7">
        <w:rPr>
          <w:rFonts w:ascii="Times New Roman" w:hAnsi="Times New Roman" w:cs="Times New Roman"/>
          <w:color w:val="000000" w:themeColor="text1"/>
          <w:sz w:val="24"/>
          <w:szCs w:val="24"/>
        </w:rPr>
        <w:t xml:space="preserve"> is .031 which means that 3.1% variation in price </w:t>
      </w:r>
      <w:proofErr w:type="spellStart"/>
      <w:r w:rsidRPr="005076A7">
        <w:rPr>
          <w:rFonts w:ascii="Times New Roman" w:hAnsi="Times New Roman" w:cs="Times New Roman"/>
          <w:color w:val="000000" w:themeColor="text1"/>
          <w:sz w:val="24"/>
          <w:szCs w:val="24"/>
        </w:rPr>
        <w:t>earning</w:t>
      </w:r>
      <w:proofErr w:type="spellEnd"/>
      <w:r w:rsidRPr="005076A7">
        <w:rPr>
          <w:rFonts w:ascii="Times New Roman" w:hAnsi="Times New Roman" w:cs="Times New Roman"/>
          <w:color w:val="000000" w:themeColor="text1"/>
          <w:sz w:val="24"/>
          <w:szCs w:val="24"/>
        </w:rPr>
        <w:t xml:space="preserve"> ratio is explained by market per share.</w:t>
      </w:r>
    </w:p>
    <w:p w14:paraId="61A0D8B0" w14:textId="77777777" w:rsidR="000C013D" w:rsidRPr="00143B41" w:rsidRDefault="000C013D" w:rsidP="00444603">
      <w:pPr>
        <w:tabs>
          <w:tab w:val="left" w:pos="5497"/>
        </w:tabs>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t>4.3.5 Book Value Per Share and Market price per share</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02"/>
        <w:gridCol w:w="361"/>
        <w:gridCol w:w="1029"/>
        <w:gridCol w:w="475"/>
        <w:gridCol w:w="1134"/>
        <w:gridCol w:w="462"/>
        <w:gridCol w:w="645"/>
        <w:gridCol w:w="1525"/>
        <w:gridCol w:w="21"/>
        <w:gridCol w:w="1086"/>
        <w:gridCol w:w="1105"/>
      </w:tblGrid>
      <w:tr w:rsidR="000C013D" w:rsidRPr="00143B41" w14:paraId="5D4826EF" w14:textId="77777777" w:rsidTr="00774ED3">
        <w:trPr>
          <w:cantSplit/>
          <w:trHeight w:val="960"/>
        </w:trPr>
        <w:tc>
          <w:tcPr>
            <w:tcW w:w="5000" w:type="pct"/>
            <w:gridSpan w:val="11"/>
            <w:tcBorders>
              <w:top w:val="nil"/>
              <w:left w:val="nil"/>
              <w:bottom w:val="single" w:sz="4" w:space="0" w:color="auto"/>
              <w:right w:val="nil"/>
            </w:tcBorders>
            <w:shd w:val="clear" w:color="auto" w:fill="FFFFFF"/>
          </w:tcPr>
          <w:p w14:paraId="72A5CA20" w14:textId="5A27C8F5" w:rsidR="000C013D" w:rsidRPr="00641EFF" w:rsidRDefault="000C013D" w:rsidP="00286684">
            <w:pPr>
              <w:autoSpaceDE w:val="0"/>
              <w:autoSpaceDN w:val="0"/>
              <w:adjustRightInd w:val="0"/>
              <w:spacing w:after="0" w:line="320" w:lineRule="atLeast"/>
              <w:ind w:right="60"/>
              <w:rPr>
                <w:rFonts w:ascii="Times New Roman" w:hAnsi="Times New Roman" w:cs="Times New Roman"/>
                <w:b/>
                <w:bCs/>
                <w:color w:val="000000"/>
                <w:sz w:val="24"/>
                <w:szCs w:val="24"/>
              </w:rPr>
            </w:pPr>
          </w:p>
        </w:tc>
      </w:tr>
      <w:tr w:rsidR="00774ED3" w:rsidRPr="00143B41" w14:paraId="0CB490DA" w14:textId="77777777" w:rsidTr="00774ED3">
        <w:trPr>
          <w:cantSplit/>
          <w:trHeight w:val="326"/>
        </w:trPr>
        <w:tc>
          <w:tcPr>
            <w:tcW w:w="5000" w:type="pct"/>
            <w:gridSpan w:val="11"/>
            <w:tcBorders>
              <w:top w:val="single" w:sz="4" w:space="0" w:color="auto"/>
              <w:left w:val="single" w:sz="4" w:space="0" w:color="auto"/>
              <w:right w:val="single" w:sz="4" w:space="0" w:color="auto"/>
            </w:tcBorders>
            <w:shd w:val="clear" w:color="auto" w:fill="FFFFFF"/>
            <w:vAlign w:val="bottom"/>
          </w:tcPr>
          <w:p w14:paraId="0A2D737F" w14:textId="65BFF421" w:rsidR="00774ED3" w:rsidRPr="00CA6024" w:rsidRDefault="00774ED3" w:rsidP="00774ED3">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r w:rsidRPr="00774ED3">
              <w:rPr>
                <w:rFonts w:ascii="Times New Roman" w:hAnsi="Times New Roman" w:cs="Times New Roman"/>
                <w:b/>
                <w:bCs/>
                <w:color w:val="000000"/>
                <w:sz w:val="24"/>
                <w:szCs w:val="24"/>
              </w:rPr>
              <w:t>Model Summary</w:t>
            </w:r>
          </w:p>
        </w:tc>
      </w:tr>
      <w:tr w:rsidR="000C013D" w:rsidRPr="00143B41" w14:paraId="39310242" w14:textId="77777777" w:rsidTr="00CA6024">
        <w:trPr>
          <w:cantSplit/>
        </w:trPr>
        <w:tc>
          <w:tcPr>
            <w:tcW w:w="673" w:type="pct"/>
            <w:gridSpan w:val="2"/>
            <w:shd w:val="clear" w:color="auto" w:fill="FFFFFF"/>
          </w:tcPr>
          <w:p w14:paraId="340A7BA9" w14:textId="77777777" w:rsidR="000C013D" w:rsidRPr="000A712A" w:rsidRDefault="000C013D" w:rsidP="000A712A">
            <w:pPr>
              <w:autoSpaceDE w:val="0"/>
              <w:autoSpaceDN w:val="0"/>
              <w:adjustRightInd w:val="0"/>
              <w:spacing w:after="0" w:line="320" w:lineRule="atLeast"/>
              <w:ind w:left="60" w:right="60"/>
              <w:rPr>
                <w:rFonts w:ascii="Times New Roman" w:hAnsi="Times New Roman" w:cs="Times New Roman"/>
                <w:color w:val="000000"/>
                <w:sz w:val="24"/>
                <w:szCs w:val="24"/>
              </w:rPr>
            </w:pPr>
            <w:r w:rsidRPr="000A712A">
              <w:rPr>
                <w:rFonts w:ascii="Times New Roman" w:hAnsi="Times New Roman" w:cs="Times New Roman"/>
                <w:color w:val="000000"/>
                <w:sz w:val="24"/>
                <w:szCs w:val="24"/>
              </w:rPr>
              <w:t>Model</w:t>
            </w:r>
          </w:p>
        </w:tc>
        <w:tc>
          <w:tcPr>
            <w:tcW w:w="870" w:type="pct"/>
            <w:gridSpan w:val="2"/>
            <w:shd w:val="clear" w:color="auto" w:fill="FFFFFF"/>
          </w:tcPr>
          <w:p w14:paraId="1136DE43" w14:textId="77777777" w:rsidR="000C013D" w:rsidRPr="000A712A" w:rsidRDefault="000C013D" w:rsidP="000A712A">
            <w:pPr>
              <w:autoSpaceDE w:val="0"/>
              <w:autoSpaceDN w:val="0"/>
              <w:adjustRightInd w:val="0"/>
              <w:spacing w:after="0" w:line="320" w:lineRule="atLeast"/>
              <w:ind w:left="60" w:right="60"/>
              <w:rPr>
                <w:rFonts w:ascii="Times New Roman" w:hAnsi="Times New Roman" w:cs="Times New Roman"/>
                <w:color w:val="000000"/>
                <w:sz w:val="24"/>
                <w:szCs w:val="24"/>
              </w:rPr>
            </w:pPr>
            <w:r w:rsidRPr="000A712A">
              <w:rPr>
                <w:rFonts w:ascii="Times New Roman" w:hAnsi="Times New Roman" w:cs="Times New Roman"/>
                <w:color w:val="000000"/>
                <w:sz w:val="24"/>
                <w:szCs w:val="24"/>
              </w:rPr>
              <w:t>R</w:t>
            </w:r>
          </w:p>
        </w:tc>
        <w:tc>
          <w:tcPr>
            <w:tcW w:w="923" w:type="pct"/>
            <w:gridSpan w:val="2"/>
            <w:shd w:val="clear" w:color="auto" w:fill="FFFFFF"/>
          </w:tcPr>
          <w:p w14:paraId="00F957FB" w14:textId="77777777" w:rsidR="000C013D" w:rsidRPr="000A712A" w:rsidRDefault="000C013D" w:rsidP="000A712A">
            <w:pPr>
              <w:autoSpaceDE w:val="0"/>
              <w:autoSpaceDN w:val="0"/>
              <w:adjustRightInd w:val="0"/>
              <w:spacing w:after="0" w:line="320" w:lineRule="atLeast"/>
              <w:ind w:left="60" w:right="60"/>
              <w:rPr>
                <w:rFonts w:ascii="Times New Roman" w:hAnsi="Times New Roman" w:cs="Times New Roman"/>
                <w:color w:val="000000"/>
                <w:sz w:val="24"/>
                <w:szCs w:val="24"/>
              </w:rPr>
            </w:pPr>
            <w:r w:rsidRPr="000A712A">
              <w:rPr>
                <w:rFonts w:ascii="Times New Roman" w:hAnsi="Times New Roman" w:cs="Times New Roman"/>
                <w:color w:val="000000"/>
                <w:sz w:val="24"/>
                <w:szCs w:val="24"/>
              </w:rPr>
              <w:t>R Square</w:t>
            </w:r>
          </w:p>
        </w:tc>
        <w:tc>
          <w:tcPr>
            <w:tcW w:w="1267" w:type="pct"/>
            <w:gridSpan w:val="3"/>
            <w:shd w:val="clear" w:color="auto" w:fill="FFFFFF"/>
          </w:tcPr>
          <w:p w14:paraId="78B0EF07" w14:textId="77777777" w:rsidR="000C013D" w:rsidRPr="000A712A" w:rsidRDefault="000C013D" w:rsidP="000A712A">
            <w:pPr>
              <w:autoSpaceDE w:val="0"/>
              <w:autoSpaceDN w:val="0"/>
              <w:adjustRightInd w:val="0"/>
              <w:spacing w:after="0" w:line="320" w:lineRule="atLeast"/>
              <w:ind w:left="60" w:right="60"/>
              <w:rPr>
                <w:rFonts w:ascii="Times New Roman" w:hAnsi="Times New Roman" w:cs="Times New Roman"/>
                <w:color w:val="000000"/>
                <w:sz w:val="24"/>
                <w:szCs w:val="24"/>
              </w:rPr>
            </w:pPr>
            <w:r w:rsidRPr="000A712A">
              <w:rPr>
                <w:rFonts w:ascii="Times New Roman" w:hAnsi="Times New Roman" w:cs="Times New Roman"/>
                <w:color w:val="000000"/>
                <w:sz w:val="24"/>
                <w:szCs w:val="24"/>
              </w:rPr>
              <w:t>Adjusted R Square</w:t>
            </w:r>
          </w:p>
        </w:tc>
        <w:tc>
          <w:tcPr>
            <w:tcW w:w="1267" w:type="pct"/>
            <w:gridSpan w:val="2"/>
            <w:shd w:val="clear" w:color="auto" w:fill="FFFFFF"/>
          </w:tcPr>
          <w:p w14:paraId="36CEDE40" w14:textId="77777777" w:rsidR="000C013D" w:rsidRPr="000A712A" w:rsidRDefault="000C013D" w:rsidP="000A712A">
            <w:pPr>
              <w:autoSpaceDE w:val="0"/>
              <w:autoSpaceDN w:val="0"/>
              <w:adjustRightInd w:val="0"/>
              <w:spacing w:after="0" w:line="320" w:lineRule="atLeast"/>
              <w:ind w:left="60" w:right="60"/>
              <w:rPr>
                <w:rFonts w:ascii="Times New Roman" w:hAnsi="Times New Roman" w:cs="Times New Roman"/>
                <w:color w:val="000000"/>
                <w:sz w:val="24"/>
                <w:szCs w:val="24"/>
              </w:rPr>
            </w:pPr>
            <w:r w:rsidRPr="000A712A">
              <w:rPr>
                <w:rFonts w:ascii="Times New Roman" w:hAnsi="Times New Roman" w:cs="Times New Roman"/>
                <w:color w:val="000000"/>
                <w:sz w:val="24"/>
                <w:szCs w:val="24"/>
              </w:rPr>
              <w:t>Std. Error of the Estimate</w:t>
            </w:r>
          </w:p>
        </w:tc>
      </w:tr>
      <w:tr w:rsidR="000C013D" w:rsidRPr="00143B41" w14:paraId="4ECB4E8D" w14:textId="77777777" w:rsidTr="00CA6024">
        <w:trPr>
          <w:cantSplit/>
        </w:trPr>
        <w:tc>
          <w:tcPr>
            <w:tcW w:w="673" w:type="pct"/>
            <w:gridSpan w:val="2"/>
            <w:shd w:val="clear" w:color="auto" w:fill="FFFFFF"/>
            <w:vAlign w:val="center"/>
          </w:tcPr>
          <w:p w14:paraId="283082FB" w14:textId="77777777" w:rsidR="000C013D" w:rsidRPr="000A712A" w:rsidRDefault="000C013D" w:rsidP="000A712A">
            <w:pPr>
              <w:autoSpaceDE w:val="0"/>
              <w:autoSpaceDN w:val="0"/>
              <w:adjustRightInd w:val="0"/>
              <w:spacing w:after="0" w:line="320" w:lineRule="atLeast"/>
              <w:ind w:left="60" w:right="60"/>
              <w:rPr>
                <w:rFonts w:ascii="Times New Roman" w:hAnsi="Times New Roman" w:cs="Times New Roman"/>
                <w:color w:val="000000"/>
                <w:sz w:val="24"/>
                <w:szCs w:val="24"/>
              </w:rPr>
            </w:pPr>
            <w:r w:rsidRPr="000A712A">
              <w:rPr>
                <w:rFonts w:ascii="Times New Roman" w:hAnsi="Times New Roman" w:cs="Times New Roman"/>
                <w:color w:val="000000"/>
                <w:sz w:val="24"/>
                <w:szCs w:val="24"/>
              </w:rPr>
              <w:t>1</w:t>
            </w:r>
          </w:p>
        </w:tc>
        <w:tc>
          <w:tcPr>
            <w:tcW w:w="870" w:type="pct"/>
            <w:gridSpan w:val="2"/>
            <w:shd w:val="clear" w:color="auto" w:fill="FFFFFF"/>
            <w:vAlign w:val="center"/>
          </w:tcPr>
          <w:p w14:paraId="681DAB53" w14:textId="242C4B67" w:rsidR="000C013D" w:rsidRPr="000A712A" w:rsidRDefault="000A712A" w:rsidP="000A712A">
            <w:pPr>
              <w:autoSpaceDE w:val="0"/>
              <w:autoSpaceDN w:val="0"/>
              <w:adjustRightInd w:val="0"/>
              <w:spacing w:after="0" w:line="320" w:lineRule="atLeast"/>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0C013D" w:rsidRPr="000A712A">
              <w:rPr>
                <w:rFonts w:ascii="Times New Roman" w:hAnsi="Times New Roman" w:cs="Times New Roman"/>
                <w:color w:val="000000"/>
                <w:sz w:val="24"/>
                <w:szCs w:val="24"/>
              </w:rPr>
              <w:t>.332a</w:t>
            </w:r>
          </w:p>
        </w:tc>
        <w:tc>
          <w:tcPr>
            <w:tcW w:w="923" w:type="pct"/>
            <w:gridSpan w:val="2"/>
            <w:shd w:val="clear" w:color="auto" w:fill="FFFFFF"/>
            <w:vAlign w:val="center"/>
          </w:tcPr>
          <w:p w14:paraId="55428EAE" w14:textId="4F7FA796" w:rsidR="000C013D" w:rsidRPr="000A712A" w:rsidRDefault="000A712A" w:rsidP="000A712A">
            <w:pPr>
              <w:autoSpaceDE w:val="0"/>
              <w:autoSpaceDN w:val="0"/>
              <w:adjustRightInd w:val="0"/>
              <w:spacing w:after="0" w:line="320" w:lineRule="atLeast"/>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0C013D" w:rsidRPr="000A712A">
              <w:rPr>
                <w:rFonts w:ascii="Times New Roman" w:hAnsi="Times New Roman" w:cs="Times New Roman"/>
                <w:color w:val="000000"/>
                <w:sz w:val="24"/>
                <w:szCs w:val="24"/>
              </w:rPr>
              <w:t>.110</w:t>
            </w:r>
          </w:p>
        </w:tc>
        <w:tc>
          <w:tcPr>
            <w:tcW w:w="1267" w:type="pct"/>
            <w:gridSpan w:val="3"/>
            <w:shd w:val="clear" w:color="auto" w:fill="FFFFFF"/>
            <w:vAlign w:val="center"/>
          </w:tcPr>
          <w:p w14:paraId="756888E4" w14:textId="39B526B2" w:rsidR="000C013D" w:rsidRPr="000A712A" w:rsidRDefault="000A712A" w:rsidP="000A712A">
            <w:pPr>
              <w:autoSpaceDE w:val="0"/>
              <w:autoSpaceDN w:val="0"/>
              <w:adjustRightInd w:val="0"/>
              <w:spacing w:after="0" w:line="320" w:lineRule="atLeast"/>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0C013D" w:rsidRPr="000A712A">
              <w:rPr>
                <w:rFonts w:ascii="Times New Roman" w:hAnsi="Times New Roman" w:cs="Times New Roman"/>
                <w:color w:val="000000"/>
                <w:sz w:val="24"/>
                <w:szCs w:val="24"/>
              </w:rPr>
              <w:t>.087</w:t>
            </w:r>
          </w:p>
        </w:tc>
        <w:tc>
          <w:tcPr>
            <w:tcW w:w="1267" w:type="pct"/>
            <w:gridSpan w:val="2"/>
            <w:shd w:val="clear" w:color="auto" w:fill="FFFFFF"/>
            <w:vAlign w:val="center"/>
          </w:tcPr>
          <w:p w14:paraId="4658914F" w14:textId="07001097" w:rsidR="000C013D" w:rsidRPr="000A712A" w:rsidRDefault="000A712A" w:rsidP="000A712A">
            <w:pPr>
              <w:autoSpaceDE w:val="0"/>
              <w:autoSpaceDN w:val="0"/>
              <w:adjustRightInd w:val="0"/>
              <w:spacing w:after="0" w:line="320" w:lineRule="atLeast"/>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0C013D" w:rsidRPr="000A712A">
              <w:rPr>
                <w:rFonts w:ascii="Times New Roman" w:hAnsi="Times New Roman" w:cs="Times New Roman"/>
                <w:color w:val="000000"/>
                <w:sz w:val="24"/>
                <w:szCs w:val="24"/>
              </w:rPr>
              <w:t>218.49797</w:t>
            </w:r>
          </w:p>
        </w:tc>
      </w:tr>
      <w:tr w:rsidR="000328D2" w:rsidRPr="00143B41" w14:paraId="6D568716" w14:textId="77777777" w:rsidTr="00CA6024">
        <w:trPr>
          <w:cantSplit/>
        </w:trPr>
        <w:tc>
          <w:tcPr>
            <w:tcW w:w="5000" w:type="pct"/>
            <w:gridSpan w:val="11"/>
            <w:tcBorders>
              <w:bottom w:val="single" w:sz="4" w:space="0" w:color="auto"/>
            </w:tcBorders>
            <w:shd w:val="clear" w:color="auto" w:fill="FFFFFF"/>
          </w:tcPr>
          <w:p w14:paraId="3A5BC30C" w14:textId="709E50B0" w:rsidR="000328D2" w:rsidRPr="000A712A" w:rsidRDefault="000A712A" w:rsidP="000A712A">
            <w:pPr>
              <w:autoSpaceDE w:val="0"/>
              <w:autoSpaceDN w:val="0"/>
              <w:adjustRightInd w:val="0"/>
              <w:spacing w:after="0" w:line="320" w:lineRule="atLeast"/>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xml:space="preserve">a. </w:t>
            </w:r>
            <w:r w:rsidR="00482F00" w:rsidRPr="000A712A">
              <w:rPr>
                <w:rFonts w:ascii="Times New Roman" w:hAnsi="Times New Roman" w:cs="Times New Roman"/>
                <w:color w:val="000000"/>
                <w:sz w:val="24"/>
                <w:szCs w:val="24"/>
              </w:rPr>
              <w:t>Predictors: (Constant), Book Value per share</w:t>
            </w:r>
          </w:p>
        </w:tc>
      </w:tr>
      <w:tr w:rsidR="000C013D" w:rsidRPr="00641EFF" w14:paraId="7F95F08F" w14:textId="77777777" w:rsidTr="00A347A8">
        <w:trPr>
          <w:cantSplit/>
          <w:trHeight w:val="1770"/>
        </w:trPr>
        <w:tc>
          <w:tcPr>
            <w:tcW w:w="5000" w:type="pct"/>
            <w:gridSpan w:val="11"/>
            <w:tcBorders>
              <w:top w:val="single" w:sz="4" w:space="0" w:color="auto"/>
              <w:left w:val="nil"/>
              <w:bottom w:val="single" w:sz="4" w:space="0" w:color="auto"/>
              <w:right w:val="nil"/>
            </w:tcBorders>
            <w:shd w:val="clear" w:color="auto" w:fill="FFFFFF"/>
          </w:tcPr>
          <w:p w14:paraId="3E5936BE" w14:textId="65017EA9" w:rsidR="000C013D" w:rsidRPr="00641EFF" w:rsidRDefault="000C013D" w:rsidP="00B964F8">
            <w:pPr>
              <w:autoSpaceDE w:val="0"/>
              <w:autoSpaceDN w:val="0"/>
              <w:adjustRightInd w:val="0"/>
              <w:spacing w:after="0" w:line="320" w:lineRule="atLeast"/>
              <w:ind w:right="60"/>
              <w:rPr>
                <w:rFonts w:ascii="Times New Roman" w:hAnsi="Times New Roman" w:cs="Times New Roman"/>
                <w:b/>
                <w:bCs/>
                <w:color w:val="000000"/>
                <w:sz w:val="24"/>
                <w:szCs w:val="24"/>
              </w:rPr>
            </w:pPr>
          </w:p>
        </w:tc>
      </w:tr>
      <w:tr w:rsidR="00A347A8" w:rsidRPr="00641EFF" w14:paraId="0A2C1635" w14:textId="77777777" w:rsidTr="00A347A8">
        <w:trPr>
          <w:cantSplit/>
          <w:trHeight w:val="250"/>
        </w:trPr>
        <w:tc>
          <w:tcPr>
            <w:tcW w:w="5000" w:type="pct"/>
            <w:gridSpan w:val="11"/>
            <w:tcBorders>
              <w:top w:val="single" w:sz="4" w:space="0" w:color="auto"/>
              <w:left w:val="single" w:sz="4" w:space="0" w:color="auto"/>
              <w:right w:val="single" w:sz="4" w:space="0" w:color="auto"/>
            </w:tcBorders>
            <w:shd w:val="clear" w:color="auto" w:fill="FFFFFF"/>
            <w:vAlign w:val="bottom"/>
          </w:tcPr>
          <w:p w14:paraId="17008647" w14:textId="41818093" w:rsidR="00A347A8" w:rsidRDefault="00A347A8" w:rsidP="00A347A8">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roofErr w:type="spellStart"/>
            <w:r w:rsidRPr="00A347A8">
              <w:rPr>
                <w:rFonts w:ascii="Times New Roman" w:hAnsi="Times New Roman" w:cs="Times New Roman"/>
                <w:b/>
                <w:bCs/>
                <w:color w:val="000000"/>
                <w:sz w:val="24"/>
                <w:szCs w:val="24"/>
              </w:rPr>
              <w:t>ANOVA</w:t>
            </w:r>
            <w:r w:rsidRPr="00A347A8">
              <w:rPr>
                <w:rFonts w:ascii="Times New Roman" w:hAnsi="Times New Roman" w:cs="Times New Roman"/>
                <w:b/>
                <w:bCs/>
                <w:color w:val="000000"/>
                <w:sz w:val="24"/>
                <w:szCs w:val="24"/>
                <w:vertAlign w:val="superscript"/>
              </w:rPr>
              <w:t>a</w:t>
            </w:r>
            <w:proofErr w:type="spellEnd"/>
          </w:p>
        </w:tc>
      </w:tr>
      <w:tr w:rsidR="000C013D" w:rsidRPr="00641EFF" w14:paraId="0D0FF118" w14:textId="77777777" w:rsidTr="00CA6024">
        <w:trPr>
          <w:cantSplit/>
        </w:trPr>
        <w:tc>
          <w:tcPr>
            <w:tcW w:w="1268" w:type="pct"/>
            <w:gridSpan w:val="3"/>
            <w:shd w:val="clear" w:color="auto" w:fill="FFFFFF"/>
          </w:tcPr>
          <w:p w14:paraId="363AA07A"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Model</w:t>
            </w:r>
          </w:p>
        </w:tc>
        <w:tc>
          <w:tcPr>
            <w:tcW w:w="931" w:type="pct"/>
            <w:gridSpan w:val="2"/>
            <w:shd w:val="clear" w:color="auto" w:fill="FFFFFF"/>
          </w:tcPr>
          <w:p w14:paraId="022B2BFC"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Sum of Squares</w:t>
            </w:r>
          </w:p>
        </w:tc>
        <w:tc>
          <w:tcPr>
            <w:tcW w:w="640" w:type="pct"/>
            <w:gridSpan w:val="2"/>
            <w:shd w:val="clear" w:color="auto" w:fill="FFFFFF"/>
          </w:tcPr>
          <w:p w14:paraId="4D4316D9"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df</w:t>
            </w:r>
          </w:p>
        </w:tc>
        <w:tc>
          <w:tcPr>
            <w:tcW w:w="882" w:type="pct"/>
            <w:shd w:val="clear" w:color="auto" w:fill="FFFFFF"/>
          </w:tcPr>
          <w:p w14:paraId="21D0546F"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Mean Square</w:t>
            </w:r>
          </w:p>
        </w:tc>
        <w:tc>
          <w:tcPr>
            <w:tcW w:w="640" w:type="pct"/>
            <w:gridSpan w:val="2"/>
            <w:shd w:val="clear" w:color="auto" w:fill="FFFFFF"/>
          </w:tcPr>
          <w:p w14:paraId="5043E962"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F</w:t>
            </w:r>
          </w:p>
        </w:tc>
        <w:tc>
          <w:tcPr>
            <w:tcW w:w="639" w:type="pct"/>
            <w:shd w:val="clear" w:color="auto" w:fill="FFFFFF"/>
          </w:tcPr>
          <w:p w14:paraId="585D443E"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Sig.</w:t>
            </w:r>
          </w:p>
        </w:tc>
      </w:tr>
      <w:tr w:rsidR="000C013D" w:rsidRPr="00641EFF" w14:paraId="66A58858" w14:textId="77777777" w:rsidTr="00CA6024">
        <w:trPr>
          <w:cantSplit/>
        </w:trPr>
        <w:tc>
          <w:tcPr>
            <w:tcW w:w="464" w:type="pct"/>
            <w:vMerge w:val="restart"/>
            <w:shd w:val="clear" w:color="auto" w:fill="FFFFFF"/>
            <w:vAlign w:val="center"/>
          </w:tcPr>
          <w:p w14:paraId="37A0CEC8"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1</w:t>
            </w:r>
          </w:p>
        </w:tc>
        <w:tc>
          <w:tcPr>
            <w:tcW w:w="804" w:type="pct"/>
            <w:gridSpan w:val="2"/>
            <w:shd w:val="clear" w:color="auto" w:fill="FFFFFF"/>
            <w:vAlign w:val="center"/>
          </w:tcPr>
          <w:p w14:paraId="2F2996D0"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Regression</w:t>
            </w:r>
          </w:p>
        </w:tc>
        <w:tc>
          <w:tcPr>
            <w:tcW w:w="931" w:type="pct"/>
            <w:gridSpan w:val="2"/>
            <w:shd w:val="clear" w:color="auto" w:fill="FFFFFF"/>
            <w:vAlign w:val="center"/>
          </w:tcPr>
          <w:p w14:paraId="698B8054"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225223.244</w:t>
            </w:r>
          </w:p>
        </w:tc>
        <w:tc>
          <w:tcPr>
            <w:tcW w:w="640" w:type="pct"/>
            <w:gridSpan w:val="2"/>
            <w:shd w:val="clear" w:color="auto" w:fill="FFFFFF"/>
            <w:vAlign w:val="center"/>
          </w:tcPr>
          <w:p w14:paraId="27C6FD65"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1</w:t>
            </w:r>
          </w:p>
        </w:tc>
        <w:tc>
          <w:tcPr>
            <w:tcW w:w="882" w:type="pct"/>
            <w:shd w:val="clear" w:color="auto" w:fill="FFFFFF"/>
            <w:vAlign w:val="center"/>
          </w:tcPr>
          <w:p w14:paraId="17F3CE3B"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225223.244</w:t>
            </w:r>
          </w:p>
        </w:tc>
        <w:tc>
          <w:tcPr>
            <w:tcW w:w="640" w:type="pct"/>
            <w:gridSpan w:val="2"/>
            <w:shd w:val="clear" w:color="auto" w:fill="FFFFFF"/>
            <w:vAlign w:val="center"/>
          </w:tcPr>
          <w:p w14:paraId="7F3B6C4B"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4.718</w:t>
            </w:r>
          </w:p>
        </w:tc>
        <w:tc>
          <w:tcPr>
            <w:tcW w:w="639" w:type="pct"/>
            <w:shd w:val="clear" w:color="auto" w:fill="FFFFFF"/>
            <w:vAlign w:val="center"/>
          </w:tcPr>
          <w:p w14:paraId="25B688A9"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.036b</w:t>
            </w:r>
          </w:p>
        </w:tc>
      </w:tr>
      <w:tr w:rsidR="000C013D" w:rsidRPr="00641EFF" w14:paraId="3039669A" w14:textId="77777777" w:rsidTr="00CA6024">
        <w:trPr>
          <w:cantSplit/>
        </w:trPr>
        <w:tc>
          <w:tcPr>
            <w:tcW w:w="464" w:type="pct"/>
            <w:vMerge/>
            <w:shd w:val="clear" w:color="auto" w:fill="FFFFFF"/>
            <w:vAlign w:val="center"/>
          </w:tcPr>
          <w:p w14:paraId="776C86B6"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gridSpan w:val="2"/>
            <w:shd w:val="clear" w:color="auto" w:fill="FFFFFF"/>
            <w:vAlign w:val="center"/>
          </w:tcPr>
          <w:p w14:paraId="1978DFCB"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Residual</w:t>
            </w:r>
          </w:p>
        </w:tc>
        <w:tc>
          <w:tcPr>
            <w:tcW w:w="931" w:type="pct"/>
            <w:gridSpan w:val="2"/>
            <w:shd w:val="clear" w:color="auto" w:fill="FFFFFF"/>
            <w:vAlign w:val="center"/>
          </w:tcPr>
          <w:p w14:paraId="4D2E22F8"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1814171.856</w:t>
            </w:r>
          </w:p>
        </w:tc>
        <w:tc>
          <w:tcPr>
            <w:tcW w:w="640" w:type="pct"/>
            <w:gridSpan w:val="2"/>
            <w:shd w:val="clear" w:color="auto" w:fill="FFFFFF"/>
            <w:vAlign w:val="center"/>
          </w:tcPr>
          <w:p w14:paraId="7E007515"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38</w:t>
            </w:r>
          </w:p>
        </w:tc>
        <w:tc>
          <w:tcPr>
            <w:tcW w:w="882" w:type="pct"/>
            <w:shd w:val="clear" w:color="auto" w:fill="FFFFFF"/>
            <w:vAlign w:val="center"/>
          </w:tcPr>
          <w:p w14:paraId="7298A388"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47741.365</w:t>
            </w:r>
          </w:p>
        </w:tc>
        <w:tc>
          <w:tcPr>
            <w:tcW w:w="640" w:type="pct"/>
            <w:gridSpan w:val="2"/>
            <w:shd w:val="clear" w:color="auto" w:fill="FFFFFF"/>
          </w:tcPr>
          <w:p w14:paraId="64C690D0"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30AE77DF"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641EFF" w14:paraId="132C3B11" w14:textId="77777777" w:rsidTr="00CA6024">
        <w:trPr>
          <w:cantSplit/>
        </w:trPr>
        <w:tc>
          <w:tcPr>
            <w:tcW w:w="464" w:type="pct"/>
            <w:vMerge/>
            <w:shd w:val="clear" w:color="auto" w:fill="FFFFFF"/>
            <w:vAlign w:val="center"/>
          </w:tcPr>
          <w:p w14:paraId="2521EB74"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804" w:type="pct"/>
            <w:gridSpan w:val="2"/>
            <w:shd w:val="clear" w:color="auto" w:fill="FFFFFF"/>
            <w:vAlign w:val="center"/>
          </w:tcPr>
          <w:p w14:paraId="21527BE3"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Total</w:t>
            </w:r>
          </w:p>
        </w:tc>
        <w:tc>
          <w:tcPr>
            <w:tcW w:w="931" w:type="pct"/>
            <w:gridSpan w:val="2"/>
            <w:shd w:val="clear" w:color="auto" w:fill="FFFFFF"/>
            <w:vAlign w:val="center"/>
          </w:tcPr>
          <w:p w14:paraId="74677686"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2039395.100</w:t>
            </w:r>
          </w:p>
        </w:tc>
        <w:tc>
          <w:tcPr>
            <w:tcW w:w="640" w:type="pct"/>
            <w:gridSpan w:val="2"/>
            <w:shd w:val="clear" w:color="auto" w:fill="FFFFFF"/>
            <w:vAlign w:val="center"/>
          </w:tcPr>
          <w:p w14:paraId="403AE253"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641EFF">
              <w:rPr>
                <w:rFonts w:ascii="Times New Roman" w:hAnsi="Times New Roman" w:cs="Times New Roman"/>
                <w:color w:val="000000"/>
                <w:sz w:val="24"/>
                <w:szCs w:val="24"/>
              </w:rPr>
              <w:t>39</w:t>
            </w:r>
          </w:p>
        </w:tc>
        <w:tc>
          <w:tcPr>
            <w:tcW w:w="882" w:type="pct"/>
            <w:shd w:val="clear" w:color="auto" w:fill="FFFFFF"/>
          </w:tcPr>
          <w:p w14:paraId="2E095681"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40" w:type="pct"/>
            <w:gridSpan w:val="2"/>
            <w:shd w:val="clear" w:color="auto" w:fill="FFFFFF"/>
          </w:tcPr>
          <w:p w14:paraId="3748703A"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639" w:type="pct"/>
            <w:shd w:val="clear" w:color="auto" w:fill="FFFFFF"/>
          </w:tcPr>
          <w:p w14:paraId="710620FB" w14:textId="77777777" w:rsidR="000C013D" w:rsidRPr="00641EFF" w:rsidRDefault="000C013D" w:rsidP="00641EFF">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641EFF" w14:paraId="6E3903FE" w14:textId="77777777" w:rsidTr="00CA6024">
        <w:trPr>
          <w:cantSplit/>
        </w:trPr>
        <w:tc>
          <w:tcPr>
            <w:tcW w:w="5000" w:type="pct"/>
            <w:gridSpan w:val="11"/>
            <w:shd w:val="clear" w:color="auto" w:fill="FFFFFF"/>
          </w:tcPr>
          <w:p w14:paraId="22E2B4A6" w14:textId="77777777" w:rsidR="000C013D" w:rsidRPr="00641EFF" w:rsidRDefault="000C013D" w:rsidP="00641EFF">
            <w:pPr>
              <w:autoSpaceDE w:val="0"/>
              <w:autoSpaceDN w:val="0"/>
              <w:adjustRightInd w:val="0"/>
              <w:spacing w:after="0" w:line="320" w:lineRule="atLeast"/>
              <w:ind w:left="60" w:right="60"/>
              <w:rPr>
                <w:rFonts w:ascii="Times New Roman" w:hAnsi="Times New Roman" w:cs="Times New Roman"/>
                <w:color w:val="000000"/>
                <w:sz w:val="24"/>
                <w:szCs w:val="24"/>
              </w:rPr>
            </w:pPr>
            <w:r w:rsidRPr="00641EFF">
              <w:rPr>
                <w:rFonts w:ascii="Times New Roman" w:hAnsi="Times New Roman" w:cs="Times New Roman"/>
                <w:color w:val="000000"/>
                <w:sz w:val="24"/>
                <w:szCs w:val="24"/>
              </w:rPr>
              <w:t>a. Dependent Variable: Market Per Share</w:t>
            </w:r>
          </w:p>
        </w:tc>
      </w:tr>
      <w:tr w:rsidR="000C013D" w:rsidRPr="00641EFF" w14:paraId="6C8B2D28" w14:textId="77777777" w:rsidTr="00CA6024">
        <w:trPr>
          <w:cantSplit/>
        </w:trPr>
        <w:tc>
          <w:tcPr>
            <w:tcW w:w="5000" w:type="pct"/>
            <w:gridSpan w:val="11"/>
            <w:shd w:val="clear" w:color="auto" w:fill="FFFFFF"/>
          </w:tcPr>
          <w:p w14:paraId="1C5B1040" w14:textId="77777777" w:rsidR="000C013D" w:rsidRPr="00641EFF" w:rsidRDefault="000C013D" w:rsidP="00641EFF">
            <w:pPr>
              <w:autoSpaceDE w:val="0"/>
              <w:autoSpaceDN w:val="0"/>
              <w:adjustRightInd w:val="0"/>
              <w:spacing w:after="0" w:line="320" w:lineRule="atLeast"/>
              <w:ind w:left="60" w:right="60"/>
              <w:rPr>
                <w:rFonts w:ascii="Times New Roman" w:hAnsi="Times New Roman" w:cs="Times New Roman"/>
                <w:color w:val="000000"/>
                <w:sz w:val="24"/>
                <w:szCs w:val="24"/>
              </w:rPr>
            </w:pPr>
            <w:r w:rsidRPr="00641EFF">
              <w:rPr>
                <w:rFonts w:ascii="Times New Roman" w:hAnsi="Times New Roman" w:cs="Times New Roman"/>
                <w:color w:val="000000"/>
                <w:sz w:val="24"/>
                <w:szCs w:val="24"/>
              </w:rPr>
              <w:t>b. Predictors: (Constant), Book Value Per Share</w:t>
            </w:r>
          </w:p>
        </w:tc>
      </w:tr>
    </w:tbl>
    <w:p w14:paraId="181898C6" w14:textId="77777777" w:rsidR="000A712A" w:rsidRDefault="000A712A"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p>
    <w:p w14:paraId="3250436E" w14:textId="0828963F" w:rsidR="000C013D"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Since the p value (0.036) of t- statistic is less than 0.05, there is no enough ground to accept the null hypothesis. </w:t>
      </w:r>
      <w:r w:rsidR="00D72049" w:rsidRPr="00143B41">
        <w:rPr>
          <w:rFonts w:ascii="Times New Roman" w:hAnsi="Times New Roman" w:cs="Times New Roman"/>
          <w:color w:val="000000" w:themeColor="text1"/>
          <w:sz w:val="24"/>
          <w:szCs w:val="24"/>
        </w:rPr>
        <w:t>Therefore,</w:t>
      </w:r>
      <w:r w:rsidRPr="00143B41">
        <w:rPr>
          <w:rFonts w:ascii="Times New Roman" w:hAnsi="Times New Roman" w:cs="Times New Roman"/>
          <w:color w:val="000000" w:themeColor="text1"/>
          <w:sz w:val="24"/>
          <w:szCs w:val="24"/>
        </w:rPr>
        <w:t xml:space="preserve"> the alternative hypothesis is accepted </w:t>
      </w:r>
      <w:proofErr w:type="spellStart"/>
      <w:proofErr w:type="gramStart"/>
      <w:r w:rsidR="00D72049" w:rsidRPr="00143B41">
        <w:rPr>
          <w:rFonts w:ascii="Times New Roman" w:hAnsi="Times New Roman" w:cs="Times New Roman"/>
          <w:color w:val="000000" w:themeColor="text1"/>
          <w:sz w:val="24"/>
          <w:szCs w:val="24"/>
        </w:rPr>
        <w:t>i.e.,</w:t>
      </w:r>
      <w:r w:rsidR="005E1B11" w:rsidRPr="00143B41">
        <w:rPr>
          <w:rFonts w:ascii="Times New Roman" w:hAnsi="Times New Roman" w:cs="Times New Roman"/>
          <w:color w:val="000000" w:themeColor="text1"/>
          <w:sz w:val="24"/>
          <w:szCs w:val="24"/>
        </w:rPr>
        <w:t>there</w:t>
      </w:r>
      <w:proofErr w:type="spellEnd"/>
      <w:proofErr w:type="gramEnd"/>
      <w:r w:rsidR="005E1B11" w:rsidRPr="00143B41">
        <w:rPr>
          <w:rFonts w:ascii="Times New Roman" w:hAnsi="Times New Roman" w:cs="Times New Roman"/>
          <w:color w:val="000000" w:themeColor="text1"/>
          <w:sz w:val="24"/>
          <w:szCs w:val="24"/>
        </w:rPr>
        <w:t xml:space="preserve"> is significant</w:t>
      </w:r>
      <w:r w:rsidRPr="00143B41">
        <w:rPr>
          <w:rFonts w:ascii="Times New Roman" w:hAnsi="Times New Roman" w:cs="Times New Roman"/>
          <w:color w:val="000000" w:themeColor="text1"/>
          <w:sz w:val="24"/>
          <w:szCs w:val="24"/>
        </w:rPr>
        <w:t xml:space="preserve"> relationship between book value per share and market per share. Hence, the regression model is significant at 0.05 level of significance. </w:t>
      </w:r>
    </w:p>
    <w:p w14:paraId="0C69231E"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4"/>
        <w:gridCol w:w="2029"/>
        <w:gridCol w:w="1279"/>
        <w:gridCol w:w="1279"/>
        <w:gridCol w:w="1412"/>
        <w:gridCol w:w="969"/>
        <w:gridCol w:w="968"/>
      </w:tblGrid>
      <w:tr w:rsidR="000C013D" w:rsidRPr="00143B41" w14:paraId="7874962E" w14:textId="77777777" w:rsidTr="007570C1">
        <w:trPr>
          <w:cantSplit/>
          <w:trHeight w:val="1615"/>
        </w:trPr>
        <w:tc>
          <w:tcPr>
            <w:tcW w:w="5000" w:type="pct"/>
            <w:gridSpan w:val="7"/>
            <w:tcBorders>
              <w:top w:val="nil"/>
              <w:left w:val="nil"/>
              <w:right w:val="nil"/>
            </w:tcBorders>
            <w:shd w:val="clear" w:color="auto" w:fill="FFFFFF"/>
          </w:tcPr>
          <w:p w14:paraId="3874EB53" w14:textId="12E065B1" w:rsidR="000C013D" w:rsidRPr="00143B41" w:rsidRDefault="000C013D" w:rsidP="007570C1">
            <w:pPr>
              <w:autoSpaceDE w:val="0"/>
              <w:autoSpaceDN w:val="0"/>
              <w:adjustRightInd w:val="0"/>
              <w:spacing w:before="240" w:after="0" w:line="384" w:lineRule="auto"/>
              <w:ind w:right="60"/>
              <w:rPr>
                <w:rFonts w:ascii="Times New Roman" w:hAnsi="Times New Roman" w:cs="Times New Roman"/>
                <w:color w:val="000000" w:themeColor="text1"/>
                <w:sz w:val="24"/>
                <w:szCs w:val="24"/>
              </w:rPr>
            </w:pPr>
          </w:p>
        </w:tc>
      </w:tr>
      <w:tr w:rsidR="007570C1" w:rsidRPr="007570C1" w14:paraId="0B2C8A52" w14:textId="77777777" w:rsidTr="007570C1">
        <w:trPr>
          <w:cantSplit/>
          <w:trHeight w:val="426"/>
        </w:trPr>
        <w:tc>
          <w:tcPr>
            <w:tcW w:w="5000" w:type="pct"/>
            <w:gridSpan w:val="7"/>
            <w:tcBorders>
              <w:top w:val="single" w:sz="4" w:space="0" w:color="auto"/>
              <w:left w:val="single" w:sz="4" w:space="0" w:color="auto"/>
              <w:right w:val="single" w:sz="4" w:space="0" w:color="auto"/>
            </w:tcBorders>
            <w:shd w:val="clear" w:color="auto" w:fill="FFFFFF"/>
          </w:tcPr>
          <w:p w14:paraId="4D1DCC1E" w14:textId="45A9F245" w:rsidR="007570C1" w:rsidRPr="007570C1" w:rsidRDefault="007570C1" w:rsidP="007570C1">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roofErr w:type="spellStart"/>
            <w:r w:rsidRPr="007570C1">
              <w:rPr>
                <w:rFonts w:ascii="Times New Roman" w:hAnsi="Times New Roman" w:cs="Times New Roman"/>
                <w:b/>
                <w:bCs/>
                <w:color w:val="000000"/>
                <w:sz w:val="24"/>
                <w:szCs w:val="24"/>
              </w:rPr>
              <w:t>Coefficientsa</w:t>
            </w:r>
            <w:proofErr w:type="spellEnd"/>
          </w:p>
        </w:tc>
      </w:tr>
      <w:tr w:rsidR="000C013D" w:rsidRPr="007570C1" w14:paraId="22512D6F" w14:textId="77777777" w:rsidTr="00354635">
        <w:trPr>
          <w:cantSplit/>
        </w:trPr>
        <w:tc>
          <w:tcPr>
            <w:tcW w:w="1582" w:type="pct"/>
            <w:gridSpan w:val="2"/>
            <w:vMerge w:val="restart"/>
            <w:shd w:val="clear" w:color="auto" w:fill="FFFFFF"/>
          </w:tcPr>
          <w:p w14:paraId="2BB26A68"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Model</w:t>
            </w:r>
          </w:p>
        </w:tc>
        <w:tc>
          <w:tcPr>
            <w:tcW w:w="1480" w:type="pct"/>
            <w:gridSpan w:val="2"/>
            <w:shd w:val="clear" w:color="auto" w:fill="FFFFFF"/>
          </w:tcPr>
          <w:p w14:paraId="76A8EFD2"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Unstandardized Coefficients</w:t>
            </w:r>
          </w:p>
        </w:tc>
        <w:tc>
          <w:tcPr>
            <w:tcW w:w="817" w:type="pct"/>
            <w:shd w:val="clear" w:color="auto" w:fill="FFFFFF"/>
          </w:tcPr>
          <w:p w14:paraId="4A053589"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Standardized Coefficients</w:t>
            </w:r>
          </w:p>
        </w:tc>
        <w:tc>
          <w:tcPr>
            <w:tcW w:w="561" w:type="pct"/>
            <w:vMerge w:val="restart"/>
            <w:shd w:val="clear" w:color="auto" w:fill="FFFFFF"/>
          </w:tcPr>
          <w:p w14:paraId="44E3B87D"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t</w:t>
            </w:r>
          </w:p>
        </w:tc>
        <w:tc>
          <w:tcPr>
            <w:tcW w:w="561" w:type="pct"/>
            <w:vMerge w:val="restart"/>
            <w:shd w:val="clear" w:color="auto" w:fill="FFFFFF"/>
          </w:tcPr>
          <w:p w14:paraId="6F296694"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Sig.</w:t>
            </w:r>
          </w:p>
        </w:tc>
      </w:tr>
      <w:tr w:rsidR="000C013D" w:rsidRPr="007570C1" w14:paraId="65DC299A" w14:textId="77777777" w:rsidTr="00354635">
        <w:trPr>
          <w:cantSplit/>
        </w:trPr>
        <w:tc>
          <w:tcPr>
            <w:tcW w:w="1582" w:type="pct"/>
            <w:gridSpan w:val="2"/>
            <w:vMerge/>
            <w:shd w:val="clear" w:color="auto" w:fill="FFFFFF"/>
          </w:tcPr>
          <w:p w14:paraId="1F48C3EF"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740" w:type="pct"/>
            <w:shd w:val="clear" w:color="auto" w:fill="FFFFFF"/>
          </w:tcPr>
          <w:p w14:paraId="45915BAD"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B</w:t>
            </w:r>
          </w:p>
        </w:tc>
        <w:tc>
          <w:tcPr>
            <w:tcW w:w="740" w:type="pct"/>
            <w:shd w:val="clear" w:color="auto" w:fill="FFFFFF"/>
          </w:tcPr>
          <w:p w14:paraId="7476C9FF"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Std. Error</w:t>
            </w:r>
          </w:p>
        </w:tc>
        <w:tc>
          <w:tcPr>
            <w:tcW w:w="817" w:type="pct"/>
            <w:shd w:val="clear" w:color="auto" w:fill="FFFFFF"/>
          </w:tcPr>
          <w:p w14:paraId="0C3026CA"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Beta</w:t>
            </w:r>
          </w:p>
        </w:tc>
        <w:tc>
          <w:tcPr>
            <w:tcW w:w="561" w:type="pct"/>
            <w:vMerge/>
            <w:shd w:val="clear" w:color="auto" w:fill="FFFFFF"/>
          </w:tcPr>
          <w:p w14:paraId="2E4CBD45"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561" w:type="pct"/>
            <w:vMerge/>
            <w:shd w:val="clear" w:color="auto" w:fill="FFFFFF"/>
          </w:tcPr>
          <w:p w14:paraId="5105C826"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r>
      <w:tr w:rsidR="000C013D" w:rsidRPr="007570C1" w14:paraId="7B237E8F" w14:textId="77777777" w:rsidTr="00354635">
        <w:trPr>
          <w:cantSplit/>
        </w:trPr>
        <w:tc>
          <w:tcPr>
            <w:tcW w:w="408" w:type="pct"/>
            <w:vMerge w:val="restart"/>
            <w:shd w:val="clear" w:color="auto" w:fill="FFFFFF"/>
            <w:vAlign w:val="center"/>
          </w:tcPr>
          <w:p w14:paraId="4A34E3F1"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1</w:t>
            </w:r>
          </w:p>
        </w:tc>
        <w:tc>
          <w:tcPr>
            <w:tcW w:w="1174" w:type="pct"/>
            <w:shd w:val="clear" w:color="auto" w:fill="FFFFFF"/>
            <w:vAlign w:val="center"/>
          </w:tcPr>
          <w:p w14:paraId="6A197D13"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(Constant)</w:t>
            </w:r>
          </w:p>
        </w:tc>
        <w:tc>
          <w:tcPr>
            <w:tcW w:w="740" w:type="pct"/>
            <w:shd w:val="clear" w:color="auto" w:fill="FFFFFF"/>
            <w:vAlign w:val="center"/>
          </w:tcPr>
          <w:p w14:paraId="6EE02AA6"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923.710</w:t>
            </w:r>
          </w:p>
        </w:tc>
        <w:tc>
          <w:tcPr>
            <w:tcW w:w="740" w:type="pct"/>
            <w:shd w:val="clear" w:color="auto" w:fill="FFFFFF"/>
            <w:vAlign w:val="center"/>
          </w:tcPr>
          <w:p w14:paraId="28D11FF6"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211.115</w:t>
            </w:r>
          </w:p>
        </w:tc>
        <w:tc>
          <w:tcPr>
            <w:tcW w:w="817" w:type="pct"/>
            <w:shd w:val="clear" w:color="auto" w:fill="FFFFFF"/>
          </w:tcPr>
          <w:p w14:paraId="79C3EB5E" w14:textId="77777777" w:rsidR="000C013D" w:rsidRPr="007570C1" w:rsidRDefault="000C013D" w:rsidP="007570C1">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561" w:type="pct"/>
            <w:shd w:val="clear" w:color="auto" w:fill="FFFFFF"/>
            <w:vAlign w:val="center"/>
          </w:tcPr>
          <w:p w14:paraId="6C296E88"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4.375</w:t>
            </w:r>
          </w:p>
        </w:tc>
        <w:tc>
          <w:tcPr>
            <w:tcW w:w="561" w:type="pct"/>
            <w:shd w:val="clear" w:color="auto" w:fill="FFFFFF"/>
            <w:vAlign w:val="center"/>
          </w:tcPr>
          <w:p w14:paraId="0C823B24"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.000</w:t>
            </w:r>
          </w:p>
        </w:tc>
      </w:tr>
      <w:tr w:rsidR="000C013D" w:rsidRPr="007570C1" w14:paraId="44004C09" w14:textId="77777777" w:rsidTr="00354635">
        <w:trPr>
          <w:cantSplit/>
        </w:trPr>
        <w:tc>
          <w:tcPr>
            <w:tcW w:w="408" w:type="pct"/>
            <w:vMerge/>
            <w:shd w:val="clear" w:color="auto" w:fill="FFFFFF"/>
            <w:vAlign w:val="center"/>
          </w:tcPr>
          <w:p w14:paraId="1BBB33C8"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p>
        </w:tc>
        <w:tc>
          <w:tcPr>
            <w:tcW w:w="1174" w:type="pct"/>
            <w:shd w:val="clear" w:color="auto" w:fill="FFFFFF"/>
            <w:vAlign w:val="center"/>
          </w:tcPr>
          <w:p w14:paraId="77BE2EA2"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Book Value Per Share</w:t>
            </w:r>
          </w:p>
        </w:tc>
        <w:tc>
          <w:tcPr>
            <w:tcW w:w="740" w:type="pct"/>
            <w:shd w:val="clear" w:color="auto" w:fill="FFFFFF"/>
            <w:vAlign w:val="center"/>
          </w:tcPr>
          <w:p w14:paraId="560FF8C8"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-3.170</w:t>
            </w:r>
          </w:p>
        </w:tc>
        <w:tc>
          <w:tcPr>
            <w:tcW w:w="740" w:type="pct"/>
            <w:shd w:val="clear" w:color="auto" w:fill="FFFFFF"/>
            <w:vAlign w:val="center"/>
          </w:tcPr>
          <w:p w14:paraId="3DC7FB48"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1.460</w:t>
            </w:r>
          </w:p>
        </w:tc>
        <w:tc>
          <w:tcPr>
            <w:tcW w:w="817" w:type="pct"/>
            <w:shd w:val="clear" w:color="auto" w:fill="FFFFFF"/>
            <w:vAlign w:val="center"/>
          </w:tcPr>
          <w:p w14:paraId="3BFFBED7"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-.332</w:t>
            </w:r>
          </w:p>
        </w:tc>
        <w:tc>
          <w:tcPr>
            <w:tcW w:w="561" w:type="pct"/>
            <w:shd w:val="clear" w:color="auto" w:fill="FFFFFF"/>
            <w:vAlign w:val="center"/>
          </w:tcPr>
          <w:p w14:paraId="5D491519"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-2.172</w:t>
            </w:r>
          </w:p>
        </w:tc>
        <w:tc>
          <w:tcPr>
            <w:tcW w:w="561" w:type="pct"/>
            <w:shd w:val="clear" w:color="auto" w:fill="FFFFFF"/>
            <w:vAlign w:val="center"/>
          </w:tcPr>
          <w:p w14:paraId="57BB3580" w14:textId="77777777" w:rsidR="000C013D" w:rsidRPr="007570C1" w:rsidRDefault="000C013D" w:rsidP="00935343">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7570C1">
              <w:rPr>
                <w:rFonts w:ascii="Times New Roman" w:hAnsi="Times New Roman" w:cs="Times New Roman"/>
                <w:color w:val="000000"/>
                <w:sz w:val="24"/>
                <w:szCs w:val="24"/>
              </w:rPr>
              <w:t>.036</w:t>
            </w:r>
          </w:p>
        </w:tc>
      </w:tr>
      <w:tr w:rsidR="000C013D" w:rsidRPr="007570C1" w14:paraId="5D03413F" w14:textId="77777777" w:rsidTr="00354635">
        <w:trPr>
          <w:cantSplit/>
        </w:trPr>
        <w:tc>
          <w:tcPr>
            <w:tcW w:w="5000" w:type="pct"/>
            <w:gridSpan w:val="7"/>
            <w:shd w:val="clear" w:color="auto" w:fill="FFFFFF"/>
          </w:tcPr>
          <w:p w14:paraId="5A71DB9F" w14:textId="77777777" w:rsidR="000C013D" w:rsidRPr="007570C1" w:rsidRDefault="000C013D" w:rsidP="00520B96">
            <w:pPr>
              <w:autoSpaceDE w:val="0"/>
              <w:autoSpaceDN w:val="0"/>
              <w:adjustRightInd w:val="0"/>
              <w:spacing w:after="0" w:line="320" w:lineRule="atLeast"/>
              <w:ind w:left="60" w:right="60"/>
              <w:rPr>
                <w:rFonts w:ascii="Times New Roman" w:hAnsi="Times New Roman" w:cs="Times New Roman"/>
                <w:color w:val="000000"/>
                <w:sz w:val="24"/>
                <w:szCs w:val="24"/>
              </w:rPr>
            </w:pPr>
            <w:r w:rsidRPr="007570C1">
              <w:rPr>
                <w:rFonts w:ascii="Times New Roman" w:hAnsi="Times New Roman" w:cs="Times New Roman"/>
                <w:color w:val="000000"/>
                <w:sz w:val="24"/>
                <w:szCs w:val="24"/>
              </w:rPr>
              <w:t>a. Dependent Variable: Market Per Share</w:t>
            </w:r>
          </w:p>
        </w:tc>
      </w:tr>
    </w:tbl>
    <w:p w14:paraId="60EAE999" w14:textId="77777777" w:rsidR="000C013D" w:rsidRPr="007570C1" w:rsidRDefault="000C013D" w:rsidP="007570C1">
      <w:pPr>
        <w:autoSpaceDE w:val="0"/>
        <w:autoSpaceDN w:val="0"/>
        <w:adjustRightInd w:val="0"/>
        <w:spacing w:after="0" w:line="320" w:lineRule="atLeast"/>
        <w:ind w:left="60" w:right="60"/>
        <w:jc w:val="center"/>
        <w:rPr>
          <w:rFonts w:ascii="Times New Roman" w:hAnsi="Times New Roman" w:cs="Times New Roman"/>
          <w:b/>
          <w:bCs/>
          <w:color w:val="000000"/>
          <w:sz w:val="24"/>
          <w:szCs w:val="24"/>
        </w:rPr>
      </w:pPr>
    </w:p>
    <w:p w14:paraId="2F107903" w14:textId="3218E7CE" w:rsidR="000C013D" w:rsidRPr="00143B41" w:rsidRDefault="000C013D" w:rsidP="00A01E47">
      <w:pPr>
        <w:autoSpaceDE w:val="0"/>
        <w:autoSpaceDN w:val="0"/>
        <w:adjustRightInd w:val="0"/>
        <w:spacing w:before="240" w:after="0" w:line="384" w:lineRule="auto"/>
        <w:jc w:val="both"/>
        <w:rPr>
          <w:rFonts w:ascii="Times New Roman" w:hAnsi="Times New Roman" w:cs="Times New Roman"/>
          <w:b/>
          <w:color w:val="000000" w:themeColor="text1"/>
          <w:sz w:val="24"/>
          <w:szCs w:val="24"/>
        </w:rPr>
      </w:pPr>
      <w:r w:rsidRPr="00143B41">
        <w:rPr>
          <w:rFonts w:ascii="Times New Roman" w:hAnsi="Times New Roman" w:cs="Times New Roman"/>
          <w:b/>
          <w:color w:val="000000" w:themeColor="text1"/>
          <w:sz w:val="24"/>
          <w:szCs w:val="24"/>
        </w:rPr>
        <w:t>Model Interpretation of Book value per share in relation to Market per share</w:t>
      </w:r>
    </w:p>
    <w:p w14:paraId="25FF272E"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y = </w:t>
      </w:r>
      <w:proofErr w:type="spellStart"/>
      <w:r w:rsidRPr="00143B41">
        <w:rPr>
          <w:rFonts w:ascii="Times New Roman" w:hAnsi="Times New Roman" w:cs="Times New Roman"/>
          <w:color w:val="000000" w:themeColor="text1"/>
          <w:sz w:val="24"/>
          <w:szCs w:val="24"/>
        </w:rPr>
        <w:t>a+bx</w:t>
      </w:r>
      <w:proofErr w:type="spellEnd"/>
    </w:p>
    <w:p w14:paraId="488EE74D"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Book value per share= constant + slope x  </w:t>
      </w:r>
    </w:p>
    <w:p w14:paraId="2D4C5BC7"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BVPS= 923.710+(-3.170) BVPS</w:t>
      </w:r>
    </w:p>
    <w:p w14:paraId="65699CDC"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P-value = (0.036)    </w:t>
      </w:r>
    </w:p>
    <w:p w14:paraId="1FB38D46"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R =   .332                            </w:t>
      </w:r>
      <w:r w:rsidRPr="00143B41">
        <w:rPr>
          <w:rFonts w:ascii="Times New Roman" w:hAnsi="Times New Roman" w:cs="Times New Roman"/>
          <w:color w:val="000000" w:themeColor="text1"/>
          <w:sz w:val="24"/>
          <w:szCs w:val="24"/>
        </w:rPr>
        <w:tab/>
        <w:t>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 .110</w:t>
      </w:r>
    </w:p>
    <w:p w14:paraId="463F78BE"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above regression equation states that one unit change in book value per share will leads share price of sample commercial bank to change with 923.710.</w:t>
      </w:r>
    </w:p>
    <w:p w14:paraId="0C07E15A" w14:textId="77777777" w:rsidR="000C013D" w:rsidRPr="00143B41" w:rsidRDefault="000C013D" w:rsidP="00A01E47">
      <w:pPr>
        <w:autoSpaceDE w:val="0"/>
        <w:autoSpaceDN w:val="0"/>
        <w:adjustRightInd w:val="0"/>
        <w:spacing w:before="240" w:after="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In the above equation 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.110 which means that 11.0% variation in book value per share is explained by market per share.</w:t>
      </w:r>
    </w:p>
    <w:p w14:paraId="255CE262" w14:textId="77777777" w:rsidR="006A288B" w:rsidRDefault="006A288B" w:rsidP="00A01E47">
      <w:pPr>
        <w:tabs>
          <w:tab w:val="left" w:pos="5497"/>
        </w:tabs>
        <w:spacing w:before="240" w:after="0" w:line="384" w:lineRule="auto"/>
        <w:jc w:val="both"/>
        <w:rPr>
          <w:rFonts w:ascii="Times New Roman" w:hAnsi="Times New Roman" w:cs="Times New Roman"/>
          <w:b/>
          <w:bCs/>
          <w:color w:val="000000" w:themeColor="text1"/>
          <w:sz w:val="24"/>
          <w:szCs w:val="24"/>
        </w:rPr>
      </w:pPr>
    </w:p>
    <w:p w14:paraId="2C28417F" w14:textId="77777777" w:rsidR="00F31504" w:rsidRDefault="00F31504" w:rsidP="00E0747D">
      <w:pPr>
        <w:tabs>
          <w:tab w:val="left" w:pos="5497"/>
        </w:tabs>
        <w:spacing w:before="240" w:after="0" w:line="384" w:lineRule="auto"/>
        <w:jc w:val="both"/>
        <w:rPr>
          <w:rFonts w:ascii="Times New Roman" w:hAnsi="Times New Roman" w:cs="Times New Roman"/>
          <w:b/>
          <w:bCs/>
          <w:color w:val="000000" w:themeColor="text1"/>
          <w:sz w:val="24"/>
          <w:szCs w:val="24"/>
        </w:rPr>
      </w:pPr>
    </w:p>
    <w:p w14:paraId="0F1CB02B" w14:textId="409112CA" w:rsidR="000C013D" w:rsidRPr="00E0747D" w:rsidRDefault="000C013D" w:rsidP="001D4B19">
      <w:pPr>
        <w:tabs>
          <w:tab w:val="left" w:pos="5497"/>
        </w:tabs>
        <w:spacing w:before="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b/>
          <w:bCs/>
          <w:color w:val="000000" w:themeColor="text1"/>
          <w:sz w:val="24"/>
          <w:szCs w:val="24"/>
        </w:rPr>
        <w:lastRenderedPageBreak/>
        <w:t>4.3.6 Overall</w:t>
      </w:r>
      <w:r w:rsidR="001D4B19">
        <w:rPr>
          <w:rFonts w:ascii="Times New Roman" w:hAnsi="Times New Roman" w:cs="Times New Roman"/>
          <w:b/>
          <w:bCs/>
          <w:color w:val="000000" w:themeColor="text1"/>
          <w:sz w:val="24"/>
          <w:szCs w:val="24"/>
        </w:rPr>
        <w:t xml:space="preserve"> Regression</w:t>
      </w:r>
      <w:r w:rsidRPr="00143B41">
        <w:rPr>
          <w:rFonts w:ascii="Times New Roman" w:hAnsi="Times New Roman" w:cs="Times New Roman"/>
          <w:b/>
          <w:bCs/>
          <w:color w:val="000000" w:themeColor="text1"/>
          <w:sz w:val="24"/>
          <w:szCs w:val="24"/>
        </w:rPr>
        <w:t xml:space="preser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64"/>
        <w:gridCol w:w="1505"/>
        <w:gridCol w:w="1597"/>
        <w:gridCol w:w="2192"/>
        <w:gridCol w:w="2192"/>
      </w:tblGrid>
      <w:tr w:rsidR="000C013D" w:rsidRPr="00143B41" w14:paraId="25A85E5B" w14:textId="77777777" w:rsidTr="000A6B33">
        <w:trPr>
          <w:cantSplit/>
        </w:trPr>
        <w:tc>
          <w:tcPr>
            <w:tcW w:w="5000" w:type="pct"/>
            <w:gridSpan w:val="5"/>
            <w:tcBorders>
              <w:top w:val="single" w:sz="4" w:space="0" w:color="auto"/>
              <w:left w:val="single" w:sz="4" w:space="0" w:color="auto"/>
              <w:right w:val="single" w:sz="4" w:space="0" w:color="auto"/>
            </w:tcBorders>
            <w:shd w:val="clear" w:color="auto" w:fill="FFFFFF"/>
          </w:tcPr>
          <w:p w14:paraId="5A9F2056" w14:textId="77777777" w:rsidR="000C013D" w:rsidRPr="000A6B33" w:rsidRDefault="000C013D" w:rsidP="001D4B19">
            <w:pPr>
              <w:autoSpaceDE w:val="0"/>
              <w:autoSpaceDN w:val="0"/>
              <w:adjustRightInd w:val="0"/>
              <w:spacing w:line="320" w:lineRule="atLeast"/>
              <w:ind w:left="60" w:right="60"/>
              <w:jc w:val="center"/>
              <w:rPr>
                <w:rFonts w:ascii="Times New Roman" w:hAnsi="Times New Roman" w:cs="Times New Roman"/>
                <w:b/>
                <w:bCs/>
                <w:color w:val="000000"/>
                <w:sz w:val="24"/>
                <w:szCs w:val="24"/>
                <w:lang w:bidi="ne-NP"/>
              </w:rPr>
            </w:pPr>
            <w:r w:rsidRPr="000A6B33">
              <w:rPr>
                <w:rFonts w:ascii="Times New Roman" w:hAnsi="Times New Roman" w:cs="Times New Roman"/>
                <w:b/>
                <w:bCs/>
                <w:color w:val="000000"/>
                <w:sz w:val="24"/>
                <w:szCs w:val="24"/>
                <w:lang w:bidi="ne-NP"/>
              </w:rPr>
              <w:t>Model Summary</w:t>
            </w:r>
          </w:p>
        </w:tc>
      </w:tr>
      <w:tr w:rsidR="000C013D" w:rsidRPr="000A6B33" w14:paraId="692EF1EC" w14:textId="77777777" w:rsidTr="00354635">
        <w:trPr>
          <w:cantSplit/>
        </w:trPr>
        <w:tc>
          <w:tcPr>
            <w:tcW w:w="673" w:type="pct"/>
            <w:shd w:val="clear" w:color="auto" w:fill="FFFFFF"/>
          </w:tcPr>
          <w:p w14:paraId="47389E1A"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Model</w:t>
            </w:r>
          </w:p>
        </w:tc>
        <w:tc>
          <w:tcPr>
            <w:tcW w:w="870" w:type="pct"/>
            <w:shd w:val="clear" w:color="auto" w:fill="FFFFFF"/>
          </w:tcPr>
          <w:p w14:paraId="62162B80"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R</w:t>
            </w:r>
          </w:p>
        </w:tc>
        <w:tc>
          <w:tcPr>
            <w:tcW w:w="923" w:type="pct"/>
            <w:shd w:val="clear" w:color="auto" w:fill="FFFFFF"/>
          </w:tcPr>
          <w:p w14:paraId="078FC876"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R Square</w:t>
            </w:r>
          </w:p>
        </w:tc>
        <w:tc>
          <w:tcPr>
            <w:tcW w:w="1267" w:type="pct"/>
            <w:shd w:val="clear" w:color="auto" w:fill="FFFFFF"/>
          </w:tcPr>
          <w:p w14:paraId="320A0D1E"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Adjusted R Square</w:t>
            </w:r>
          </w:p>
        </w:tc>
        <w:tc>
          <w:tcPr>
            <w:tcW w:w="1267" w:type="pct"/>
            <w:shd w:val="clear" w:color="auto" w:fill="FFFFFF"/>
          </w:tcPr>
          <w:p w14:paraId="46A5FEDB"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Std. Error of the Estimate</w:t>
            </w:r>
          </w:p>
        </w:tc>
      </w:tr>
      <w:tr w:rsidR="000C013D" w:rsidRPr="000A6B33" w14:paraId="251ABC4A" w14:textId="77777777" w:rsidTr="00354635">
        <w:trPr>
          <w:cantSplit/>
        </w:trPr>
        <w:tc>
          <w:tcPr>
            <w:tcW w:w="673" w:type="pct"/>
            <w:shd w:val="clear" w:color="auto" w:fill="FFFFFF"/>
            <w:vAlign w:val="center"/>
          </w:tcPr>
          <w:p w14:paraId="4903C6D2"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1</w:t>
            </w:r>
          </w:p>
        </w:tc>
        <w:tc>
          <w:tcPr>
            <w:tcW w:w="870" w:type="pct"/>
            <w:shd w:val="clear" w:color="auto" w:fill="FFFFFF"/>
            <w:vAlign w:val="center"/>
          </w:tcPr>
          <w:p w14:paraId="30EF4932"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.365a</w:t>
            </w:r>
          </w:p>
        </w:tc>
        <w:tc>
          <w:tcPr>
            <w:tcW w:w="923" w:type="pct"/>
            <w:shd w:val="clear" w:color="auto" w:fill="FFFFFF"/>
            <w:vAlign w:val="center"/>
          </w:tcPr>
          <w:p w14:paraId="66D7D402"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.133</w:t>
            </w:r>
          </w:p>
        </w:tc>
        <w:tc>
          <w:tcPr>
            <w:tcW w:w="1267" w:type="pct"/>
            <w:shd w:val="clear" w:color="auto" w:fill="FFFFFF"/>
            <w:vAlign w:val="center"/>
          </w:tcPr>
          <w:p w14:paraId="00ED508F"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.006</w:t>
            </w:r>
          </w:p>
        </w:tc>
        <w:tc>
          <w:tcPr>
            <w:tcW w:w="1267" w:type="pct"/>
            <w:shd w:val="clear" w:color="auto" w:fill="FFFFFF"/>
            <w:vAlign w:val="center"/>
          </w:tcPr>
          <w:p w14:paraId="2B382CC8" w14:textId="77777777" w:rsidR="000C013D" w:rsidRPr="000A6B33" w:rsidRDefault="000C013D" w:rsidP="000A6B33">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228.04198</w:t>
            </w:r>
          </w:p>
        </w:tc>
      </w:tr>
      <w:tr w:rsidR="000C013D" w:rsidRPr="000A6B33" w14:paraId="22F82A4F" w14:textId="77777777" w:rsidTr="00354635">
        <w:trPr>
          <w:cantSplit/>
        </w:trPr>
        <w:tc>
          <w:tcPr>
            <w:tcW w:w="5000" w:type="pct"/>
            <w:gridSpan w:val="5"/>
            <w:shd w:val="clear" w:color="auto" w:fill="FFFFFF"/>
          </w:tcPr>
          <w:p w14:paraId="0DB63ABD" w14:textId="77777777" w:rsidR="000C013D" w:rsidRPr="000A6B33" w:rsidRDefault="000C013D" w:rsidP="000A6B33">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0A6B33">
              <w:rPr>
                <w:rFonts w:ascii="Times New Roman" w:hAnsi="Times New Roman" w:cs="Times New Roman"/>
                <w:color w:val="000000"/>
                <w:sz w:val="24"/>
                <w:szCs w:val="24"/>
                <w:lang w:bidi="ne-NP"/>
              </w:rPr>
              <w:t xml:space="preserve">a. Predictors: (Constant), Book Value Per Share, Price </w:t>
            </w:r>
            <w:proofErr w:type="spellStart"/>
            <w:r w:rsidRPr="000A6B33">
              <w:rPr>
                <w:rFonts w:ascii="Times New Roman" w:hAnsi="Times New Roman" w:cs="Times New Roman"/>
                <w:color w:val="000000"/>
                <w:sz w:val="24"/>
                <w:szCs w:val="24"/>
                <w:lang w:bidi="ne-NP"/>
              </w:rPr>
              <w:t>Earning</w:t>
            </w:r>
            <w:proofErr w:type="spellEnd"/>
            <w:r w:rsidRPr="000A6B33">
              <w:rPr>
                <w:rFonts w:ascii="Times New Roman" w:hAnsi="Times New Roman" w:cs="Times New Roman"/>
                <w:color w:val="000000"/>
                <w:sz w:val="24"/>
                <w:szCs w:val="24"/>
                <w:lang w:bidi="ne-NP"/>
              </w:rPr>
              <w:t xml:space="preserve"> Ratio, Dividend Per Share, Return on Assets, Earning Per Share</w:t>
            </w:r>
          </w:p>
        </w:tc>
      </w:tr>
    </w:tbl>
    <w:p w14:paraId="257BD907" w14:textId="77777777" w:rsidR="000C013D" w:rsidRPr="00143B41" w:rsidRDefault="000C013D" w:rsidP="006A288B">
      <w:pPr>
        <w:autoSpaceDE w:val="0"/>
        <w:autoSpaceDN w:val="0"/>
        <w:adjustRightInd w:val="0"/>
        <w:spacing w:before="240" w:line="384" w:lineRule="auto"/>
        <w:jc w:val="both"/>
        <w:rPr>
          <w:rFonts w:ascii="Times New Roman" w:hAnsi="Times New Roman" w:cs="Times New Roman"/>
          <w:color w:val="000000" w:themeColor="text1"/>
          <w:sz w:val="24"/>
          <w:szCs w:val="24"/>
          <w:lang w:bidi="ne-N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4"/>
        <w:gridCol w:w="99"/>
        <w:gridCol w:w="1391"/>
        <w:gridCol w:w="543"/>
        <w:gridCol w:w="1067"/>
        <w:gridCol w:w="213"/>
        <w:gridCol w:w="894"/>
        <w:gridCol w:w="386"/>
        <w:gridCol w:w="1140"/>
        <w:gridCol w:w="273"/>
        <w:gridCol w:w="834"/>
        <w:gridCol w:w="137"/>
        <w:gridCol w:w="969"/>
      </w:tblGrid>
      <w:tr w:rsidR="000C013D" w:rsidRPr="00143B41" w14:paraId="40840574" w14:textId="77777777" w:rsidTr="00E0747D">
        <w:trPr>
          <w:cantSplit/>
        </w:trPr>
        <w:tc>
          <w:tcPr>
            <w:tcW w:w="5000" w:type="pct"/>
            <w:gridSpan w:val="13"/>
            <w:tcBorders>
              <w:top w:val="single" w:sz="4" w:space="0" w:color="auto"/>
              <w:left w:val="single" w:sz="4" w:space="0" w:color="auto"/>
              <w:right w:val="single" w:sz="4" w:space="0" w:color="auto"/>
            </w:tcBorders>
            <w:shd w:val="clear" w:color="auto" w:fill="FFFFFF"/>
          </w:tcPr>
          <w:p w14:paraId="1B41A5D8" w14:textId="6129229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b/>
                <w:bCs/>
                <w:color w:val="000000"/>
                <w:sz w:val="24"/>
                <w:szCs w:val="24"/>
                <w:lang w:bidi="ne-NP"/>
              </w:rPr>
            </w:pPr>
            <w:proofErr w:type="spellStart"/>
            <w:r w:rsidRPr="00E0747D">
              <w:rPr>
                <w:rFonts w:ascii="Times New Roman" w:hAnsi="Times New Roman" w:cs="Times New Roman"/>
                <w:b/>
                <w:bCs/>
                <w:color w:val="000000"/>
                <w:sz w:val="24"/>
                <w:szCs w:val="24"/>
                <w:lang w:bidi="ne-NP"/>
              </w:rPr>
              <w:t>ANOVAa</w:t>
            </w:r>
            <w:proofErr w:type="spellEnd"/>
          </w:p>
        </w:tc>
      </w:tr>
      <w:tr w:rsidR="000C013D" w:rsidRPr="00E0747D" w14:paraId="0B0718BB" w14:textId="77777777" w:rsidTr="006A288B">
        <w:trPr>
          <w:cantSplit/>
        </w:trPr>
        <w:tc>
          <w:tcPr>
            <w:tcW w:w="1268" w:type="pct"/>
            <w:gridSpan w:val="3"/>
            <w:shd w:val="clear" w:color="auto" w:fill="FFFFFF"/>
          </w:tcPr>
          <w:p w14:paraId="23D21B41"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Model</w:t>
            </w:r>
          </w:p>
        </w:tc>
        <w:tc>
          <w:tcPr>
            <w:tcW w:w="931" w:type="pct"/>
            <w:gridSpan w:val="2"/>
            <w:shd w:val="clear" w:color="auto" w:fill="FFFFFF"/>
          </w:tcPr>
          <w:p w14:paraId="4E6C622E" w14:textId="02CB7A0D"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Sum</w:t>
            </w:r>
            <w:r w:rsidR="000328D2" w:rsidRPr="00E0747D">
              <w:rPr>
                <w:rFonts w:ascii="Times New Roman" w:hAnsi="Times New Roman" w:cs="Times New Roman"/>
                <w:color w:val="000000"/>
                <w:sz w:val="24"/>
                <w:szCs w:val="24"/>
                <w:lang w:bidi="ne-NP"/>
              </w:rPr>
              <w:t xml:space="preserve"> </w:t>
            </w:r>
            <w:r w:rsidRPr="00E0747D">
              <w:rPr>
                <w:rFonts w:ascii="Times New Roman" w:hAnsi="Times New Roman" w:cs="Times New Roman"/>
                <w:color w:val="000000"/>
                <w:sz w:val="24"/>
                <w:szCs w:val="24"/>
                <w:lang w:bidi="ne-NP"/>
              </w:rPr>
              <w:t>of Squares</w:t>
            </w:r>
          </w:p>
        </w:tc>
        <w:tc>
          <w:tcPr>
            <w:tcW w:w="640" w:type="pct"/>
            <w:gridSpan w:val="2"/>
            <w:shd w:val="clear" w:color="auto" w:fill="FFFFFF"/>
          </w:tcPr>
          <w:p w14:paraId="2EFF692F"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df</w:t>
            </w:r>
          </w:p>
        </w:tc>
        <w:tc>
          <w:tcPr>
            <w:tcW w:w="882" w:type="pct"/>
            <w:gridSpan w:val="2"/>
            <w:shd w:val="clear" w:color="auto" w:fill="FFFFFF"/>
          </w:tcPr>
          <w:p w14:paraId="17730E30"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Mean Square</w:t>
            </w:r>
          </w:p>
        </w:tc>
        <w:tc>
          <w:tcPr>
            <w:tcW w:w="640" w:type="pct"/>
            <w:gridSpan w:val="2"/>
            <w:shd w:val="clear" w:color="auto" w:fill="FFFFFF"/>
          </w:tcPr>
          <w:p w14:paraId="33F4004F"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F</w:t>
            </w:r>
          </w:p>
        </w:tc>
        <w:tc>
          <w:tcPr>
            <w:tcW w:w="639" w:type="pct"/>
            <w:gridSpan w:val="2"/>
            <w:shd w:val="clear" w:color="auto" w:fill="FFFFFF"/>
          </w:tcPr>
          <w:p w14:paraId="32BCAB5F"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Sig.</w:t>
            </w:r>
          </w:p>
        </w:tc>
      </w:tr>
      <w:tr w:rsidR="000C013D" w:rsidRPr="00E0747D" w14:paraId="7BD7F537" w14:textId="77777777" w:rsidTr="006A288B">
        <w:trPr>
          <w:cantSplit/>
        </w:trPr>
        <w:tc>
          <w:tcPr>
            <w:tcW w:w="464" w:type="pct"/>
            <w:gridSpan w:val="2"/>
            <w:vMerge w:val="restart"/>
            <w:shd w:val="clear" w:color="auto" w:fill="FFFFFF"/>
            <w:vAlign w:val="center"/>
          </w:tcPr>
          <w:p w14:paraId="2A4C80C5"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1</w:t>
            </w:r>
          </w:p>
        </w:tc>
        <w:tc>
          <w:tcPr>
            <w:tcW w:w="804" w:type="pct"/>
            <w:shd w:val="clear" w:color="auto" w:fill="FFFFFF"/>
            <w:vAlign w:val="center"/>
          </w:tcPr>
          <w:p w14:paraId="53F4E04E"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Regression</w:t>
            </w:r>
          </w:p>
        </w:tc>
        <w:tc>
          <w:tcPr>
            <w:tcW w:w="931" w:type="pct"/>
            <w:gridSpan w:val="2"/>
            <w:shd w:val="clear" w:color="auto" w:fill="FFFFFF"/>
            <w:vAlign w:val="center"/>
          </w:tcPr>
          <w:p w14:paraId="744DE8E6"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271288.173</w:t>
            </w:r>
          </w:p>
        </w:tc>
        <w:tc>
          <w:tcPr>
            <w:tcW w:w="640" w:type="pct"/>
            <w:gridSpan w:val="2"/>
            <w:shd w:val="clear" w:color="auto" w:fill="FFFFFF"/>
            <w:vAlign w:val="center"/>
          </w:tcPr>
          <w:p w14:paraId="6BECB437"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5</w:t>
            </w:r>
          </w:p>
        </w:tc>
        <w:tc>
          <w:tcPr>
            <w:tcW w:w="882" w:type="pct"/>
            <w:gridSpan w:val="2"/>
            <w:shd w:val="clear" w:color="auto" w:fill="FFFFFF"/>
            <w:vAlign w:val="center"/>
          </w:tcPr>
          <w:p w14:paraId="72CA9B23"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54257.635</w:t>
            </w:r>
          </w:p>
        </w:tc>
        <w:tc>
          <w:tcPr>
            <w:tcW w:w="640" w:type="pct"/>
            <w:gridSpan w:val="2"/>
            <w:shd w:val="clear" w:color="auto" w:fill="FFFFFF"/>
            <w:vAlign w:val="center"/>
          </w:tcPr>
          <w:p w14:paraId="61AE82FA"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1.043</w:t>
            </w:r>
          </w:p>
        </w:tc>
        <w:tc>
          <w:tcPr>
            <w:tcW w:w="639" w:type="pct"/>
            <w:gridSpan w:val="2"/>
            <w:shd w:val="clear" w:color="auto" w:fill="FFFFFF"/>
            <w:vAlign w:val="center"/>
          </w:tcPr>
          <w:p w14:paraId="7EE394FF"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.408b</w:t>
            </w:r>
          </w:p>
        </w:tc>
      </w:tr>
      <w:tr w:rsidR="000C013D" w:rsidRPr="00E0747D" w14:paraId="222171F6" w14:textId="77777777" w:rsidTr="006A288B">
        <w:trPr>
          <w:cantSplit/>
        </w:trPr>
        <w:tc>
          <w:tcPr>
            <w:tcW w:w="464" w:type="pct"/>
            <w:gridSpan w:val="2"/>
            <w:vMerge/>
            <w:shd w:val="clear" w:color="auto" w:fill="FFFFFF"/>
            <w:vAlign w:val="center"/>
          </w:tcPr>
          <w:p w14:paraId="26E7457B"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804" w:type="pct"/>
            <w:shd w:val="clear" w:color="auto" w:fill="FFFFFF"/>
            <w:vAlign w:val="center"/>
          </w:tcPr>
          <w:p w14:paraId="116134F6"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Residual</w:t>
            </w:r>
          </w:p>
        </w:tc>
        <w:tc>
          <w:tcPr>
            <w:tcW w:w="931" w:type="pct"/>
            <w:gridSpan w:val="2"/>
            <w:shd w:val="clear" w:color="auto" w:fill="FFFFFF"/>
            <w:vAlign w:val="center"/>
          </w:tcPr>
          <w:p w14:paraId="59397A76"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1768106.927</w:t>
            </w:r>
          </w:p>
        </w:tc>
        <w:tc>
          <w:tcPr>
            <w:tcW w:w="640" w:type="pct"/>
            <w:gridSpan w:val="2"/>
            <w:shd w:val="clear" w:color="auto" w:fill="FFFFFF"/>
            <w:vAlign w:val="center"/>
          </w:tcPr>
          <w:p w14:paraId="0D1BEA72"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34</w:t>
            </w:r>
          </w:p>
        </w:tc>
        <w:tc>
          <w:tcPr>
            <w:tcW w:w="882" w:type="pct"/>
            <w:gridSpan w:val="2"/>
            <w:shd w:val="clear" w:color="auto" w:fill="FFFFFF"/>
            <w:vAlign w:val="center"/>
          </w:tcPr>
          <w:p w14:paraId="02FDC845"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52003.145</w:t>
            </w:r>
          </w:p>
        </w:tc>
        <w:tc>
          <w:tcPr>
            <w:tcW w:w="640" w:type="pct"/>
            <w:gridSpan w:val="2"/>
            <w:shd w:val="clear" w:color="auto" w:fill="FFFFFF"/>
          </w:tcPr>
          <w:p w14:paraId="5CF8C306"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639" w:type="pct"/>
            <w:gridSpan w:val="2"/>
            <w:shd w:val="clear" w:color="auto" w:fill="FFFFFF"/>
          </w:tcPr>
          <w:p w14:paraId="4E5EB3B8"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r>
      <w:tr w:rsidR="000C013D" w:rsidRPr="00E0747D" w14:paraId="67FB0DF2" w14:textId="77777777" w:rsidTr="006A288B">
        <w:trPr>
          <w:cantSplit/>
        </w:trPr>
        <w:tc>
          <w:tcPr>
            <w:tcW w:w="464" w:type="pct"/>
            <w:gridSpan w:val="2"/>
            <w:vMerge/>
            <w:shd w:val="clear" w:color="auto" w:fill="FFFFFF"/>
            <w:vAlign w:val="center"/>
          </w:tcPr>
          <w:p w14:paraId="781DB538"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804" w:type="pct"/>
            <w:shd w:val="clear" w:color="auto" w:fill="FFFFFF"/>
            <w:vAlign w:val="center"/>
          </w:tcPr>
          <w:p w14:paraId="26BE10CB"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Total</w:t>
            </w:r>
          </w:p>
        </w:tc>
        <w:tc>
          <w:tcPr>
            <w:tcW w:w="931" w:type="pct"/>
            <w:gridSpan w:val="2"/>
            <w:shd w:val="clear" w:color="auto" w:fill="FFFFFF"/>
            <w:vAlign w:val="center"/>
          </w:tcPr>
          <w:p w14:paraId="64970181"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2039395.100</w:t>
            </w:r>
          </w:p>
        </w:tc>
        <w:tc>
          <w:tcPr>
            <w:tcW w:w="640" w:type="pct"/>
            <w:gridSpan w:val="2"/>
            <w:shd w:val="clear" w:color="auto" w:fill="FFFFFF"/>
            <w:vAlign w:val="center"/>
          </w:tcPr>
          <w:p w14:paraId="10218FD4"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39</w:t>
            </w:r>
          </w:p>
        </w:tc>
        <w:tc>
          <w:tcPr>
            <w:tcW w:w="882" w:type="pct"/>
            <w:gridSpan w:val="2"/>
            <w:shd w:val="clear" w:color="auto" w:fill="FFFFFF"/>
          </w:tcPr>
          <w:p w14:paraId="729762F2"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640" w:type="pct"/>
            <w:gridSpan w:val="2"/>
            <w:shd w:val="clear" w:color="auto" w:fill="FFFFFF"/>
          </w:tcPr>
          <w:p w14:paraId="34BBE130"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639" w:type="pct"/>
            <w:gridSpan w:val="2"/>
            <w:shd w:val="clear" w:color="auto" w:fill="FFFFFF"/>
          </w:tcPr>
          <w:p w14:paraId="26BAD145"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r>
      <w:tr w:rsidR="000C013D" w:rsidRPr="00E0747D" w14:paraId="76953551" w14:textId="77777777" w:rsidTr="00354635">
        <w:trPr>
          <w:cantSplit/>
        </w:trPr>
        <w:tc>
          <w:tcPr>
            <w:tcW w:w="5000" w:type="pct"/>
            <w:gridSpan w:val="13"/>
            <w:shd w:val="clear" w:color="auto" w:fill="FFFFFF"/>
          </w:tcPr>
          <w:p w14:paraId="2552DA80" w14:textId="77777777" w:rsidR="000C013D" w:rsidRPr="00E0747D" w:rsidRDefault="000C013D" w:rsidP="00E0747D">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a. Dependent Variable: Market Per Share</w:t>
            </w:r>
          </w:p>
        </w:tc>
      </w:tr>
      <w:tr w:rsidR="000C013D" w:rsidRPr="00E0747D" w14:paraId="7A8CDF94" w14:textId="77777777" w:rsidTr="00354635">
        <w:trPr>
          <w:cantSplit/>
        </w:trPr>
        <w:tc>
          <w:tcPr>
            <w:tcW w:w="5000" w:type="pct"/>
            <w:gridSpan w:val="13"/>
            <w:shd w:val="clear" w:color="auto" w:fill="FFFFFF"/>
          </w:tcPr>
          <w:p w14:paraId="552B55F1" w14:textId="77777777" w:rsidR="000C013D" w:rsidRPr="00E0747D" w:rsidRDefault="000C013D" w:rsidP="00E0747D">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E0747D">
              <w:rPr>
                <w:rFonts w:ascii="Times New Roman" w:hAnsi="Times New Roman" w:cs="Times New Roman"/>
                <w:color w:val="000000"/>
                <w:sz w:val="24"/>
                <w:szCs w:val="24"/>
                <w:lang w:bidi="ne-NP"/>
              </w:rPr>
              <w:t xml:space="preserve">b. Predictors: (Constant), Book Value Per Share, Price </w:t>
            </w:r>
            <w:proofErr w:type="spellStart"/>
            <w:r w:rsidRPr="00E0747D">
              <w:rPr>
                <w:rFonts w:ascii="Times New Roman" w:hAnsi="Times New Roman" w:cs="Times New Roman"/>
                <w:color w:val="000000"/>
                <w:sz w:val="24"/>
                <w:szCs w:val="24"/>
                <w:lang w:bidi="ne-NP"/>
              </w:rPr>
              <w:t>Earning</w:t>
            </w:r>
            <w:proofErr w:type="spellEnd"/>
            <w:r w:rsidRPr="00E0747D">
              <w:rPr>
                <w:rFonts w:ascii="Times New Roman" w:hAnsi="Times New Roman" w:cs="Times New Roman"/>
                <w:color w:val="000000"/>
                <w:sz w:val="24"/>
                <w:szCs w:val="24"/>
                <w:lang w:bidi="ne-NP"/>
              </w:rPr>
              <w:t xml:space="preserve"> Ratio, Dividend Per Share, Return on Assets, Earning Per Share</w:t>
            </w:r>
          </w:p>
        </w:tc>
      </w:tr>
      <w:tr w:rsidR="000C013D" w:rsidRPr="00D13A7F" w14:paraId="4B2FFD0B" w14:textId="77777777" w:rsidTr="00D13A7F">
        <w:trPr>
          <w:cantSplit/>
          <w:trHeight w:val="1565"/>
        </w:trPr>
        <w:tc>
          <w:tcPr>
            <w:tcW w:w="5000" w:type="pct"/>
            <w:gridSpan w:val="13"/>
            <w:tcBorders>
              <w:top w:val="nil"/>
              <w:left w:val="nil"/>
              <w:right w:val="nil"/>
            </w:tcBorders>
            <w:shd w:val="clear" w:color="auto" w:fill="FFFFFF"/>
          </w:tcPr>
          <w:p w14:paraId="404DB6E3" w14:textId="77777777" w:rsidR="00D13A7F" w:rsidRDefault="00D13A7F" w:rsidP="00D13A7F">
            <w:pPr>
              <w:autoSpaceDE w:val="0"/>
              <w:autoSpaceDN w:val="0"/>
              <w:adjustRightInd w:val="0"/>
              <w:spacing w:after="0" w:line="320" w:lineRule="atLeast"/>
              <w:ind w:left="60" w:right="60"/>
              <w:jc w:val="center"/>
              <w:rPr>
                <w:rFonts w:ascii="Times New Roman" w:hAnsi="Times New Roman" w:cs="Times New Roman"/>
                <w:b/>
                <w:bCs/>
                <w:color w:val="000000"/>
                <w:sz w:val="24"/>
                <w:szCs w:val="24"/>
                <w:lang w:bidi="ne-NP"/>
              </w:rPr>
            </w:pPr>
          </w:p>
          <w:p w14:paraId="56F0D06C" w14:textId="77777777" w:rsidR="00D13A7F" w:rsidRDefault="00D13A7F" w:rsidP="00B1653F">
            <w:pPr>
              <w:autoSpaceDE w:val="0"/>
              <w:autoSpaceDN w:val="0"/>
              <w:adjustRightInd w:val="0"/>
              <w:spacing w:after="0" w:line="320" w:lineRule="atLeast"/>
              <w:ind w:right="60"/>
              <w:rPr>
                <w:rFonts w:ascii="Times New Roman" w:hAnsi="Times New Roman" w:cs="Times New Roman"/>
                <w:b/>
                <w:bCs/>
                <w:color w:val="000000"/>
                <w:sz w:val="24"/>
                <w:szCs w:val="24"/>
                <w:lang w:bidi="ne-NP"/>
              </w:rPr>
            </w:pPr>
          </w:p>
          <w:p w14:paraId="096A3997" w14:textId="4C2A3727" w:rsidR="000C013D" w:rsidRPr="00D13A7F" w:rsidRDefault="000C013D" w:rsidP="00D13A7F">
            <w:pPr>
              <w:autoSpaceDE w:val="0"/>
              <w:autoSpaceDN w:val="0"/>
              <w:adjustRightInd w:val="0"/>
              <w:spacing w:after="0" w:line="320" w:lineRule="atLeast"/>
              <w:ind w:right="60"/>
              <w:rPr>
                <w:rFonts w:ascii="Times New Roman" w:hAnsi="Times New Roman" w:cs="Times New Roman"/>
                <w:b/>
                <w:bCs/>
                <w:color w:val="000000"/>
                <w:sz w:val="24"/>
                <w:szCs w:val="24"/>
                <w:lang w:bidi="ne-NP"/>
              </w:rPr>
            </w:pPr>
          </w:p>
        </w:tc>
      </w:tr>
      <w:tr w:rsidR="00D13A7F" w:rsidRPr="00D13A7F" w14:paraId="6F025432" w14:textId="77777777" w:rsidTr="00D13A7F">
        <w:trPr>
          <w:cantSplit/>
          <w:trHeight w:val="351"/>
        </w:trPr>
        <w:tc>
          <w:tcPr>
            <w:tcW w:w="5000" w:type="pct"/>
            <w:gridSpan w:val="13"/>
            <w:tcBorders>
              <w:top w:val="single" w:sz="4" w:space="0" w:color="auto"/>
              <w:left w:val="single" w:sz="4" w:space="0" w:color="auto"/>
              <w:right w:val="single" w:sz="4" w:space="0" w:color="auto"/>
            </w:tcBorders>
            <w:shd w:val="clear" w:color="auto" w:fill="FFFFFF"/>
            <w:vAlign w:val="center"/>
          </w:tcPr>
          <w:p w14:paraId="2D2E9477" w14:textId="18C5541C" w:rsidR="00D13A7F" w:rsidRDefault="00D13A7F" w:rsidP="00D13A7F">
            <w:pPr>
              <w:autoSpaceDE w:val="0"/>
              <w:autoSpaceDN w:val="0"/>
              <w:adjustRightInd w:val="0"/>
              <w:spacing w:after="0" w:line="320" w:lineRule="atLeast"/>
              <w:ind w:right="60"/>
              <w:jc w:val="center"/>
              <w:rPr>
                <w:rFonts w:ascii="Times New Roman" w:hAnsi="Times New Roman" w:cs="Times New Roman"/>
                <w:b/>
                <w:bCs/>
                <w:color w:val="000000"/>
                <w:sz w:val="24"/>
                <w:szCs w:val="24"/>
                <w:lang w:bidi="ne-NP"/>
              </w:rPr>
            </w:pPr>
            <w:proofErr w:type="spellStart"/>
            <w:r w:rsidRPr="00D13A7F">
              <w:rPr>
                <w:rFonts w:ascii="Times New Roman" w:hAnsi="Times New Roman" w:cs="Times New Roman"/>
                <w:b/>
                <w:bCs/>
                <w:color w:val="000000"/>
                <w:sz w:val="24"/>
                <w:szCs w:val="24"/>
                <w:lang w:bidi="ne-NP"/>
              </w:rPr>
              <w:t>Coefficients</w:t>
            </w:r>
            <w:r w:rsidRPr="00D13A7F">
              <w:rPr>
                <w:rFonts w:ascii="Times New Roman" w:hAnsi="Times New Roman" w:cs="Times New Roman"/>
                <w:b/>
                <w:bCs/>
                <w:color w:val="000000"/>
                <w:sz w:val="24"/>
                <w:szCs w:val="24"/>
                <w:vertAlign w:val="superscript"/>
                <w:lang w:bidi="ne-NP"/>
              </w:rPr>
              <w:t>a</w:t>
            </w:r>
            <w:proofErr w:type="spellEnd"/>
          </w:p>
        </w:tc>
      </w:tr>
      <w:tr w:rsidR="000C013D" w:rsidRPr="00D13A7F" w14:paraId="46F6E837" w14:textId="77777777" w:rsidTr="00351325">
        <w:trPr>
          <w:cantSplit/>
        </w:trPr>
        <w:tc>
          <w:tcPr>
            <w:tcW w:w="1582" w:type="pct"/>
            <w:gridSpan w:val="4"/>
            <w:vMerge w:val="restart"/>
            <w:shd w:val="clear" w:color="auto" w:fill="FFFFFF"/>
          </w:tcPr>
          <w:p w14:paraId="0B0B68C4"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Model</w:t>
            </w:r>
          </w:p>
        </w:tc>
        <w:tc>
          <w:tcPr>
            <w:tcW w:w="1480" w:type="pct"/>
            <w:gridSpan w:val="4"/>
            <w:shd w:val="clear" w:color="auto" w:fill="FFFFFF"/>
          </w:tcPr>
          <w:p w14:paraId="4FBECB8B"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Unstandardized Coefficients</w:t>
            </w:r>
          </w:p>
        </w:tc>
        <w:tc>
          <w:tcPr>
            <w:tcW w:w="817" w:type="pct"/>
            <w:gridSpan w:val="2"/>
            <w:shd w:val="clear" w:color="auto" w:fill="FFFFFF"/>
          </w:tcPr>
          <w:p w14:paraId="65937101"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Standardized Coefficients</w:t>
            </w:r>
          </w:p>
        </w:tc>
        <w:tc>
          <w:tcPr>
            <w:tcW w:w="561" w:type="pct"/>
            <w:gridSpan w:val="2"/>
            <w:vMerge w:val="restart"/>
            <w:shd w:val="clear" w:color="auto" w:fill="FFFFFF"/>
          </w:tcPr>
          <w:p w14:paraId="64632793"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t</w:t>
            </w:r>
          </w:p>
        </w:tc>
        <w:tc>
          <w:tcPr>
            <w:tcW w:w="560" w:type="pct"/>
            <w:vMerge w:val="restart"/>
            <w:shd w:val="clear" w:color="auto" w:fill="FFFFFF"/>
          </w:tcPr>
          <w:p w14:paraId="4AF2280A"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Sig.</w:t>
            </w:r>
          </w:p>
        </w:tc>
      </w:tr>
      <w:tr w:rsidR="000C013D" w:rsidRPr="00D13A7F" w14:paraId="5CC7CE69" w14:textId="77777777" w:rsidTr="00351325">
        <w:trPr>
          <w:cantSplit/>
        </w:trPr>
        <w:tc>
          <w:tcPr>
            <w:tcW w:w="1582" w:type="pct"/>
            <w:gridSpan w:val="4"/>
            <w:vMerge/>
            <w:shd w:val="clear" w:color="auto" w:fill="FFFFFF"/>
          </w:tcPr>
          <w:p w14:paraId="093764FE"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740" w:type="pct"/>
            <w:gridSpan w:val="2"/>
            <w:shd w:val="clear" w:color="auto" w:fill="FFFFFF"/>
          </w:tcPr>
          <w:p w14:paraId="2D2A240A"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B</w:t>
            </w:r>
          </w:p>
        </w:tc>
        <w:tc>
          <w:tcPr>
            <w:tcW w:w="740" w:type="pct"/>
            <w:gridSpan w:val="2"/>
            <w:shd w:val="clear" w:color="auto" w:fill="FFFFFF"/>
          </w:tcPr>
          <w:p w14:paraId="44B55D36"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Std. Error</w:t>
            </w:r>
          </w:p>
        </w:tc>
        <w:tc>
          <w:tcPr>
            <w:tcW w:w="817" w:type="pct"/>
            <w:gridSpan w:val="2"/>
            <w:shd w:val="clear" w:color="auto" w:fill="FFFFFF"/>
          </w:tcPr>
          <w:p w14:paraId="7CC5C8B0"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Beta</w:t>
            </w:r>
          </w:p>
        </w:tc>
        <w:tc>
          <w:tcPr>
            <w:tcW w:w="561" w:type="pct"/>
            <w:gridSpan w:val="2"/>
            <w:vMerge/>
            <w:shd w:val="clear" w:color="auto" w:fill="FFFFFF"/>
          </w:tcPr>
          <w:p w14:paraId="4AB1139A"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560" w:type="pct"/>
            <w:vMerge/>
            <w:shd w:val="clear" w:color="auto" w:fill="FFFFFF"/>
          </w:tcPr>
          <w:p w14:paraId="0649EAF8"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r>
      <w:tr w:rsidR="000C013D" w:rsidRPr="00D13A7F" w14:paraId="0FA29FF3" w14:textId="77777777" w:rsidTr="006A288B">
        <w:trPr>
          <w:cantSplit/>
        </w:trPr>
        <w:tc>
          <w:tcPr>
            <w:tcW w:w="407" w:type="pct"/>
            <w:vMerge w:val="restart"/>
            <w:shd w:val="clear" w:color="auto" w:fill="FFFFFF"/>
            <w:vAlign w:val="center"/>
          </w:tcPr>
          <w:p w14:paraId="78467353"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1</w:t>
            </w:r>
          </w:p>
        </w:tc>
        <w:tc>
          <w:tcPr>
            <w:tcW w:w="1174" w:type="pct"/>
            <w:gridSpan w:val="3"/>
            <w:shd w:val="clear" w:color="auto" w:fill="FFFFFF"/>
            <w:vAlign w:val="center"/>
          </w:tcPr>
          <w:p w14:paraId="41C3278C"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(Constant)</w:t>
            </w:r>
          </w:p>
        </w:tc>
        <w:tc>
          <w:tcPr>
            <w:tcW w:w="740" w:type="pct"/>
            <w:gridSpan w:val="2"/>
            <w:shd w:val="clear" w:color="auto" w:fill="FFFFFF"/>
            <w:vAlign w:val="center"/>
          </w:tcPr>
          <w:p w14:paraId="76D0EB04"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800.779</w:t>
            </w:r>
          </w:p>
        </w:tc>
        <w:tc>
          <w:tcPr>
            <w:tcW w:w="740" w:type="pct"/>
            <w:gridSpan w:val="2"/>
            <w:shd w:val="clear" w:color="auto" w:fill="FFFFFF"/>
            <w:vAlign w:val="center"/>
          </w:tcPr>
          <w:p w14:paraId="47D4EB65"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306.572</w:t>
            </w:r>
          </w:p>
        </w:tc>
        <w:tc>
          <w:tcPr>
            <w:tcW w:w="817" w:type="pct"/>
            <w:gridSpan w:val="2"/>
            <w:shd w:val="clear" w:color="auto" w:fill="FFFFFF"/>
          </w:tcPr>
          <w:p w14:paraId="4E574DBE"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561" w:type="pct"/>
            <w:gridSpan w:val="2"/>
            <w:shd w:val="clear" w:color="auto" w:fill="FFFFFF"/>
            <w:vAlign w:val="center"/>
          </w:tcPr>
          <w:p w14:paraId="064E59E1"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2.612</w:t>
            </w:r>
          </w:p>
        </w:tc>
        <w:tc>
          <w:tcPr>
            <w:tcW w:w="560" w:type="pct"/>
            <w:shd w:val="clear" w:color="auto" w:fill="FFFFFF"/>
            <w:vAlign w:val="center"/>
          </w:tcPr>
          <w:p w14:paraId="06DAB6C7"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.013</w:t>
            </w:r>
          </w:p>
        </w:tc>
      </w:tr>
      <w:tr w:rsidR="000C013D" w:rsidRPr="00D13A7F" w14:paraId="7E49B970" w14:textId="77777777" w:rsidTr="006A288B">
        <w:trPr>
          <w:cantSplit/>
        </w:trPr>
        <w:tc>
          <w:tcPr>
            <w:tcW w:w="407" w:type="pct"/>
            <w:vMerge/>
            <w:shd w:val="clear" w:color="auto" w:fill="FFFFFF"/>
            <w:vAlign w:val="center"/>
          </w:tcPr>
          <w:p w14:paraId="6CDEF4D5"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1174" w:type="pct"/>
            <w:gridSpan w:val="3"/>
            <w:shd w:val="clear" w:color="auto" w:fill="FFFFFF"/>
            <w:vAlign w:val="center"/>
          </w:tcPr>
          <w:p w14:paraId="40637B20"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Earning Per Share</w:t>
            </w:r>
          </w:p>
        </w:tc>
        <w:tc>
          <w:tcPr>
            <w:tcW w:w="740" w:type="pct"/>
            <w:gridSpan w:val="2"/>
            <w:shd w:val="clear" w:color="auto" w:fill="FFFFFF"/>
            <w:vAlign w:val="center"/>
          </w:tcPr>
          <w:p w14:paraId="43775C42"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-2.583</w:t>
            </w:r>
          </w:p>
        </w:tc>
        <w:tc>
          <w:tcPr>
            <w:tcW w:w="740" w:type="pct"/>
            <w:gridSpan w:val="2"/>
            <w:shd w:val="clear" w:color="auto" w:fill="FFFFFF"/>
            <w:vAlign w:val="center"/>
          </w:tcPr>
          <w:p w14:paraId="551B1D74"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9.557</w:t>
            </w:r>
          </w:p>
        </w:tc>
        <w:tc>
          <w:tcPr>
            <w:tcW w:w="817" w:type="pct"/>
            <w:gridSpan w:val="2"/>
            <w:shd w:val="clear" w:color="auto" w:fill="FFFFFF"/>
            <w:vAlign w:val="center"/>
          </w:tcPr>
          <w:p w14:paraId="0C45BDF1"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-.099</w:t>
            </w:r>
          </w:p>
        </w:tc>
        <w:tc>
          <w:tcPr>
            <w:tcW w:w="561" w:type="pct"/>
            <w:gridSpan w:val="2"/>
            <w:shd w:val="clear" w:color="auto" w:fill="FFFFFF"/>
            <w:vAlign w:val="center"/>
          </w:tcPr>
          <w:p w14:paraId="6A946F03"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-.270</w:t>
            </w:r>
          </w:p>
        </w:tc>
        <w:tc>
          <w:tcPr>
            <w:tcW w:w="560" w:type="pct"/>
            <w:shd w:val="clear" w:color="auto" w:fill="FFFFFF"/>
            <w:vAlign w:val="center"/>
          </w:tcPr>
          <w:p w14:paraId="5B73A339"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.789</w:t>
            </w:r>
          </w:p>
        </w:tc>
      </w:tr>
      <w:tr w:rsidR="000C013D" w:rsidRPr="00D13A7F" w14:paraId="4025BB63" w14:textId="77777777" w:rsidTr="006A288B">
        <w:trPr>
          <w:cantSplit/>
        </w:trPr>
        <w:tc>
          <w:tcPr>
            <w:tcW w:w="407" w:type="pct"/>
            <w:vMerge/>
            <w:shd w:val="clear" w:color="auto" w:fill="FFFFFF"/>
            <w:vAlign w:val="center"/>
          </w:tcPr>
          <w:p w14:paraId="6D5C07EE"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1174" w:type="pct"/>
            <w:gridSpan w:val="3"/>
            <w:shd w:val="clear" w:color="auto" w:fill="FFFFFF"/>
            <w:vAlign w:val="center"/>
          </w:tcPr>
          <w:p w14:paraId="7EA9143E"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Dividend Per Share</w:t>
            </w:r>
          </w:p>
        </w:tc>
        <w:tc>
          <w:tcPr>
            <w:tcW w:w="740" w:type="pct"/>
            <w:gridSpan w:val="2"/>
            <w:shd w:val="clear" w:color="auto" w:fill="FFFFFF"/>
            <w:vAlign w:val="center"/>
          </w:tcPr>
          <w:p w14:paraId="377A862F"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.192</w:t>
            </w:r>
          </w:p>
        </w:tc>
        <w:tc>
          <w:tcPr>
            <w:tcW w:w="740" w:type="pct"/>
            <w:gridSpan w:val="2"/>
            <w:shd w:val="clear" w:color="auto" w:fill="FFFFFF"/>
            <w:vAlign w:val="center"/>
          </w:tcPr>
          <w:p w14:paraId="727A960F"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5.288</w:t>
            </w:r>
          </w:p>
        </w:tc>
        <w:tc>
          <w:tcPr>
            <w:tcW w:w="817" w:type="pct"/>
            <w:gridSpan w:val="2"/>
            <w:shd w:val="clear" w:color="auto" w:fill="FFFFFF"/>
            <w:vAlign w:val="center"/>
          </w:tcPr>
          <w:p w14:paraId="63DBA73F"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.007</w:t>
            </w:r>
          </w:p>
        </w:tc>
        <w:tc>
          <w:tcPr>
            <w:tcW w:w="561" w:type="pct"/>
            <w:gridSpan w:val="2"/>
            <w:shd w:val="clear" w:color="auto" w:fill="FFFFFF"/>
            <w:vAlign w:val="center"/>
          </w:tcPr>
          <w:p w14:paraId="7CAC0801"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.036</w:t>
            </w:r>
          </w:p>
        </w:tc>
        <w:tc>
          <w:tcPr>
            <w:tcW w:w="560" w:type="pct"/>
            <w:shd w:val="clear" w:color="auto" w:fill="FFFFFF"/>
            <w:vAlign w:val="center"/>
          </w:tcPr>
          <w:p w14:paraId="6EBC12AF"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.971</w:t>
            </w:r>
          </w:p>
        </w:tc>
      </w:tr>
      <w:tr w:rsidR="000C013D" w:rsidRPr="00D13A7F" w14:paraId="617A164B" w14:textId="77777777" w:rsidTr="006A288B">
        <w:trPr>
          <w:cantSplit/>
        </w:trPr>
        <w:tc>
          <w:tcPr>
            <w:tcW w:w="407" w:type="pct"/>
            <w:vMerge/>
            <w:shd w:val="clear" w:color="auto" w:fill="FFFFFF"/>
            <w:vAlign w:val="center"/>
          </w:tcPr>
          <w:p w14:paraId="02928987"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1174" w:type="pct"/>
            <w:gridSpan w:val="3"/>
            <w:shd w:val="clear" w:color="auto" w:fill="FFFFFF"/>
            <w:vAlign w:val="center"/>
          </w:tcPr>
          <w:p w14:paraId="4AB2BB3C"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Return on Assets</w:t>
            </w:r>
          </w:p>
        </w:tc>
        <w:tc>
          <w:tcPr>
            <w:tcW w:w="740" w:type="pct"/>
            <w:gridSpan w:val="2"/>
            <w:shd w:val="clear" w:color="auto" w:fill="FFFFFF"/>
            <w:vAlign w:val="center"/>
          </w:tcPr>
          <w:p w14:paraId="45C5D9AC"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-809.353</w:t>
            </w:r>
          </w:p>
        </w:tc>
        <w:tc>
          <w:tcPr>
            <w:tcW w:w="740" w:type="pct"/>
            <w:gridSpan w:val="2"/>
            <w:shd w:val="clear" w:color="auto" w:fill="FFFFFF"/>
            <w:vAlign w:val="center"/>
          </w:tcPr>
          <w:p w14:paraId="523C630A"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10294.911</w:t>
            </w:r>
          </w:p>
        </w:tc>
        <w:tc>
          <w:tcPr>
            <w:tcW w:w="817" w:type="pct"/>
            <w:gridSpan w:val="2"/>
            <w:shd w:val="clear" w:color="auto" w:fill="FFFFFF"/>
            <w:vAlign w:val="center"/>
          </w:tcPr>
          <w:p w14:paraId="71B06261"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-.020</w:t>
            </w:r>
          </w:p>
        </w:tc>
        <w:tc>
          <w:tcPr>
            <w:tcW w:w="561" w:type="pct"/>
            <w:gridSpan w:val="2"/>
            <w:shd w:val="clear" w:color="auto" w:fill="FFFFFF"/>
            <w:vAlign w:val="center"/>
          </w:tcPr>
          <w:p w14:paraId="16BB04B9"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-.079</w:t>
            </w:r>
          </w:p>
        </w:tc>
        <w:tc>
          <w:tcPr>
            <w:tcW w:w="560" w:type="pct"/>
            <w:shd w:val="clear" w:color="auto" w:fill="FFFFFF"/>
            <w:vAlign w:val="center"/>
          </w:tcPr>
          <w:p w14:paraId="1FB0ECD3"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.938</w:t>
            </w:r>
          </w:p>
        </w:tc>
      </w:tr>
      <w:tr w:rsidR="000C013D" w:rsidRPr="00D13A7F" w14:paraId="7FC05723" w14:textId="77777777" w:rsidTr="006A288B">
        <w:trPr>
          <w:cantSplit/>
        </w:trPr>
        <w:tc>
          <w:tcPr>
            <w:tcW w:w="407" w:type="pct"/>
            <w:vMerge/>
            <w:shd w:val="clear" w:color="auto" w:fill="FFFFFF"/>
            <w:vAlign w:val="center"/>
          </w:tcPr>
          <w:p w14:paraId="23B62B91"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1174" w:type="pct"/>
            <w:gridSpan w:val="3"/>
            <w:shd w:val="clear" w:color="auto" w:fill="FFFFFF"/>
            <w:vAlign w:val="center"/>
          </w:tcPr>
          <w:p w14:paraId="1EB217DE"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 xml:space="preserve">Price </w:t>
            </w:r>
            <w:proofErr w:type="spellStart"/>
            <w:r w:rsidRPr="00D13A7F">
              <w:rPr>
                <w:rFonts w:ascii="Times New Roman" w:hAnsi="Times New Roman" w:cs="Times New Roman"/>
                <w:color w:val="000000"/>
                <w:sz w:val="24"/>
                <w:szCs w:val="24"/>
                <w:lang w:bidi="ne-NP"/>
              </w:rPr>
              <w:t>Earning</w:t>
            </w:r>
            <w:proofErr w:type="spellEnd"/>
            <w:r w:rsidRPr="00D13A7F">
              <w:rPr>
                <w:rFonts w:ascii="Times New Roman" w:hAnsi="Times New Roman" w:cs="Times New Roman"/>
                <w:color w:val="000000"/>
                <w:sz w:val="24"/>
                <w:szCs w:val="24"/>
                <w:lang w:bidi="ne-NP"/>
              </w:rPr>
              <w:t xml:space="preserve"> Ratio</w:t>
            </w:r>
          </w:p>
        </w:tc>
        <w:tc>
          <w:tcPr>
            <w:tcW w:w="740" w:type="pct"/>
            <w:gridSpan w:val="2"/>
            <w:shd w:val="clear" w:color="auto" w:fill="FFFFFF"/>
            <w:vAlign w:val="center"/>
          </w:tcPr>
          <w:p w14:paraId="314A7059"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2.250</w:t>
            </w:r>
          </w:p>
        </w:tc>
        <w:tc>
          <w:tcPr>
            <w:tcW w:w="740" w:type="pct"/>
            <w:gridSpan w:val="2"/>
            <w:shd w:val="clear" w:color="auto" w:fill="FFFFFF"/>
            <w:vAlign w:val="center"/>
          </w:tcPr>
          <w:p w14:paraId="0FC4D1DD"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3.519</w:t>
            </w:r>
          </w:p>
        </w:tc>
        <w:tc>
          <w:tcPr>
            <w:tcW w:w="817" w:type="pct"/>
            <w:gridSpan w:val="2"/>
            <w:shd w:val="clear" w:color="auto" w:fill="FFFFFF"/>
            <w:vAlign w:val="center"/>
          </w:tcPr>
          <w:p w14:paraId="0CB3C25C"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.111</w:t>
            </w:r>
          </w:p>
        </w:tc>
        <w:tc>
          <w:tcPr>
            <w:tcW w:w="561" w:type="pct"/>
            <w:gridSpan w:val="2"/>
            <w:shd w:val="clear" w:color="auto" w:fill="FFFFFF"/>
            <w:vAlign w:val="center"/>
          </w:tcPr>
          <w:p w14:paraId="67340A4D"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.639</w:t>
            </w:r>
          </w:p>
        </w:tc>
        <w:tc>
          <w:tcPr>
            <w:tcW w:w="560" w:type="pct"/>
            <w:shd w:val="clear" w:color="auto" w:fill="FFFFFF"/>
            <w:vAlign w:val="center"/>
          </w:tcPr>
          <w:p w14:paraId="527C25BB"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.527</w:t>
            </w:r>
          </w:p>
        </w:tc>
      </w:tr>
      <w:tr w:rsidR="000C013D" w:rsidRPr="00D13A7F" w14:paraId="2AE7ADEB" w14:textId="77777777" w:rsidTr="006A288B">
        <w:trPr>
          <w:cantSplit/>
        </w:trPr>
        <w:tc>
          <w:tcPr>
            <w:tcW w:w="407" w:type="pct"/>
            <w:vMerge/>
            <w:shd w:val="clear" w:color="auto" w:fill="FFFFFF"/>
            <w:vAlign w:val="center"/>
          </w:tcPr>
          <w:p w14:paraId="10DBE29D"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tc>
        <w:tc>
          <w:tcPr>
            <w:tcW w:w="1174" w:type="pct"/>
            <w:gridSpan w:val="3"/>
            <w:shd w:val="clear" w:color="auto" w:fill="FFFFFF"/>
            <w:vAlign w:val="center"/>
          </w:tcPr>
          <w:p w14:paraId="5E914F1D"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Book Value Per Share</w:t>
            </w:r>
          </w:p>
        </w:tc>
        <w:tc>
          <w:tcPr>
            <w:tcW w:w="740" w:type="pct"/>
            <w:gridSpan w:val="2"/>
            <w:shd w:val="clear" w:color="auto" w:fill="FFFFFF"/>
            <w:vAlign w:val="center"/>
          </w:tcPr>
          <w:p w14:paraId="07950094"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-2.222</w:t>
            </w:r>
          </w:p>
        </w:tc>
        <w:tc>
          <w:tcPr>
            <w:tcW w:w="740" w:type="pct"/>
            <w:gridSpan w:val="2"/>
            <w:shd w:val="clear" w:color="auto" w:fill="FFFFFF"/>
            <w:vAlign w:val="center"/>
          </w:tcPr>
          <w:p w14:paraId="7A43D699"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2.565</w:t>
            </w:r>
          </w:p>
        </w:tc>
        <w:tc>
          <w:tcPr>
            <w:tcW w:w="817" w:type="pct"/>
            <w:gridSpan w:val="2"/>
            <w:shd w:val="clear" w:color="auto" w:fill="FFFFFF"/>
            <w:vAlign w:val="center"/>
          </w:tcPr>
          <w:p w14:paraId="178CAB90"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-.233</w:t>
            </w:r>
          </w:p>
        </w:tc>
        <w:tc>
          <w:tcPr>
            <w:tcW w:w="561" w:type="pct"/>
            <w:gridSpan w:val="2"/>
            <w:shd w:val="clear" w:color="auto" w:fill="FFFFFF"/>
            <w:vAlign w:val="center"/>
          </w:tcPr>
          <w:p w14:paraId="0A9E7015"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-.866</w:t>
            </w:r>
          </w:p>
        </w:tc>
        <w:tc>
          <w:tcPr>
            <w:tcW w:w="560" w:type="pct"/>
            <w:shd w:val="clear" w:color="auto" w:fill="FFFFFF"/>
            <w:vAlign w:val="center"/>
          </w:tcPr>
          <w:p w14:paraId="7B3E9504"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.392</w:t>
            </w:r>
          </w:p>
        </w:tc>
      </w:tr>
      <w:tr w:rsidR="000C013D" w:rsidRPr="00D13A7F" w14:paraId="6B2CB13C" w14:textId="77777777" w:rsidTr="00354635">
        <w:trPr>
          <w:cantSplit/>
        </w:trPr>
        <w:tc>
          <w:tcPr>
            <w:tcW w:w="5000" w:type="pct"/>
            <w:gridSpan w:val="13"/>
            <w:shd w:val="clear" w:color="auto" w:fill="FFFFFF"/>
          </w:tcPr>
          <w:p w14:paraId="1507E6C4" w14:textId="77777777" w:rsidR="000C013D" w:rsidRPr="00D13A7F" w:rsidRDefault="000C013D" w:rsidP="002405D6">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a. Dependent Variable: Market Per Share</w:t>
            </w:r>
          </w:p>
        </w:tc>
      </w:tr>
    </w:tbl>
    <w:p w14:paraId="2C98484E" w14:textId="77777777" w:rsidR="000C013D" w:rsidRPr="00D13A7F" w:rsidRDefault="000C013D" w:rsidP="00D13A7F">
      <w:pPr>
        <w:autoSpaceDE w:val="0"/>
        <w:autoSpaceDN w:val="0"/>
        <w:adjustRightInd w:val="0"/>
        <w:spacing w:after="0" w:line="320" w:lineRule="atLeast"/>
        <w:ind w:left="60" w:right="60"/>
        <w:jc w:val="center"/>
        <w:rPr>
          <w:rFonts w:ascii="Times New Roman" w:hAnsi="Times New Roman" w:cs="Times New Roman"/>
          <w:color w:val="000000"/>
          <w:sz w:val="24"/>
          <w:szCs w:val="24"/>
          <w:lang w:bidi="ne-NP"/>
        </w:rPr>
      </w:pPr>
    </w:p>
    <w:p w14:paraId="422AABC0" w14:textId="77777777" w:rsidR="00D13A7F" w:rsidRDefault="00D13A7F" w:rsidP="00D13A7F">
      <w:pPr>
        <w:autoSpaceDE w:val="0"/>
        <w:autoSpaceDN w:val="0"/>
        <w:adjustRightInd w:val="0"/>
        <w:spacing w:after="0" w:line="320" w:lineRule="atLeast"/>
        <w:ind w:right="60"/>
        <w:rPr>
          <w:rFonts w:ascii="Times New Roman" w:hAnsi="Times New Roman" w:cs="Times New Roman"/>
          <w:b/>
          <w:bCs/>
          <w:color w:val="000000"/>
          <w:sz w:val="24"/>
          <w:szCs w:val="24"/>
          <w:lang w:bidi="ne-NP"/>
        </w:rPr>
      </w:pPr>
    </w:p>
    <w:p w14:paraId="691A9566" w14:textId="726C5CA2" w:rsidR="000C013D" w:rsidRPr="00D13A7F" w:rsidRDefault="000C013D" w:rsidP="00D13A7F">
      <w:pPr>
        <w:autoSpaceDE w:val="0"/>
        <w:autoSpaceDN w:val="0"/>
        <w:adjustRightInd w:val="0"/>
        <w:spacing w:after="0" w:line="320" w:lineRule="atLeast"/>
        <w:ind w:right="60"/>
        <w:rPr>
          <w:rFonts w:ascii="Times New Roman" w:hAnsi="Times New Roman" w:cs="Times New Roman"/>
          <w:b/>
          <w:bCs/>
          <w:color w:val="000000"/>
          <w:sz w:val="24"/>
          <w:szCs w:val="24"/>
          <w:lang w:bidi="ne-NP"/>
        </w:rPr>
      </w:pPr>
      <w:r w:rsidRPr="00D13A7F">
        <w:rPr>
          <w:rFonts w:ascii="Times New Roman" w:hAnsi="Times New Roman" w:cs="Times New Roman"/>
          <w:b/>
          <w:bCs/>
          <w:color w:val="000000"/>
          <w:sz w:val="24"/>
          <w:szCs w:val="24"/>
          <w:lang w:bidi="ne-NP"/>
        </w:rPr>
        <w:t>Model Interpretation of overall analysis in relation to Market per share</w:t>
      </w:r>
    </w:p>
    <w:p w14:paraId="3BE26BAE" w14:textId="77777777" w:rsidR="000C013D" w:rsidRPr="00D13A7F" w:rsidRDefault="000C013D" w:rsidP="00D13A7F">
      <w:pPr>
        <w:autoSpaceDE w:val="0"/>
        <w:autoSpaceDN w:val="0"/>
        <w:adjustRightInd w:val="0"/>
        <w:spacing w:after="0" w:line="320" w:lineRule="atLeast"/>
        <w:ind w:left="60" w:right="60"/>
        <w:rPr>
          <w:rFonts w:ascii="Times New Roman" w:hAnsi="Times New Roman" w:cs="Times New Roman"/>
          <w:color w:val="000000"/>
          <w:sz w:val="24"/>
          <w:szCs w:val="24"/>
          <w:lang w:bidi="ne-NP"/>
        </w:rPr>
      </w:pPr>
      <w:r w:rsidRPr="00D13A7F">
        <w:rPr>
          <w:rFonts w:ascii="Times New Roman" w:hAnsi="Times New Roman" w:cs="Times New Roman"/>
          <w:color w:val="000000"/>
          <w:sz w:val="24"/>
          <w:szCs w:val="24"/>
          <w:lang w:bidi="ne-NP"/>
        </w:rPr>
        <w:t>y = a+bx1+bx2+bx3+bx4+bx5</w:t>
      </w:r>
    </w:p>
    <w:p w14:paraId="7849D530"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vertAlign w:val="subscript"/>
        </w:rPr>
      </w:pPr>
      <w:r w:rsidRPr="00143B41">
        <w:rPr>
          <w:rFonts w:ascii="Times New Roman" w:hAnsi="Times New Roman" w:cs="Times New Roman"/>
          <w:color w:val="000000" w:themeColor="text1"/>
          <w:szCs w:val="24"/>
        </w:rPr>
        <w:t>MPS= 584.905+(-8.</w:t>
      </w:r>
      <w:proofErr w:type="gramStart"/>
      <w:r w:rsidRPr="00143B41">
        <w:rPr>
          <w:rFonts w:ascii="Times New Roman" w:hAnsi="Times New Roman" w:cs="Times New Roman"/>
          <w:color w:val="000000" w:themeColor="text1"/>
          <w:szCs w:val="24"/>
        </w:rPr>
        <w:t>645)x</w:t>
      </w:r>
      <w:proofErr w:type="gramEnd"/>
      <w:r w:rsidRPr="00143B41">
        <w:rPr>
          <w:rFonts w:ascii="Times New Roman" w:hAnsi="Times New Roman" w:cs="Times New Roman"/>
          <w:color w:val="000000" w:themeColor="text1"/>
          <w:szCs w:val="24"/>
          <w:vertAlign w:val="subscript"/>
        </w:rPr>
        <w:t>1</w:t>
      </w:r>
      <w:r w:rsidRPr="00143B41">
        <w:rPr>
          <w:rFonts w:ascii="Times New Roman" w:hAnsi="Times New Roman" w:cs="Times New Roman"/>
          <w:color w:val="000000" w:themeColor="text1"/>
          <w:szCs w:val="24"/>
        </w:rPr>
        <w:t>+.983x</w:t>
      </w:r>
      <w:r w:rsidRPr="00143B41">
        <w:rPr>
          <w:rFonts w:ascii="Times New Roman" w:hAnsi="Times New Roman" w:cs="Times New Roman"/>
          <w:color w:val="000000" w:themeColor="text1"/>
          <w:szCs w:val="24"/>
          <w:vertAlign w:val="subscript"/>
        </w:rPr>
        <w:t>2</w:t>
      </w:r>
      <w:r w:rsidRPr="00143B41">
        <w:rPr>
          <w:rFonts w:ascii="Times New Roman" w:hAnsi="Times New Roman" w:cs="Times New Roman"/>
          <w:color w:val="000000" w:themeColor="text1"/>
          <w:szCs w:val="24"/>
        </w:rPr>
        <w:t>+1040.577x</w:t>
      </w:r>
      <w:r w:rsidRPr="00143B41">
        <w:rPr>
          <w:rFonts w:ascii="Times New Roman" w:hAnsi="Times New Roman" w:cs="Times New Roman"/>
          <w:color w:val="000000" w:themeColor="text1"/>
          <w:szCs w:val="24"/>
          <w:vertAlign w:val="subscript"/>
        </w:rPr>
        <w:t>3</w:t>
      </w:r>
      <w:r w:rsidRPr="00143B41">
        <w:rPr>
          <w:rFonts w:ascii="Times New Roman" w:hAnsi="Times New Roman" w:cs="Times New Roman"/>
          <w:color w:val="000000" w:themeColor="text1"/>
          <w:szCs w:val="24"/>
        </w:rPr>
        <w:t>+2.036x</w:t>
      </w:r>
      <w:r w:rsidRPr="00143B41">
        <w:rPr>
          <w:rFonts w:ascii="Times New Roman" w:hAnsi="Times New Roman" w:cs="Times New Roman"/>
          <w:color w:val="000000" w:themeColor="text1"/>
          <w:szCs w:val="24"/>
          <w:vertAlign w:val="subscript"/>
        </w:rPr>
        <w:t>4</w:t>
      </w:r>
      <w:r w:rsidRPr="00143B41">
        <w:rPr>
          <w:rFonts w:ascii="Times New Roman" w:hAnsi="Times New Roman" w:cs="Times New Roman"/>
          <w:color w:val="000000" w:themeColor="text1"/>
          <w:szCs w:val="24"/>
        </w:rPr>
        <w:t xml:space="preserve"> +(-2.222)x</w:t>
      </w:r>
      <w:r w:rsidRPr="00143B41">
        <w:rPr>
          <w:rFonts w:ascii="Times New Roman" w:hAnsi="Times New Roman" w:cs="Times New Roman"/>
          <w:color w:val="000000" w:themeColor="text1"/>
          <w:szCs w:val="24"/>
          <w:vertAlign w:val="subscript"/>
        </w:rPr>
        <w:t>5</w:t>
      </w:r>
    </w:p>
    <w:p w14:paraId="4384909E"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R =   .365                           </w:t>
      </w:r>
      <w:r w:rsidRPr="00143B41">
        <w:rPr>
          <w:rFonts w:ascii="Times New Roman" w:hAnsi="Times New Roman" w:cs="Times New Roman"/>
          <w:color w:val="000000" w:themeColor="text1"/>
          <w:szCs w:val="24"/>
        </w:rPr>
        <w:tab/>
        <w:t>R</w:t>
      </w:r>
      <w:r w:rsidRPr="00143B41">
        <w:rPr>
          <w:rFonts w:ascii="Times New Roman" w:hAnsi="Times New Roman" w:cs="Times New Roman"/>
          <w:color w:val="000000" w:themeColor="text1"/>
          <w:szCs w:val="24"/>
          <w:vertAlign w:val="superscript"/>
        </w:rPr>
        <w:t>2</w:t>
      </w:r>
      <w:r w:rsidRPr="00143B41">
        <w:rPr>
          <w:rFonts w:ascii="Times New Roman" w:hAnsi="Times New Roman" w:cs="Times New Roman"/>
          <w:color w:val="000000" w:themeColor="text1"/>
          <w:szCs w:val="24"/>
        </w:rPr>
        <w:t xml:space="preserve"> = .133</w:t>
      </w:r>
    </w:p>
    <w:p w14:paraId="4FACD2BE" w14:textId="5580B486" w:rsidR="000C013D" w:rsidRPr="00143B41" w:rsidRDefault="000C013D" w:rsidP="00444603">
      <w:pPr>
        <w:autoSpaceDE w:val="0"/>
        <w:autoSpaceDN w:val="0"/>
        <w:adjustRightInd w:val="0"/>
        <w:spacing w:before="240" w:after="240" w:line="384" w:lineRule="auto"/>
        <w:jc w:val="both"/>
        <w:rPr>
          <w:rFonts w:ascii="Times New Roman" w:hAnsi="Times New Roman" w:cs="Times New Roman"/>
          <w:b/>
          <w:bCs/>
          <w:color w:val="000000" w:themeColor="text1"/>
          <w:sz w:val="24"/>
          <w:szCs w:val="24"/>
        </w:rPr>
      </w:pPr>
      <w:r w:rsidRPr="00143B41">
        <w:rPr>
          <w:rFonts w:ascii="Times New Roman" w:hAnsi="Times New Roman" w:cs="Times New Roman"/>
          <w:color w:val="000000" w:themeColor="text1"/>
          <w:sz w:val="24"/>
          <w:szCs w:val="24"/>
        </w:rPr>
        <w:t xml:space="preserve">In the above regression </w:t>
      </w:r>
      <w:r w:rsidR="00A85517" w:rsidRPr="00143B41">
        <w:rPr>
          <w:rFonts w:ascii="Times New Roman" w:hAnsi="Times New Roman" w:cs="Times New Roman"/>
          <w:color w:val="000000" w:themeColor="text1"/>
          <w:sz w:val="24"/>
          <w:szCs w:val="24"/>
        </w:rPr>
        <w:t>equation,</w:t>
      </w:r>
      <w:r w:rsidRPr="00143B41">
        <w:rPr>
          <w:rFonts w:ascii="Times New Roman" w:hAnsi="Times New Roman" w:cs="Times New Roman"/>
          <w:color w:val="000000" w:themeColor="text1"/>
          <w:sz w:val="24"/>
          <w:szCs w:val="24"/>
        </w:rPr>
        <w:t xml:space="preserve"> 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.133 which means that 13.3% variation in Market per share is explained by earning per share, dividend per share, return on assets, price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and book value per share.  </w:t>
      </w:r>
    </w:p>
    <w:p w14:paraId="341D9898" w14:textId="77777777" w:rsidR="000C013D" w:rsidRPr="00143B41" w:rsidRDefault="000C013D" w:rsidP="00444603">
      <w:pPr>
        <w:autoSpaceDE w:val="0"/>
        <w:autoSpaceDN w:val="0"/>
        <w:adjustRightInd w:val="0"/>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4.4 Major Findings of the Study</w:t>
      </w:r>
    </w:p>
    <w:p w14:paraId="6E73C353" w14:textId="1D009604" w:rsidR="000C013D" w:rsidRPr="00143B41" w:rsidRDefault="000C013D" w:rsidP="00444603">
      <w:pPr>
        <w:pStyle w:val="BodyText"/>
        <w:numPr>
          <w:ilvl w:val="0"/>
          <w:numId w:val="7"/>
        </w:numPr>
        <w:spacing w:before="240" w:after="240" w:line="384" w:lineRule="auto"/>
        <w:ind w:right="999"/>
        <w:jc w:val="both"/>
        <w:rPr>
          <w:color w:val="000000" w:themeColor="text1"/>
        </w:rPr>
      </w:pPr>
      <w:r w:rsidRPr="00143B41">
        <w:rPr>
          <w:color w:val="000000" w:themeColor="text1"/>
        </w:rPr>
        <w:t xml:space="preserve">The highest correlation has been observed to be 0.175 between market price of share and price </w:t>
      </w:r>
      <w:proofErr w:type="spellStart"/>
      <w:r w:rsidRPr="00143B41">
        <w:rPr>
          <w:color w:val="000000" w:themeColor="text1"/>
        </w:rPr>
        <w:t>earning</w:t>
      </w:r>
      <w:proofErr w:type="spellEnd"/>
      <w:r w:rsidRPr="00143B41">
        <w:rPr>
          <w:color w:val="000000" w:themeColor="text1"/>
        </w:rPr>
        <w:t xml:space="preserve"> ratio. The market price of share is negatively related to earnings per share, dividend per share,</w:t>
      </w:r>
      <w:r w:rsidR="0065581D">
        <w:rPr>
          <w:color w:val="000000" w:themeColor="text1"/>
        </w:rPr>
        <w:t xml:space="preserve"> </w:t>
      </w:r>
      <w:r w:rsidRPr="00143B41">
        <w:rPr>
          <w:color w:val="000000" w:themeColor="text1"/>
        </w:rPr>
        <w:t>book</w:t>
      </w:r>
      <w:r w:rsidR="0065581D">
        <w:rPr>
          <w:color w:val="000000" w:themeColor="text1"/>
        </w:rPr>
        <w:t xml:space="preserve"> </w:t>
      </w:r>
      <w:r w:rsidRPr="00143B41">
        <w:rPr>
          <w:color w:val="000000" w:themeColor="text1"/>
        </w:rPr>
        <w:t>value</w:t>
      </w:r>
      <w:r w:rsidR="0065581D">
        <w:rPr>
          <w:color w:val="000000" w:themeColor="text1"/>
        </w:rPr>
        <w:t xml:space="preserve"> </w:t>
      </w:r>
      <w:r w:rsidRPr="00143B41">
        <w:rPr>
          <w:color w:val="000000" w:themeColor="text1"/>
        </w:rPr>
        <w:t>per</w:t>
      </w:r>
      <w:r w:rsidR="0065581D">
        <w:rPr>
          <w:color w:val="000000" w:themeColor="text1"/>
        </w:rPr>
        <w:t xml:space="preserve"> </w:t>
      </w:r>
      <w:r w:rsidRPr="00143B41">
        <w:rPr>
          <w:color w:val="000000" w:themeColor="text1"/>
        </w:rPr>
        <w:t>share and return</w:t>
      </w:r>
      <w:r w:rsidR="0065581D">
        <w:rPr>
          <w:color w:val="000000" w:themeColor="text1"/>
        </w:rPr>
        <w:t xml:space="preserve"> </w:t>
      </w:r>
      <w:r w:rsidRPr="00143B41">
        <w:rPr>
          <w:color w:val="000000" w:themeColor="text1"/>
        </w:rPr>
        <w:t>on</w:t>
      </w:r>
      <w:r w:rsidR="0065581D">
        <w:rPr>
          <w:color w:val="000000" w:themeColor="text1"/>
        </w:rPr>
        <w:t xml:space="preserve"> </w:t>
      </w:r>
      <w:r w:rsidRPr="00143B41">
        <w:rPr>
          <w:color w:val="000000" w:themeColor="text1"/>
        </w:rPr>
        <w:t>asset.</w:t>
      </w:r>
    </w:p>
    <w:p w14:paraId="6A194BA0" w14:textId="36736A47"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eastAsia="Times New Roman" w:hAnsi="Times New Roman" w:cs="Times New Roman"/>
          <w:color w:val="000000" w:themeColor="text1"/>
          <w:sz w:val="24"/>
          <w:szCs w:val="24"/>
          <w:lang w:bidi="en-US"/>
        </w:rPr>
        <w:t>T</w:t>
      </w:r>
      <w:r w:rsidRPr="00143B41">
        <w:rPr>
          <w:rFonts w:ascii="Times New Roman" w:hAnsi="Times New Roman" w:cs="Times New Roman"/>
          <w:color w:val="000000" w:themeColor="text1"/>
          <w:sz w:val="24"/>
          <w:szCs w:val="24"/>
        </w:rPr>
        <w:t xml:space="preserve">he p value (0.042) of t- statistic is less than 0.05, there is no ground to accept the null hypothesis. </w:t>
      </w:r>
      <w:r w:rsidR="0065581D" w:rsidRPr="00143B41">
        <w:rPr>
          <w:rFonts w:ascii="Times New Roman" w:hAnsi="Times New Roman" w:cs="Times New Roman"/>
          <w:color w:val="000000" w:themeColor="text1"/>
          <w:sz w:val="24"/>
          <w:szCs w:val="24"/>
        </w:rPr>
        <w:t>Therefore,</w:t>
      </w:r>
      <w:r w:rsidRPr="00143B41">
        <w:rPr>
          <w:rFonts w:ascii="Times New Roman" w:hAnsi="Times New Roman" w:cs="Times New Roman"/>
          <w:color w:val="000000" w:themeColor="text1"/>
          <w:sz w:val="24"/>
          <w:szCs w:val="24"/>
        </w:rPr>
        <w:t xml:space="preserve"> the alternative hypothesis is accepted </w:t>
      </w:r>
      <w:r w:rsidR="00BC31D8" w:rsidRPr="00143B41">
        <w:rPr>
          <w:rFonts w:ascii="Times New Roman" w:hAnsi="Times New Roman" w:cs="Times New Roman"/>
          <w:color w:val="000000" w:themeColor="text1"/>
          <w:sz w:val="24"/>
          <w:szCs w:val="24"/>
        </w:rPr>
        <w:t>i.e.,</w:t>
      </w:r>
      <w:r w:rsidR="00BC31D8">
        <w:rPr>
          <w:rFonts w:ascii="Times New Roman" w:hAnsi="Times New Roman" w:cs="Times New Roman"/>
          <w:color w:val="000000" w:themeColor="text1"/>
          <w:sz w:val="24"/>
          <w:szCs w:val="24"/>
        </w:rPr>
        <w:t xml:space="preserve"> there is</w:t>
      </w:r>
      <w:r w:rsidRPr="00143B41">
        <w:rPr>
          <w:rFonts w:ascii="Times New Roman" w:hAnsi="Times New Roman" w:cs="Times New Roman"/>
          <w:color w:val="000000" w:themeColor="text1"/>
          <w:sz w:val="24"/>
          <w:szCs w:val="24"/>
        </w:rPr>
        <w:t xml:space="preserve"> </w:t>
      </w:r>
      <w:r w:rsidR="00BC31D8">
        <w:rPr>
          <w:rFonts w:ascii="Times New Roman" w:hAnsi="Times New Roman" w:cs="Times New Roman"/>
          <w:color w:val="000000" w:themeColor="text1"/>
          <w:sz w:val="24"/>
          <w:szCs w:val="24"/>
        </w:rPr>
        <w:t>significant</w:t>
      </w:r>
      <w:r w:rsidRPr="00143B41">
        <w:rPr>
          <w:rFonts w:ascii="Times New Roman" w:hAnsi="Times New Roman" w:cs="Times New Roman"/>
          <w:color w:val="000000" w:themeColor="text1"/>
          <w:sz w:val="24"/>
          <w:szCs w:val="24"/>
        </w:rPr>
        <w:t xml:space="preserve"> relationship between earning price per share and market per share. Hence, the regression model is significant at 0.05 level of significance. </w:t>
      </w:r>
    </w:p>
    <w:p w14:paraId="6777185B" w14:textId="77777777"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.105 which means that 10.5% variation in earning per share is explained by market per share.</w:t>
      </w:r>
    </w:p>
    <w:p w14:paraId="5EEE5617" w14:textId="00448FCB"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Cs w:val="24"/>
        </w:rPr>
      </w:pPr>
      <w:r w:rsidRPr="00143B41">
        <w:rPr>
          <w:rFonts w:ascii="Times New Roman" w:hAnsi="Times New Roman" w:cs="Times New Roman"/>
          <w:color w:val="000000" w:themeColor="text1"/>
          <w:szCs w:val="24"/>
        </w:rPr>
        <w:t xml:space="preserve">The p value (0.463) of t- statistic is more than 0.05, there is enough ground to accept the null hypothesis. </w:t>
      </w:r>
      <w:r w:rsidR="0065581D" w:rsidRPr="00143B41">
        <w:rPr>
          <w:rFonts w:ascii="Times New Roman" w:hAnsi="Times New Roman" w:cs="Times New Roman"/>
          <w:color w:val="000000" w:themeColor="text1"/>
          <w:szCs w:val="24"/>
        </w:rPr>
        <w:t>Therefore,</w:t>
      </w:r>
      <w:r w:rsidRPr="00143B41">
        <w:rPr>
          <w:rFonts w:ascii="Times New Roman" w:hAnsi="Times New Roman" w:cs="Times New Roman"/>
          <w:color w:val="000000" w:themeColor="text1"/>
          <w:szCs w:val="24"/>
        </w:rPr>
        <w:t xml:space="preserve"> the alternative hypothesis is rejected i.e. There is no significant relationship between dividend per share and market per share. </w:t>
      </w:r>
    </w:p>
    <w:p w14:paraId="786993EF" w14:textId="77777777"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.014 which means that 1.4% variation in dividend per share is explained by market per share.</w:t>
      </w:r>
    </w:p>
    <w:p w14:paraId="055D2107" w14:textId="08A4A6D5"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 xml:space="preserve">The p value (0.123) of t- statistic is more than 0.05, there is enough ground to accept the null hypothesis. </w:t>
      </w:r>
      <w:r w:rsidR="00742A42" w:rsidRPr="00143B41">
        <w:rPr>
          <w:rFonts w:ascii="Times New Roman" w:hAnsi="Times New Roman" w:cs="Times New Roman"/>
          <w:color w:val="000000" w:themeColor="text1"/>
          <w:sz w:val="24"/>
          <w:szCs w:val="24"/>
        </w:rPr>
        <w:t>Therefore,</w:t>
      </w:r>
      <w:r w:rsidRPr="00143B41">
        <w:rPr>
          <w:rFonts w:ascii="Times New Roman" w:hAnsi="Times New Roman" w:cs="Times New Roman"/>
          <w:color w:val="000000" w:themeColor="text1"/>
          <w:sz w:val="24"/>
          <w:szCs w:val="24"/>
        </w:rPr>
        <w:t xml:space="preserve"> the alternative hypothesis is rejected </w:t>
      </w:r>
      <w:r w:rsidR="00742A42" w:rsidRPr="00143B41">
        <w:rPr>
          <w:rFonts w:ascii="Times New Roman" w:hAnsi="Times New Roman" w:cs="Times New Roman"/>
          <w:color w:val="000000" w:themeColor="text1"/>
          <w:sz w:val="24"/>
          <w:szCs w:val="24"/>
        </w:rPr>
        <w:t>i.e.,</w:t>
      </w:r>
      <w:r w:rsidR="00585662">
        <w:rPr>
          <w:rFonts w:ascii="Times New Roman" w:hAnsi="Times New Roman" w:cs="Times New Roman"/>
          <w:color w:val="000000" w:themeColor="text1"/>
          <w:sz w:val="24"/>
          <w:szCs w:val="24"/>
        </w:rPr>
        <w:t xml:space="preserve"> there is</w:t>
      </w:r>
      <w:r w:rsidRPr="00143B41">
        <w:rPr>
          <w:rFonts w:ascii="Times New Roman" w:hAnsi="Times New Roman" w:cs="Times New Roman"/>
          <w:color w:val="000000" w:themeColor="text1"/>
          <w:sz w:val="24"/>
          <w:szCs w:val="24"/>
        </w:rPr>
        <w:t xml:space="preserve"> </w:t>
      </w:r>
      <w:r w:rsidR="00585662">
        <w:rPr>
          <w:rFonts w:ascii="Times New Roman" w:hAnsi="Times New Roman" w:cs="Times New Roman"/>
          <w:color w:val="000000" w:themeColor="text1"/>
          <w:sz w:val="24"/>
          <w:szCs w:val="24"/>
        </w:rPr>
        <w:t>no significant</w:t>
      </w:r>
      <w:r w:rsidRPr="00143B41">
        <w:rPr>
          <w:rFonts w:ascii="Times New Roman" w:hAnsi="Times New Roman" w:cs="Times New Roman"/>
          <w:color w:val="000000" w:themeColor="text1"/>
          <w:sz w:val="24"/>
          <w:szCs w:val="24"/>
        </w:rPr>
        <w:t xml:space="preserve"> relationship between return on assets and market per share. Hence, the regression model is not significant at 0.05 level of significance. </w:t>
      </w:r>
    </w:p>
    <w:p w14:paraId="60C8BDEB" w14:textId="77777777"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.061 which means that 6.1% variation in return on assets is explained by market per share.</w:t>
      </w:r>
    </w:p>
    <w:p w14:paraId="102AB8F1" w14:textId="2F7D4ECC"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p value (0.281) of t- statistic is more than 0.05, there is enough ground to accept the null hypothesis. </w:t>
      </w:r>
      <w:r w:rsidR="0065581D" w:rsidRPr="00143B41">
        <w:rPr>
          <w:rFonts w:ascii="Times New Roman" w:hAnsi="Times New Roman" w:cs="Times New Roman"/>
          <w:color w:val="000000" w:themeColor="text1"/>
          <w:sz w:val="24"/>
          <w:szCs w:val="24"/>
        </w:rPr>
        <w:t>Therefore,</w:t>
      </w:r>
      <w:r w:rsidRPr="00143B41">
        <w:rPr>
          <w:rFonts w:ascii="Times New Roman" w:hAnsi="Times New Roman" w:cs="Times New Roman"/>
          <w:color w:val="000000" w:themeColor="text1"/>
          <w:sz w:val="24"/>
          <w:szCs w:val="24"/>
        </w:rPr>
        <w:t xml:space="preserve"> the alternative hypothesis is rejected </w:t>
      </w:r>
      <w:proofErr w:type="gramStart"/>
      <w:r w:rsidRPr="00143B41">
        <w:rPr>
          <w:rFonts w:ascii="Times New Roman" w:hAnsi="Times New Roman" w:cs="Times New Roman"/>
          <w:color w:val="000000" w:themeColor="text1"/>
          <w:sz w:val="24"/>
          <w:szCs w:val="24"/>
        </w:rPr>
        <w:t>i.e.</w:t>
      </w:r>
      <w:proofErr w:type="gramEnd"/>
      <w:r w:rsidR="00F012C9">
        <w:rPr>
          <w:rFonts w:ascii="Times New Roman" w:hAnsi="Times New Roman" w:cs="Times New Roman"/>
          <w:color w:val="000000" w:themeColor="text1"/>
          <w:sz w:val="24"/>
          <w:szCs w:val="24"/>
        </w:rPr>
        <w:t xml:space="preserve"> there is no</w:t>
      </w:r>
      <w:r w:rsidRPr="00143B41">
        <w:rPr>
          <w:rFonts w:ascii="Times New Roman" w:hAnsi="Times New Roman" w:cs="Times New Roman"/>
          <w:color w:val="000000" w:themeColor="text1"/>
          <w:sz w:val="24"/>
          <w:szCs w:val="24"/>
        </w:rPr>
        <w:t xml:space="preserve"> </w:t>
      </w:r>
      <w:r w:rsidR="00F012C9">
        <w:rPr>
          <w:rFonts w:ascii="Times New Roman" w:hAnsi="Times New Roman" w:cs="Times New Roman"/>
          <w:color w:val="000000" w:themeColor="text1"/>
          <w:sz w:val="24"/>
          <w:szCs w:val="24"/>
        </w:rPr>
        <w:t>significant</w:t>
      </w:r>
      <w:r w:rsidRPr="00143B41">
        <w:rPr>
          <w:rFonts w:ascii="Times New Roman" w:hAnsi="Times New Roman" w:cs="Times New Roman"/>
          <w:color w:val="000000" w:themeColor="text1"/>
          <w:sz w:val="24"/>
          <w:szCs w:val="24"/>
        </w:rPr>
        <w:t xml:space="preserve"> relationship between price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and market per share. Hence, the regression model is not significant at 0.05 level of significance.</w:t>
      </w:r>
    </w:p>
    <w:p w14:paraId="52059D7D" w14:textId="77777777"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.031 which means that 3.1% variation in price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is explained by market per share.</w:t>
      </w:r>
    </w:p>
    <w:p w14:paraId="3C779722" w14:textId="453F73A6"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p value (0.036) of t- statistic is less than 0.05, there is no enough ground to accept the null hypothesis. </w:t>
      </w:r>
      <w:r w:rsidR="00D72049" w:rsidRPr="00143B41">
        <w:rPr>
          <w:rFonts w:ascii="Times New Roman" w:hAnsi="Times New Roman" w:cs="Times New Roman"/>
          <w:color w:val="000000" w:themeColor="text1"/>
          <w:sz w:val="24"/>
          <w:szCs w:val="24"/>
        </w:rPr>
        <w:t>Therefore,</w:t>
      </w:r>
      <w:r w:rsidRPr="00143B41">
        <w:rPr>
          <w:rFonts w:ascii="Times New Roman" w:hAnsi="Times New Roman" w:cs="Times New Roman"/>
          <w:color w:val="000000" w:themeColor="text1"/>
          <w:sz w:val="24"/>
          <w:szCs w:val="24"/>
        </w:rPr>
        <w:t xml:space="preserve"> the alternative hypothesis is accepted </w:t>
      </w:r>
      <w:r w:rsidR="00D72049" w:rsidRPr="00143B41">
        <w:rPr>
          <w:rFonts w:ascii="Times New Roman" w:hAnsi="Times New Roman" w:cs="Times New Roman"/>
          <w:color w:val="000000" w:themeColor="text1"/>
          <w:sz w:val="24"/>
          <w:szCs w:val="24"/>
        </w:rPr>
        <w:t>i.e.,</w:t>
      </w:r>
      <w:r w:rsidR="00D72F5A">
        <w:rPr>
          <w:rFonts w:ascii="Times New Roman" w:hAnsi="Times New Roman" w:cs="Times New Roman"/>
          <w:color w:val="000000" w:themeColor="text1"/>
          <w:sz w:val="24"/>
          <w:szCs w:val="24"/>
        </w:rPr>
        <w:t xml:space="preserve"> there is</w:t>
      </w:r>
      <w:r w:rsidRPr="00143B41">
        <w:rPr>
          <w:rFonts w:ascii="Times New Roman" w:hAnsi="Times New Roman" w:cs="Times New Roman"/>
          <w:color w:val="000000" w:themeColor="text1"/>
          <w:sz w:val="24"/>
          <w:szCs w:val="24"/>
        </w:rPr>
        <w:t xml:space="preserve"> </w:t>
      </w:r>
      <w:r w:rsidR="00D72F5A">
        <w:rPr>
          <w:rFonts w:ascii="Times New Roman" w:hAnsi="Times New Roman" w:cs="Times New Roman"/>
          <w:color w:val="000000" w:themeColor="text1"/>
          <w:sz w:val="24"/>
          <w:szCs w:val="24"/>
        </w:rPr>
        <w:t>significant</w:t>
      </w:r>
      <w:r w:rsidRPr="00143B41">
        <w:rPr>
          <w:rFonts w:ascii="Times New Roman" w:hAnsi="Times New Roman" w:cs="Times New Roman"/>
          <w:color w:val="000000" w:themeColor="text1"/>
          <w:sz w:val="24"/>
          <w:szCs w:val="24"/>
        </w:rPr>
        <w:t xml:space="preserve"> relationship between book value per share and market per share. Hence, the regression model is significant at 0.05 level of significance. </w:t>
      </w:r>
    </w:p>
    <w:p w14:paraId="52EDBB35" w14:textId="77777777" w:rsidR="000C013D"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.110 which means that 11.0% variation in book value per share is explained by market per share.</w:t>
      </w:r>
    </w:p>
    <w:p w14:paraId="0533C184" w14:textId="77777777" w:rsidR="009C3F8B" w:rsidRPr="00143B41" w:rsidRDefault="000C013D" w:rsidP="00444603">
      <w:pPr>
        <w:pStyle w:val="ListParagraph"/>
        <w:numPr>
          <w:ilvl w:val="0"/>
          <w:numId w:val="7"/>
        </w:numPr>
        <w:autoSpaceDE w:val="0"/>
        <w:autoSpaceDN w:val="0"/>
        <w:adjustRightInd w:val="0"/>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value of R</w:t>
      </w:r>
      <w:r w:rsidRPr="00143B41">
        <w:rPr>
          <w:rFonts w:ascii="Times New Roman" w:hAnsi="Times New Roman" w:cs="Times New Roman"/>
          <w:color w:val="000000" w:themeColor="text1"/>
          <w:sz w:val="24"/>
          <w:szCs w:val="24"/>
          <w:vertAlign w:val="superscript"/>
        </w:rPr>
        <w:t>2</w:t>
      </w:r>
      <w:r w:rsidRPr="00143B41">
        <w:rPr>
          <w:rFonts w:ascii="Times New Roman" w:hAnsi="Times New Roman" w:cs="Times New Roman"/>
          <w:color w:val="000000" w:themeColor="text1"/>
          <w:sz w:val="24"/>
          <w:szCs w:val="24"/>
        </w:rPr>
        <w:t xml:space="preserve"> is .133 which means that 13.3% variation in Market per share is explained by earning per share, dividend per share, return on assets, price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and book value per share. </w:t>
      </w:r>
    </w:p>
    <w:p w14:paraId="2D938F97" w14:textId="7AD29390" w:rsidR="009C3F8B" w:rsidRPr="00143B41" w:rsidRDefault="009C3F8B" w:rsidP="00444603">
      <w:pPr>
        <w:pStyle w:val="ListParagraph"/>
        <w:numPr>
          <w:ilvl w:val="0"/>
          <w:numId w:val="7"/>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descriptive statistics for commercial banks </w:t>
      </w:r>
      <w:r w:rsidR="008D3891" w:rsidRPr="00143B41">
        <w:rPr>
          <w:rFonts w:ascii="Times New Roman" w:hAnsi="Times New Roman" w:cs="Times New Roman"/>
          <w:color w:val="000000" w:themeColor="text1"/>
          <w:sz w:val="24"/>
          <w:szCs w:val="24"/>
        </w:rPr>
        <w:t>reveal</w:t>
      </w:r>
      <w:r w:rsidRPr="00143B41">
        <w:rPr>
          <w:rFonts w:ascii="Times New Roman" w:hAnsi="Times New Roman" w:cs="Times New Roman"/>
          <w:color w:val="000000" w:themeColor="text1"/>
          <w:sz w:val="24"/>
          <w:szCs w:val="24"/>
        </w:rPr>
        <w:t xml:space="preserve"> that the average earning per share is </w:t>
      </w:r>
      <w:r w:rsidR="00BC0663" w:rsidRPr="00143B41">
        <w:rPr>
          <w:rFonts w:ascii="Times New Roman" w:hAnsi="Times New Roman" w:cs="Times New Roman"/>
          <w:color w:val="000000" w:themeColor="text1"/>
          <w:sz w:val="24"/>
          <w:szCs w:val="24"/>
        </w:rPr>
        <w:t>23.03</w:t>
      </w:r>
      <w:r w:rsidRPr="00143B41">
        <w:rPr>
          <w:rFonts w:ascii="Times New Roman" w:hAnsi="Times New Roman" w:cs="Times New Roman"/>
          <w:color w:val="000000" w:themeColor="text1"/>
          <w:sz w:val="24"/>
          <w:szCs w:val="24"/>
        </w:rPr>
        <w:t>rupees,</w:t>
      </w:r>
      <w:r w:rsidR="00BC0663" w:rsidRPr="00143B41">
        <w:rPr>
          <w:rFonts w:ascii="Times New Roman" w:hAnsi="Times New Roman" w:cs="Times New Roman"/>
          <w:color w:val="000000" w:themeColor="text1"/>
          <w:sz w:val="24"/>
          <w:szCs w:val="24"/>
        </w:rPr>
        <w:t xml:space="preserve"> average</w:t>
      </w:r>
      <w:r w:rsidR="0065581D">
        <w:rPr>
          <w:rFonts w:ascii="Times New Roman" w:hAnsi="Times New Roman" w:cs="Times New Roman"/>
          <w:color w:val="000000" w:themeColor="text1"/>
          <w:sz w:val="24"/>
          <w:szCs w:val="24"/>
        </w:rPr>
        <w:t xml:space="preserve"> </w:t>
      </w:r>
      <w:r w:rsidR="00BC0663" w:rsidRPr="00143B41">
        <w:rPr>
          <w:rFonts w:ascii="Times New Roman" w:hAnsi="Times New Roman" w:cs="Times New Roman"/>
          <w:color w:val="000000" w:themeColor="text1"/>
          <w:sz w:val="24"/>
          <w:szCs w:val="24"/>
        </w:rPr>
        <w:t>dividend per share</w:t>
      </w:r>
      <w:r w:rsidRPr="00143B41">
        <w:rPr>
          <w:rFonts w:ascii="Times New Roman" w:hAnsi="Times New Roman" w:cs="Times New Roman"/>
          <w:color w:val="000000" w:themeColor="text1"/>
          <w:sz w:val="24"/>
          <w:szCs w:val="24"/>
        </w:rPr>
        <w:t xml:space="preserve"> is </w:t>
      </w:r>
      <w:r w:rsidR="00B060AC" w:rsidRPr="00143B41">
        <w:rPr>
          <w:rFonts w:ascii="Times New Roman" w:hAnsi="Times New Roman" w:cs="Times New Roman"/>
          <w:color w:val="000000" w:themeColor="text1"/>
          <w:sz w:val="24"/>
          <w:szCs w:val="24"/>
        </w:rPr>
        <w:t>18.61</w:t>
      </w:r>
      <w:r w:rsidR="00BC0663" w:rsidRPr="00143B41">
        <w:rPr>
          <w:rFonts w:ascii="Times New Roman" w:hAnsi="Times New Roman" w:cs="Times New Roman"/>
          <w:color w:val="000000" w:themeColor="text1"/>
          <w:sz w:val="24"/>
          <w:szCs w:val="24"/>
        </w:rPr>
        <w:t>rupees</w:t>
      </w:r>
      <w:r w:rsidRPr="00143B41">
        <w:rPr>
          <w:rFonts w:ascii="Times New Roman" w:hAnsi="Times New Roman" w:cs="Times New Roman"/>
          <w:color w:val="000000" w:themeColor="text1"/>
          <w:sz w:val="24"/>
          <w:szCs w:val="24"/>
        </w:rPr>
        <w:t>,</w:t>
      </w:r>
      <w:r w:rsidR="00BC0663" w:rsidRPr="00143B41">
        <w:rPr>
          <w:rFonts w:ascii="Times New Roman" w:hAnsi="Times New Roman" w:cs="Times New Roman"/>
          <w:color w:val="000000" w:themeColor="text1"/>
          <w:sz w:val="24"/>
          <w:szCs w:val="24"/>
        </w:rPr>
        <w:t xml:space="preserve"> average</w:t>
      </w:r>
      <w:r w:rsidR="0065581D">
        <w:rPr>
          <w:rFonts w:ascii="Times New Roman" w:hAnsi="Times New Roman" w:cs="Times New Roman"/>
          <w:color w:val="000000" w:themeColor="text1"/>
          <w:sz w:val="24"/>
          <w:szCs w:val="24"/>
        </w:rPr>
        <w:t xml:space="preserve"> </w:t>
      </w:r>
      <w:r w:rsidR="00BC0663" w:rsidRPr="00143B41">
        <w:rPr>
          <w:rFonts w:ascii="Times New Roman" w:hAnsi="Times New Roman" w:cs="Times New Roman"/>
          <w:color w:val="000000" w:themeColor="text1"/>
          <w:sz w:val="24"/>
          <w:szCs w:val="24"/>
        </w:rPr>
        <w:t xml:space="preserve">Price </w:t>
      </w:r>
      <w:proofErr w:type="spellStart"/>
      <w:r w:rsidR="00BC0663" w:rsidRPr="00143B41">
        <w:rPr>
          <w:rFonts w:ascii="Times New Roman" w:hAnsi="Times New Roman" w:cs="Times New Roman"/>
          <w:color w:val="000000" w:themeColor="text1"/>
          <w:sz w:val="24"/>
          <w:szCs w:val="24"/>
        </w:rPr>
        <w:t>earning</w:t>
      </w:r>
      <w:proofErr w:type="spellEnd"/>
      <w:r w:rsidR="00BC0663" w:rsidRPr="00143B41">
        <w:rPr>
          <w:rFonts w:ascii="Times New Roman" w:hAnsi="Times New Roman" w:cs="Times New Roman"/>
          <w:color w:val="000000" w:themeColor="text1"/>
          <w:sz w:val="24"/>
          <w:szCs w:val="24"/>
        </w:rPr>
        <w:t xml:space="preserve"> ratio</w:t>
      </w:r>
      <w:r w:rsidRPr="00143B41">
        <w:rPr>
          <w:rFonts w:ascii="Times New Roman" w:hAnsi="Times New Roman" w:cs="Times New Roman"/>
          <w:color w:val="000000" w:themeColor="text1"/>
          <w:sz w:val="24"/>
          <w:szCs w:val="24"/>
        </w:rPr>
        <w:t xml:space="preserve"> is </w:t>
      </w:r>
      <w:r w:rsidR="00B060AC" w:rsidRPr="00143B41">
        <w:rPr>
          <w:rFonts w:ascii="Times New Roman" w:hAnsi="Times New Roman" w:cs="Times New Roman"/>
          <w:color w:val="000000" w:themeColor="text1"/>
          <w:sz w:val="24"/>
          <w:szCs w:val="24"/>
        </w:rPr>
        <w:t>24.99</w:t>
      </w:r>
      <w:r w:rsidRPr="00143B41">
        <w:rPr>
          <w:rFonts w:ascii="Times New Roman" w:hAnsi="Times New Roman" w:cs="Times New Roman"/>
          <w:color w:val="000000" w:themeColor="text1"/>
          <w:sz w:val="24"/>
          <w:szCs w:val="24"/>
        </w:rPr>
        <w:t>,</w:t>
      </w:r>
      <w:r w:rsidR="00BC0663" w:rsidRPr="00143B41">
        <w:rPr>
          <w:rFonts w:ascii="Times New Roman" w:hAnsi="Times New Roman" w:cs="Times New Roman"/>
          <w:color w:val="000000" w:themeColor="text1"/>
          <w:sz w:val="24"/>
          <w:szCs w:val="24"/>
        </w:rPr>
        <w:t xml:space="preserve"> average</w:t>
      </w:r>
      <w:r w:rsidR="0065581D">
        <w:rPr>
          <w:rFonts w:ascii="Times New Roman" w:hAnsi="Times New Roman" w:cs="Times New Roman"/>
          <w:color w:val="000000" w:themeColor="text1"/>
          <w:sz w:val="24"/>
          <w:szCs w:val="24"/>
        </w:rPr>
        <w:t xml:space="preserve"> </w:t>
      </w:r>
      <w:r w:rsidR="00BC0663" w:rsidRPr="00143B41">
        <w:rPr>
          <w:rFonts w:ascii="Times New Roman" w:hAnsi="Times New Roman" w:cs="Times New Roman"/>
          <w:color w:val="000000" w:themeColor="text1"/>
          <w:sz w:val="24"/>
          <w:szCs w:val="24"/>
        </w:rPr>
        <w:t>return on assets</w:t>
      </w:r>
      <w:r w:rsidRPr="00143B41">
        <w:rPr>
          <w:rFonts w:ascii="Times New Roman" w:hAnsi="Times New Roman" w:cs="Times New Roman"/>
          <w:color w:val="000000" w:themeColor="text1"/>
          <w:sz w:val="24"/>
          <w:szCs w:val="24"/>
        </w:rPr>
        <w:t xml:space="preserve"> is </w:t>
      </w:r>
      <w:r w:rsidR="00B060AC" w:rsidRPr="00143B41">
        <w:rPr>
          <w:rFonts w:ascii="Times New Roman" w:hAnsi="Times New Roman" w:cs="Times New Roman"/>
          <w:color w:val="000000" w:themeColor="text1"/>
          <w:sz w:val="24"/>
          <w:szCs w:val="24"/>
        </w:rPr>
        <w:t>1.59</w:t>
      </w:r>
      <w:r w:rsidRPr="00143B41">
        <w:rPr>
          <w:rFonts w:ascii="Times New Roman" w:hAnsi="Times New Roman" w:cs="Times New Roman"/>
          <w:color w:val="000000" w:themeColor="text1"/>
          <w:sz w:val="24"/>
          <w:szCs w:val="24"/>
        </w:rPr>
        <w:t xml:space="preserve">, average </w:t>
      </w:r>
      <w:r w:rsidR="00B060AC" w:rsidRPr="00143B41">
        <w:rPr>
          <w:rFonts w:ascii="Times New Roman" w:hAnsi="Times New Roman" w:cs="Times New Roman"/>
          <w:color w:val="000000" w:themeColor="text1"/>
          <w:sz w:val="24"/>
          <w:szCs w:val="24"/>
        </w:rPr>
        <w:t>book value per share</w:t>
      </w:r>
      <w:r w:rsidRPr="00143B41">
        <w:rPr>
          <w:rFonts w:ascii="Times New Roman" w:hAnsi="Times New Roman" w:cs="Times New Roman"/>
          <w:color w:val="000000" w:themeColor="text1"/>
          <w:sz w:val="24"/>
          <w:szCs w:val="24"/>
        </w:rPr>
        <w:t xml:space="preserve"> is </w:t>
      </w:r>
      <w:r w:rsidR="00B060AC" w:rsidRPr="00143B41">
        <w:rPr>
          <w:rFonts w:ascii="Times New Roman" w:hAnsi="Times New Roman" w:cs="Times New Roman"/>
          <w:color w:val="000000" w:themeColor="text1"/>
          <w:sz w:val="24"/>
          <w:szCs w:val="24"/>
        </w:rPr>
        <w:t>142.8</w:t>
      </w:r>
      <w:r w:rsidR="00223E0C" w:rsidRPr="00143B41">
        <w:rPr>
          <w:rFonts w:ascii="Times New Roman" w:hAnsi="Times New Roman" w:cs="Times New Roman"/>
          <w:color w:val="000000" w:themeColor="text1"/>
          <w:sz w:val="24"/>
          <w:szCs w:val="24"/>
        </w:rPr>
        <w:t>rupees</w:t>
      </w:r>
      <w:r w:rsidRPr="00143B41">
        <w:rPr>
          <w:rFonts w:ascii="Times New Roman" w:hAnsi="Times New Roman" w:cs="Times New Roman"/>
          <w:color w:val="000000" w:themeColor="text1"/>
          <w:sz w:val="24"/>
          <w:szCs w:val="24"/>
        </w:rPr>
        <w:t xml:space="preserve"> and average stock price is </w:t>
      </w:r>
      <w:r w:rsidR="00B060AC" w:rsidRPr="00143B41">
        <w:rPr>
          <w:rFonts w:ascii="Times New Roman" w:hAnsi="Times New Roman" w:cs="Times New Roman"/>
          <w:color w:val="000000" w:themeColor="text1"/>
          <w:sz w:val="24"/>
          <w:szCs w:val="24"/>
        </w:rPr>
        <w:t>549.83</w:t>
      </w:r>
      <w:r w:rsidRPr="00143B41">
        <w:rPr>
          <w:rFonts w:ascii="Times New Roman" w:hAnsi="Times New Roman" w:cs="Times New Roman"/>
          <w:color w:val="000000" w:themeColor="text1"/>
          <w:sz w:val="24"/>
          <w:szCs w:val="24"/>
        </w:rPr>
        <w:t xml:space="preserve"> rupees.</w:t>
      </w:r>
    </w:p>
    <w:p w14:paraId="10F854E5" w14:textId="77777777" w:rsidR="000C013D" w:rsidRPr="00143B41" w:rsidRDefault="000C013D" w:rsidP="00444603">
      <w:pPr>
        <w:pStyle w:val="ListParagraph"/>
        <w:autoSpaceDE w:val="0"/>
        <w:autoSpaceDN w:val="0"/>
        <w:adjustRightInd w:val="0"/>
        <w:spacing w:before="240" w:after="240" w:line="384" w:lineRule="auto"/>
        <w:jc w:val="both"/>
        <w:rPr>
          <w:rFonts w:ascii="Times New Roman" w:hAnsi="Times New Roman" w:cs="Times New Roman"/>
          <w:color w:val="000000" w:themeColor="text1"/>
          <w:sz w:val="24"/>
          <w:szCs w:val="24"/>
        </w:rPr>
      </w:pPr>
    </w:p>
    <w:p w14:paraId="524D1F02" w14:textId="77777777" w:rsidR="00286684" w:rsidRDefault="00286684" w:rsidP="00286684">
      <w:pPr>
        <w:rPr>
          <w:rFonts w:ascii="Times New Roman" w:hAnsi="Times New Roman" w:cs="Times New Roman"/>
          <w:color w:val="000000" w:themeColor="text1"/>
          <w:sz w:val="24"/>
          <w:szCs w:val="24"/>
        </w:rPr>
      </w:pPr>
    </w:p>
    <w:p w14:paraId="5EDBEB80" w14:textId="478EF4AB" w:rsidR="000C013D" w:rsidRPr="00143B41" w:rsidRDefault="000C013D" w:rsidP="00286684">
      <w:pPr>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lastRenderedPageBreak/>
        <w:t>CHAPTER –V</w:t>
      </w:r>
    </w:p>
    <w:p w14:paraId="35E68576" w14:textId="77777777" w:rsidR="000C013D" w:rsidRPr="00143B41" w:rsidRDefault="000C013D" w:rsidP="00286684">
      <w:pPr>
        <w:spacing w:before="240" w:after="240" w:line="384" w:lineRule="auto"/>
        <w:jc w:val="center"/>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SUMMARY, CONCLUSION AND RECOMMENDATIONS</w:t>
      </w:r>
    </w:p>
    <w:p w14:paraId="679AD249" w14:textId="77777777" w:rsidR="000C013D" w:rsidRPr="00143B41" w:rsidRDefault="000C013D" w:rsidP="00444603">
      <w:pPr>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t>5.1 Summary</w:t>
      </w:r>
    </w:p>
    <w:p w14:paraId="3982333B" w14:textId="187CEF77"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This study has been prepared to know about the factor affecting the share price of Nepalese Commercial banks. For the purpose of analysis and evaluation different financial and statistical tools have been used. Here, financial tools include earning per share, dividend per share, p</w:t>
      </w:r>
      <w:r w:rsidR="008E3DB1">
        <w:rPr>
          <w:rFonts w:ascii="Times New Roman" w:hAnsi="Times New Roman" w:cs="Times New Roman"/>
          <w:color w:val="000000" w:themeColor="text1"/>
          <w:sz w:val="24"/>
          <w:szCs w:val="24"/>
        </w:rPr>
        <w:t>ri</w:t>
      </w:r>
      <w:r w:rsidRPr="00143B41">
        <w:rPr>
          <w:rFonts w:ascii="Times New Roman" w:hAnsi="Times New Roman" w:cs="Times New Roman"/>
          <w:color w:val="000000" w:themeColor="text1"/>
          <w:sz w:val="24"/>
          <w:szCs w:val="24"/>
        </w:rPr>
        <w:t xml:space="preserve">ce </w:t>
      </w:r>
      <w:proofErr w:type="spellStart"/>
      <w:r w:rsidRPr="00143B41">
        <w:rPr>
          <w:rFonts w:ascii="Times New Roman" w:hAnsi="Times New Roman" w:cs="Times New Roman"/>
          <w:color w:val="000000" w:themeColor="text1"/>
          <w:sz w:val="24"/>
          <w:szCs w:val="24"/>
        </w:rPr>
        <w:t>earning</w:t>
      </w:r>
      <w:proofErr w:type="spellEnd"/>
      <w:r w:rsidRPr="00143B41">
        <w:rPr>
          <w:rFonts w:ascii="Times New Roman" w:hAnsi="Times New Roman" w:cs="Times New Roman"/>
          <w:color w:val="000000" w:themeColor="text1"/>
          <w:sz w:val="24"/>
          <w:szCs w:val="24"/>
        </w:rPr>
        <w:t xml:space="preserve"> ratio, return on assets ratio and whereas, statistical tools include average mean, standard deviation, co-efficient of variation, correlation analysis, regression analysis and hypothesis (t-test). The data that have been analyzed by such financial and statistical tool includes from FY 2068/69 to FY 2075/76. For the systematic analysis of study, chapter plan </w:t>
      </w:r>
      <w:r w:rsidR="008452DF" w:rsidRPr="00143B41">
        <w:rPr>
          <w:rFonts w:ascii="Times New Roman" w:hAnsi="Times New Roman" w:cs="Times New Roman"/>
          <w:color w:val="000000" w:themeColor="text1"/>
          <w:sz w:val="24"/>
          <w:szCs w:val="24"/>
        </w:rPr>
        <w:t>has</w:t>
      </w:r>
      <w:r w:rsidRPr="00143B41">
        <w:rPr>
          <w:rFonts w:ascii="Times New Roman" w:hAnsi="Times New Roman" w:cs="Times New Roman"/>
          <w:color w:val="000000" w:themeColor="text1"/>
          <w:sz w:val="24"/>
          <w:szCs w:val="24"/>
        </w:rPr>
        <w:t xml:space="preserve"> been made. </w:t>
      </w:r>
    </w:p>
    <w:p w14:paraId="52F429D0" w14:textId="10D539DD" w:rsidR="000C013D" w:rsidRPr="00143B41" w:rsidRDefault="000C013D"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In chapter 1, the significance of the study and the purpose of the research were presented and discussed. As specified earlier, the primary aim of the study is to explore the factors affecting the share price of Nepalese commercial banks. The various studies on the topic reviewed in the context of developed and developing countries were presented in chapter 2. Based on the review, appropriate variables were selected to be included in the analysis. Each of the variables were then defined and the rationale of choosing them were put forward. The calculation formula and the expected sign were also discussed. </w:t>
      </w:r>
      <w:r w:rsidR="000B7931">
        <w:rPr>
          <w:rFonts w:ascii="Times New Roman" w:hAnsi="Times New Roman" w:cs="Times New Roman"/>
          <w:color w:val="000000" w:themeColor="text1"/>
          <w:sz w:val="24"/>
          <w:szCs w:val="24"/>
        </w:rPr>
        <w:t>The</w:t>
      </w:r>
      <w:r w:rsidRPr="00143B41">
        <w:rPr>
          <w:rFonts w:ascii="Times New Roman" w:hAnsi="Times New Roman" w:cs="Times New Roman"/>
          <w:color w:val="000000" w:themeColor="text1"/>
          <w:sz w:val="24"/>
          <w:szCs w:val="24"/>
        </w:rPr>
        <w:t xml:space="preserve"> secondary data have been used in this study.</w:t>
      </w:r>
      <w:r w:rsidR="00997E51">
        <w:rPr>
          <w:rFonts w:ascii="Times New Roman" w:hAnsi="Times New Roman" w:cs="Times New Roman"/>
          <w:color w:val="000000" w:themeColor="text1"/>
          <w:sz w:val="24"/>
          <w:szCs w:val="24"/>
        </w:rPr>
        <w:t xml:space="preserve"> The</w:t>
      </w:r>
      <w:r w:rsidRPr="00143B41">
        <w:rPr>
          <w:rFonts w:ascii="Times New Roman" w:hAnsi="Times New Roman" w:cs="Times New Roman"/>
          <w:color w:val="000000" w:themeColor="text1"/>
          <w:sz w:val="24"/>
          <w:szCs w:val="24"/>
        </w:rPr>
        <w:t xml:space="preserve"> </w:t>
      </w:r>
      <w:proofErr w:type="spellStart"/>
      <w:r w:rsidR="00997E51">
        <w:rPr>
          <w:rFonts w:ascii="Times New Roman" w:hAnsi="Times New Roman" w:cs="Times New Roman"/>
          <w:color w:val="000000" w:themeColor="text1"/>
          <w:sz w:val="24"/>
          <w:szCs w:val="24"/>
        </w:rPr>
        <w:t>Secondry</w:t>
      </w:r>
      <w:proofErr w:type="spellEnd"/>
      <w:r w:rsidRPr="00143B41">
        <w:rPr>
          <w:rFonts w:ascii="Times New Roman" w:hAnsi="Times New Roman" w:cs="Times New Roman"/>
          <w:color w:val="000000" w:themeColor="text1"/>
          <w:sz w:val="24"/>
          <w:szCs w:val="24"/>
        </w:rPr>
        <w:t xml:space="preserve"> data has been collected from Annual reports and other publication of these banks and NRB directives and reports. The data collection from various sources are recorded systematically &amp; presented. </w:t>
      </w:r>
    </w:p>
    <w:p w14:paraId="7BF4E00F" w14:textId="77777777" w:rsidR="00702BF2" w:rsidRDefault="00702BF2" w:rsidP="00444603">
      <w:pPr>
        <w:spacing w:before="240" w:after="240" w:line="384" w:lineRule="auto"/>
        <w:jc w:val="both"/>
        <w:rPr>
          <w:rFonts w:ascii="Times New Roman" w:hAnsi="Times New Roman" w:cs="Times New Roman"/>
          <w:b/>
          <w:bCs/>
          <w:color w:val="000000" w:themeColor="text1"/>
          <w:sz w:val="28"/>
          <w:szCs w:val="28"/>
        </w:rPr>
      </w:pPr>
    </w:p>
    <w:p w14:paraId="7EE66591" w14:textId="77777777" w:rsidR="00286684" w:rsidRDefault="00286684" w:rsidP="00444603">
      <w:pPr>
        <w:spacing w:before="240" w:after="240" w:line="384" w:lineRule="auto"/>
        <w:jc w:val="both"/>
        <w:rPr>
          <w:rFonts w:ascii="Times New Roman" w:hAnsi="Times New Roman" w:cs="Times New Roman"/>
          <w:b/>
          <w:bCs/>
          <w:color w:val="000000" w:themeColor="text1"/>
          <w:sz w:val="28"/>
          <w:szCs w:val="28"/>
        </w:rPr>
      </w:pPr>
    </w:p>
    <w:p w14:paraId="6E128DD5" w14:textId="19056452" w:rsidR="000C013D" w:rsidRPr="00143B41" w:rsidRDefault="000C013D" w:rsidP="00444603">
      <w:pPr>
        <w:spacing w:before="240" w:after="240" w:line="384" w:lineRule="auto"/>
        <w:jc w:val="both"/>
        <w:rPr>
          <w:rFonts w:ascii="Times New Roman" w:hAnsi="Times New Roman" w:cs="Times New Roman"/>
          <w:b/>
          <w:bCs/>
          <w:color w:val="000000" w:themeColor="text1"/>
          <w:sz w:val="28"/>
          <w:szCs w:val="28"/>
        </w:rPr>
      </w:pPr>
      <w:r w:rsidRPr="00143B41">
        <w:rPr>
          <w:rFonts w:ascii="Times New Roman" w:hAnsi="Times New Roman" w:cs="Times New Roman"/>
          <w:b/>
          <w:bCs/>
          <w:color w:val="000000" w:themeColor="text1"/>
          <w:sz w:val="28"/>
          <w:szCs w:val="28"/>
        </w:rPr>
        <w:lastRenderedPageBreak/>
        <w:t>5.2 Conclusion</w:t>
      </w:r>
    </w:p>
    <w:p w14:paraId="58D80BB4" w14:textId="7AD68869" w:rsidR="000C013D" w:rsidRPr="00143B41" w:rsidRDefault="000C013D" w:rsidP="00CF5F90">
      <w:pPr>
        <w:pStyle w:val="BodyText"/>
        <w:spacing w:before="240" w:after="240" w:line="384" w:lineRule="auto"/>
        <w:jc w:val="both"/>
        <w:rPr>
          <w:rFonts w:eastAsiaTheme="minorHAnsi"/>
          <w:color w:val="000000" w:themeColor="text1"/>
          <w:lang w:bidi="ar-SA"/>
        </w:rPr>
      </w:pPr>
      <w:r w:rsidRPr="00143B41">
        <w:rPr>
          <w:rFonts w:eastAsiaTheme="minorHAnsi"/>
          <w:color w:val="000000" w:themeColor="text1"/>
          <w:lang w:bidi="ar-SA"/>
        </w:rPr>
        <w:t xml:space="preserve">This study aims at examining the relationship between EPS, DPS, P/E ratio, BVPS and ROA and MPS in Nepal’s banking sector. </w:t>
      </w:r>
      <w:r w:rsidR="00354635" w:rsidRPr="00143B41">
        <w:rPr>
          <w:rFonts w:eastAsiaTheme="minorHAnsi"/>
          <w:color w:val="000000" w:themeColor="text1"/>
          <w:lang w:bidi="ar-SA"/>
        </w:rPr>
        <w:t xml:space="preserve">It is found that there is positive relationship between EPS and BPVS with MPS whereas negative relation with DPS, P/E ratio and ROA on stock market price.  </w:t>
      </w:r>
      <w:r w:rsidRPr="00143B41">
        <w:rPr>
          <w:rFonts w:eastAsiaTheme="minorHAnsi"/>
          <w:color w:val="000000" w:themeColor="text1"/>
          <w:lang w:bidi="ar-SA"/>
        </w:rPr>
        <w:t xml:space="preserve">It determines the effect of earnings per share, dividend per share, price earnings ratio, book value per share, </w:t>
      </w:r>
      <w:r w:rsidR="00FF4F37" w:rsidRPr="00143B41">
        <w:rPr>
          <w:rFonts w:eastAsiaTheme="minorHAnsi"/>
          <w:color w:val="000000" w:themeColor="text1"/>
          <w:lang w:bidi="ar-SA"/>
        </w:rPr>
        <w:t>and return</w:t>
      </w:r>
      <w:r w:rsidRPr="00143B41">
        <w:rPr>
          <w:rFonts w:eastAsiaTheme="minorHAnsi"/>
          <w:color w:val="000000" w:themeColor="text1"/>
          <w:lang w:bidi="ar-SA"/>
        </w:rPr>
        <w:t xml:space="preserve"> on assets on MPS. The investigation was done through a review of the relevant theoretical and empirical literature. By using descriptive statistics, correlation and regression analysis it has found a positive relationship between EPS and BPVS with MPS whereas negative relation with DPS, P/E ratio and ROA on stock market price.</w:t>
      </w:r>
      <w:r w:rsidR="00354635" w:rsidRPr="00143B41">
        <w:rPr>
          <w:rFonts w:eastAsiaTheme="minorHAnsi"/>
          <w:color w:val="000000" w:themeColor="text1"/>
          <w:lang w:bidi="ar-SA"/>
        </w:rPr>
        <w:t xml:space="preserve"> From the regression analysis it has been found that </w:t>
      </w:r>
      <w:proofErr w:type="gramStart"/>
      <w:r w:rsidR="00354635" w:rsidRPr="00143B41">
        <w:rPr>
          <w:rFonts w:eastAsiaTheme="minorHAnsi"/>
          <w:color w:val="000000" w:themeColor="text1"/>
          <w:lang w:bidi="ar-SA"/>
        </w:rPr>
        <w:t>Earning</w:t>
      </w:r>
      <w:proofErr w:type="gramEnd"/>
      <w:r w:rsidR="00354635" w:rsidRPr="00143B41">
        <w:rPr>
          <w:rFonts w:eastAsiaTheme="minorHAnsi"/>
          <w:color w:val="000000" w:themeColor="text1"/>
          <w:lang w:bidi="ar-SA"/>
        </w:rPr>
        <w:t xml:space="preserve"> per share and Dividend per share are the major factors for MPS. Thus, it is concluded that </w:t>
      </w:r>
      <w:r w:rsidR="00FF4F37" w:rsidRPr="00143B41">
        <w:rPr>
          <w:rFonts w:eastAsiaTheme="minorHAnsi"/>
          <w:color w:val="000000" w:themeColor="text1"/>
          <w:lang w:bidi="ar-SA"/>
        </w:rPr>
        <w:t xml:space="preserve">if these factors </w:t>
      </w:r>
      <w:r w:rsidR="0065581D" w:rsidRPr="00143B41">
        <w:rPr>
          <w:rFonts w:eastAsiaTheme="minorHAnsi"/>
          <w:color w:val="000000" w:themeColor="text1"/>
          <w:lang w:bidi="ar-SA"/>
        </w:rPr>
        <w:t>i.e.,</w:t>
      </w:r>
      <w:r w:rsidR="00FF4F37" w:rsidRPr="00143B41">
        <w:rPr>
          <w:rFonts w:eastAsiaTheme="minorHAnsi"/>
          <w:color w:val="000000" w:themeColor="text1"/>
          <w:lang w:bidi="ar-SA"/>
        </w:rPr>
        <w:t xml:space="preserve"> EPS and DPS are taken into consideration then there is higher possibility that MPS will be improved.  </w:t>
      </w:r>
    </w:p>
    <w:p w14:paraId="7345E4CF" w14:textId="77777777" w:rsidR="000C013D" w:rsidRPr="00143B41" w:rsidRDefault="000C013D" w:rsidP="00CF5F90">
      <w:pPr>
        <w:pStyle w:val="BodyText"/>
        <w:spacing w:before="240" w:after="240" w:line="384" w:lineRule="auto"/>
        <w:jc w:val="both"/>
        <w:rPr>
          <w:rFonts w:eastAsiaTheme="minorHAnsi"/>
          <w:color w:val="000000" w:themeColor="text1"/>
          <w:lang w:bidi="ar-SA"/>
        </w:rPr>
      </w:pPr>
      <w:r w:rsidRPr="00143B41">
        <w:rPr>
          <w:rFonts w:eastAsiaTheme="minorHAnsi"/>
          <w:color w:val="000000" w:themeColor="text1"/>
          <w:lang w:bidi="ar-SA"/>
        </w:rPr>
        <w:t xml:space="preserve">Finally, the results of this study uncovered new evidence in Nepalese perspective, which are considered to be valuable to market participants. Thus, findings of this study </w:t>
      </w:r>
      <w:r w:rsidR="00742A42" w:rsidRPr="00143B41">
        <w:rPr>
          <w:rFonts w:eastAsiaTheme="minorHAnsi"/>
          <w:color w:val="000000" w:themeColor="text1"/>
          <w:lang w:bidi="ar-SA"/>
        </w:rPr>
        <w:t>seem</w:t>
      </w:r>
      <w:r w:rsidRPr="00143B41">
        <w:rPr>
          <w:rFonts w:eastAsiaTheme="minorHAnsi"/>
          <w:color w:val="000000" w:themeColor="text1"/>
          <w:lang w:bidi="ar-SA"/>
        </w:rPr>
        <w:t xml:space="preserve"> to be particularly useful for the share investor, fund manager and economy as well, as they can take a view for </w:t>
      </w:r>
      <w:r w:rsidR="00742A42" w:rsidRPr="00143B41">
        <w:rPr>
          <w:rFonts w:eastAsiaTheme="minorHAnsi"/>
          <w:color w:val="000000" w:themeColor="text1"/>
          <w:lang w:bidi="ar-SA"/>
        </w:rPr>
        <w:t>these significant factors</w:t>
      </w:r>
      <w:r w:rsidRPr="00143B41">
        <w:rPr>
          <w:rFonts w:eastAsiaTheme="minorHAnsi"/>
          <w:color w:val="000000" w:themeColor="text1"/>
          <w:lang w:bidi="ar-SA"/>
        </w:rPr>
        <w:t xml:space="preserve"> while estimating stock returns and predicting share prices of the market earnings ratio, book value per share and return on assets</w:t>
      </w:r>
      <w:r w:rsidR="0095314C" w:rsidRPr="00143B41">
        <w:rPr>
          <w:rFonts w:eastAsiaTheme="minorHAnsi"/>
          <w:color w:val="000000" w:themeColor="text1"/>
          <w:lang w:bidi="ar-SA"/>
        </w:rPr>
        <w:t>.</w:t>
      </w:r>
    </w:p>
    <w:p w14:paraId="5B67D308" w14:textId="77777777" w:rsidR="00FF4F37" w:rsidRPr="00143B41" w:rsidRDefault="00FF4F37" w:rsidP="00444603">
      <w:pPr>
        <w:pStyle w:val="BodyText"/>
        <w:spacing w:before="240" w:after="240" w:line="384" w:lineRule="auto"/>
        <w:ind w:right="994"/>
        <w:jc w:val="both"/>
        <w:rPr>
          <w:rFonts w:eastAsiaTheme="minorHAnsi"/>
          <w:b/>
          <w:color w:val="000000" w:themeColor="text1"/>
          <w:lang w:bidi="ar-SA"/>
        </w:rPr>
      </w:pPr>
      <w:r w:rsidRPr="00143B41">
        <w:rPr>
          <w:rFonts w:eastAsiaTheme="minorHAnsi"/>
          <w:b/>
          <w:color w:val="000000" w:themeColor="text1"/>
          <w:lang w:bidi="ar-SA"/>
        </w:rPr>
        <w:t>5.3 Recommendation</w:t>
      </w:r>
    </w:p>
    <w:p w14:paraId="3917C13C" w14:textId="77777777" w:rsidR="00FF4F37" w:rsidRPr="00143B41" w:rsidRDefault="00FF4F37" w:rsidP="00444603">
      <w:p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The following recommendations have been made based upon the findings and conclusion of the research:</w:t>
      </w:r>
    </w:p>
    <w:p w14:paraId="5F5CE0C7" w14:textId="0C974D37" w:rsidR="00FF4F37" w:rsidRPr="00143B41" w:rsidRDefault="00FF4F37" w:rsidP="00444603">
      <w:pPr>
        <w:pStyle w:val="ListParagraph"/>
        <w:numPr>
          <w:ilvl w:val="0"/>
          <w:numId w:val="9"/>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Only five variables have been used in this thesis. </w:t>
      </w:r>
      <w:r w:rsidR="008E3DB1" w:rsidRPr="00143B41">
        <w:rPr>
          <w:rFonts w:ascii="Times New Roman" w:hAnsi="Times New Roman" w:cs="Times New Roman"/>
          <w:color w:val="000000" w:themeColor="text1"/>
          <w:sz w:val="24"/>
          <w:szCs w:val="24"/>
        </w:rPr>
        <w:t>So,</w:t>
      </w:r>
      <w:r w:rsidRPr="00143B41">
        <w:rPr>
          <w:rFonts w:ascii="Times New Roman" w:hAnsi="Times New Roman" w:cs="Times New Roman"/>
          <w:color w:val="000000" w:themeColor="text1"/>
          <w:sz w:val="24"/>
          <w:szCs w:val="24"/>
        </w:rPr>
        <w:t xml:space="preserve"> it is recommended to use other variables also to test the determinants of Market per Share (MPS).</w:t>
      </w:r>
    </w:p>
    <w:p w14:paraId="09282529" w14:textId="77777777" w:rsidR="00FF4F37" w:rsidRPr="00143B41" w:rsidRDefault="00FF4F37" w:rsidP="00444603">
      <w:pPr>
        <w:pStyle w:val="ListParagraph"/>
        <w:numPr>
          <w:ilvl w:val="0"/>
          <w:numId w:val="9"/>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It is recommended to use the data covering for more than eight years period for the further research.</w:t>
      </w:r>
    </w:p>
    <w:p w14:paraId="64265AD4" w14:textId="4FEEEE6A" w:rsidR="00FF4F37" w:rsidRPr="00143B41" w:rsidRDefault="00FF4F37" w:rsidP="00444603">
      <w:pPr>
        <w:pStyle w:val="ListParagraph"/>
        <w:numPr>
          <w:ilvl w:val="0"/>
          <w:numId w:val="9"/>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lastRenderedPageBreak/>
        <w:t xml:space="preserve">This research is based on the data of commercial banks. </w:t>
      </w:r>
      <w:r w:rsidR="0065581D" w:rsidRPr="00143B41">
        <w:rPr>
          <w:rFonts w:ascii="Times New Roman" w:hAnsi="Times New Roman" w:cs="Times New Roman"/>
          <w:color w:val="000000" w:themeColor="text1"/>
          <w:sz w:val="24"/>
          <w:szCs w:val="24"/>
        </w:rPr>
        <w:t>So,</w:t>
      </w:r>
      <w:r w:rsidRPr="00143B41">
        <w:rPr>
          <w:rFonts w:ascii="Times New Roman" w:hAnsi="Times New Roman" w:cs="Times New Roman"/>
          <w:color w:val="000000" w:themeColor="text1"/>
          <w:sz w:val="24"/>
          <w:szCs w:val="24"/>
        </w:rPr>
        <w:t xml:space="preserve"> it is recommended to use the data of other industries like; insurance, manufacturing, agriculture, pharmaceutical etc.</w:t>
      </w:r>
    </w:p>
    <w:p w14:paraId="2E77550D" w14:textId="77777777" w:rsidR="00FF4F37" w:rsidRPr="00143B41" w:rsidRDefault="00FF4F37" w:rsidP="00444603">
      <w:pPr>
        <w:pStyle w:val="ListParagraph"/>
        <w:numPr>
          <w:ilvl w:val="0"/>
          <w:numId w:val="9"/>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To get more consistent result, it is recommended to take more than five samples for the further research</w:t>
      </w:r>
      <w:r w:rsidR="00DD1725" w:rsidRPr="00143B41">
        <w:rPr>
          <w:rFonts w:ascii="Times New Roman" w:hAnsi="Times New Roman" w:cs="Times New Roman"/>
          <w:color w:val="000000" w:themeColor="text1"/>
          <w:sz w:val="24"/>
          <w:szCs w:val="24"/>
        </w:rPr>
        <w:t>.</w:t>
      </w:r>
    </w:p>
    <w:p w14:paraId="3306ABFD" w14:textId="77777777" w:rsidR="00FF4F37" w:rsidRPr="00143B41" w:rsidRDefault="00FF4F37" w:rsidP="00444603">
      <w:pPr>
        <w:pStyle w:val="ListParagraph"/>
        <w:numPr>
          <w:ilvl w:val="0"/>
          <w:numId w:val="9"/>
        </w:numPr>
        <w:spacing w:before="240" w:after="240" w:line="384" w:lineRule="auto"/>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The result of this research cannot be applied to all financial sectors because of limitation of time, sample size, different performance level, data analyzing tools and techniques, nature and availability of sufficient data. So, that it is recommended to do more researches about the determinants of MPS in Nepal. </w:t>
      </w:r>
    </w:p>
    <w:p w14:paraId="2200E1B4" w14:textId="77777777" w:rsidR="000C013D" w:rsidRPr="00143B41" w:rsidRDefault="000C013D" w:rsidP="00444603">
      <w:pPr>
        <w:tabs>
          <w:tab w:val="left" w:pos="1905"/>
        </w:tabs>
        <w:spacing w:before="240" w:after="240" w:line="384" w:lineRule="auto"/>
        <w:ind w:left="360"/>
        <w:jc w:val="both"/>
        <w:rPr>
          <w:rFonts w:ascii="Times New Roman" w:hAnsi="Times New Roman" w:cs="Times New Roman"/>
          <w:b/>
          <w:color w:val="000000" w:themeColor="text1"/>
          <w:sz w:val="28"/>
          <w:szCs w:val="28"/>
        </w:rPr>
      </w:pPr>
    </w:p>
    <w:p w14:paraId="16DF733C"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b/>
          <w:color w:val="000000" w:themeColor="text1"/>
          <w:sz w:val="28"/>
          <w:szCs w:val="28"/>
        </w:rPr>
      </w:pPr>
    </w:p>
    <w:p w14:paraId="15548B28" w14:textId="77777777" w:rsidR="00FF4F37" w:rsidRPr="00143B41" w:rsidRDefault="00FF4F37" w:rsidP="00444603">
      <w:pPr>
        <w:spacing w:before="240" w:after="240" w:line="384" w:lineRule="auto"/>
        <w:ind w:left="720" w:hanging="720"/>
        <w:contextualSpacing/>
        <w:jc w:val="both"/>
        <w:rPr>
          <w:rFonts w:ascii="Times New Roman" w:hAnsi="Times New Roman" w:cs="Times New Roman"/>
          <w:b/>
          <w:color w:val="000000" w:themeColor="text1"/>
          <w:sz w:val="28"/>
          <w:szCs w:val="28"/>
        </w:rPr>
      </w:pPr>
    </w:p>
    <w:p w14:paraId="676B4682" w14:textId="77777777" w:rsidR="00FF4F37" w:rsidRPr="00143B41" w:rsidRDefault="00FF4F37" w:rsidP="00444603">
      <w:pPr>
        <w:spacing w:before="240" w:after="240" w:line="384" w:lineRule="auto"/>
        <w:ind w:left="720" w:hanging="720"/>
        <w:contextualSpacing/>
        <w:jc w:val="both"/>
        <w:rPr>
          <w:rFonts w:ascii="Times New Roman" w:hAnsi="Times New Roman" w:cs="Times New Roman"/>
          <w:b/>
          <w:color w:val="000000" w:themeColor="text1"/>
          <w:sz w:val="28"/>
          <w:szCs w:val="28"/>
        </w:rPr>
      </w:pPr>
    </w:p>
    <w:p w14:paraId="197CE649" w14:textId="77777777" w:rsidR="00FF4F37" w:rsidRPr="00143B41" w:rsidRDefault="00FF4F37" w:rsidP="00444603">
      <w:pPr>
        <w:spacing w:before="240" w:after="240" w:line="384" w:lineRule="auto"/>
        <w:ind w:left="720" w:hanging="720"/>
        <w:contextualSpacing/>
        <w:jc w:val="both"/>
        <w:rPr>
          <w:rFonts w:ascii="Times New Roman" w:hAnsi="Times New Roman" w:cs="Times New Roman"/>
          <w:b/>
          <w:color w:val="000000" w:themeColor="text1"/>
          <w:sz w:val="28"/>
          <w:szCs w:val="28"/>
        </w:rPr>
      </w:pPr>
    </w:p>
    <w:p w14:paraId="679B3810" w14:textId="77777777" w:rsidR="00FF4F37" w:rsidRPr="00143B41" w:rsidRDefault="00FF4F37" w:rsidP="00444603">
      <w:pPr>
        <w:spacing w:before="240" w:after="240" w:line="384" w:lineRule="auto"/>
        <w:ind w:left="720" w:hanging="720"/>
        <w:contextualSpacing/>
        <w:jc w:val="both"/>
        <w:rPr>
          <w:rFonts w:ascii="Times New Roman" w:hAnsi="Times New Roman" w:cs="Times New Roman"/>
          <w:b/>
          <w:color w:val="000000" w:themeColor="text1"/>
          <w:sz w:val="28"/>
          <w:szCs w:val="28"/>
        </w:rPr>
      </w:pPr>
    </w:p>
    <w:p w14:paraId="48C2AAD5" w14:textId="77777777" w:rsidR="00D72049" w:rsidRPr="00143B41" w:rsidRDefault="00D72049" w:rsidP="00444603">
      <w:pPr>
        <w:spacing w:before="240" w:after="240" w:line="384" w:lineRule="auto"/>
        <w:contextualSpacing/>
        <w:jc w:val="both"/>
        <w:rPr>
          <w:rFonts w:ascii="Times New Roman" w:hAnsi="Times New Roman" w:cs="Times New Roman"/>
          <w:b/>
          <w:color w:val="000000" w:themeColor="text1"/>
          <w:sz w:val="28"/>
          <w:szCs w:val="28"/>
        </w:rPr>
      </w:pPr>
    </w:p>
    <w:p w14:paraId="6F20923B" w14:textId="77777777" w:rsidR="00BC0663" w:rsidRPr="00143B41" w:rsidRDefault="00BC0663" w:rsidP="00444603">
      <w:pPr>
        <w:spacing w:before="240" w:after="240" w:line="384" w:lineRule="auto"/>
        <w:contextualSpacing/>
        <w:jc w:val="center"/>
        <w:rPr>
          <w:rFonts w:ascii="Times New Roman" w:hAnsi="Times New Roman" w:cs="Times New Roman"/>
          <w:b/>
          <w:color w:val="000000" w:themeColor="text1"/>
          <w:sz w:val="28"/>
          <w:szCs w:val="28"/>
        </w:rPr>
      </w:pPr>
    </w:p>
    <w:p w14:paraId="4F96CE01" w14:textId="77777777" w:rsidR="00141C99" w:rsidRPr="00143B41" w:rsidRDefault="00141C99">
      <w:pPr>
        <w:rPr>
          <w:rFonts w:ascii="Times New Roman" w:hAnsi="Times New Roman" w:cs="Times New Roman"/>
          <w:b/>
          <w:color w:val="000000" w:themeColor="text1"/>
          <w:sz w:val="28"/>
          <w:szCs w:val="28"/>
        </w:rPr>
      </w:pPr>
      <w:r w:rsidRPr="00143B41">
        <w:rPr>
          <w:rFonts w:ascii="Times New Roman" w:hAnsi="Times New Roman" w:cs="Times New Roman"/>
          <w:b/>
          <w:color w:val="000000" w:themeColor="text1"/>
          <w:sz w:val="28"/>
          <w:szCs w:val="28"/>
        </w:rPr>
        <w:br w:type="page"/>
      </w:r>
    </w:p>
    <w:p w14:paraId="6769DDD8" w14:textId="77777777" w:rsidR="000C013D" w:rsidRPr="00143B41" w:rsidRDefault="000C013D" w:rsidP="00444603">
      <w:pPr>
        <w:spacing w:before="240" w:after="240" w:line="384" w:lineRule="auto"/>
        <w:contextualSpacing/>
        <w:jc w:val="center"/>
        <w:rPr>
          <w:rFonts w:ascii="Times New Roman" w:hAnsi="Times New Roman" w:cs="Times New Roman"/>
          <w:b/>
          <w:color w:val="000000" w:themeColor="text1"/>
          <w:sz w:val="28"/>
          <w:szCs w:val="28"/>
        </w:rPr>
      </w:pPr>
      <w:r w:rsidRPr="00143B41">
        <w:rPr>
          <w:rFonts w:ascii="Times New Roman" w:hAnsi="Times New Roman" w:cs="Times New Roman"/>
          <w:b/>
          <w:color w:val="000000" w:themeColor="text1"/>
          <w:sz w:val="28"/>
          <w:szCs w:val="28"/>
        </w:rPr>
        <w:lastRenderedPageBreak/>
        <w:t>BIBLIOGRAPHY</w:t>
      </w:r>
    </w:p>
    <w:p w14:paraId="63708D5F"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bCs/>
          <w:color w:val="000000" w:themeColor="text1"/>
          <w:sz w:val="24"/>
          <w:szCs w:val="24"/>
          <w:lang w:bidi="en-US"/>
        </w:rPr>
      </w:pPr>
      <w:r w:rsidRPr="00143B41">
        <w:rPr>
          <w:rFonts w:ascii="Times New Roman" w:hAnsi="Times New Roman" w:cs="Times New Roman"/>
          <w:bCs/>
          <w:color w:val="000000" w:themeColor="text1"/>
          <w:sz w:val="24"/>
          <w:szCs w:val="24"/>
          <w:lang w:bidi="en-US"/>
        </w:rPr>
        <w:t xml:space="preserve">Aurangzeb A., (2012). Factors affecting performance of stock market: Evidence from                                                          South Asian countries. </w:t>
      </w:r>
      <w:r w:rsidRPr="00143B41">
        <w:rPr>
          <w:rFonts w:ascii="Times New Roman" w:hAnsi="Times New Roman" w:cs="Times New Roman"/>
          <w:bCs/>
          <w:i/>
          <w:color w:val="000000" w:themeColor="text1"/>
          <w:sz w:val="24"/>
          <w:szCs w:val="24"/>
          <w:lang w:bidi="en-US"/>
        </w:rPr>
        <w:t>International Journal of Academic Research in Business and Social Sciences, 2</w:t>
      </w:r>
      <w:r w:rsidRPr="00143B41">
        <w:rPr>
          <w:rFonts w:ascii="Times New Roman" w:hAnsi="Times New Roman" w:cs="Times New Roman"/>
          <w:bCs/>
          <w:color w:val="000000" w:themeColor="text1"/>
          <w:sz w:val="24"/>
          <w:szCs w:val="24"/>
          <w:lang w:bidi="en-US"/>
        </w:rPr>
        <w:t xml:space="preserve">(9), 1-15. </w:t>
      </w:r>
    </w:p>
    <w:p w14:paraId="6FEC508C"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Bhalla, V.K. (2004). </w:t>
      </w:r>
      <w:r w:rsidRPr="00143B41">
        <w:rPr>
          <w:rFonts w:ascii="Times New Roman" w:hAnsi="Times New Roman" w:cs="Times New Roman"/>
          <w:i/>
          <w:iCs/>
          <w:color w:val="000000" w:themeColor="text1"/>
          <w:sz w:val="24"/>
          <w:szCs w:val="24"/>
        </w:rPr>
        <w:t>Investment Management</w:t>
      </w:r>
      <w:r w:rsidRPr="00143B41">
        <w:rPr>
          <w:rFonts w:ascii="Times New Roman" w:hAnsi="Times New Roman" w:cs="Times New Roman"/>
          <w:color w:val="000000" w:themeColor="text1"/>
          <w:sz w:val="24"/>
          <w:szCs w:val="24"/>
        </w:rPr>
        <w:t>. New Delhi: S. Chand and Company Ltd.</w:t>
      </w:r>
    </w:p>
    <w:p w14:paraId="57DAFF4C"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lang w:bidi="en-US"/>
        </w:rPr>
      </w:pPr>
      <w:r w:rsidRPr="00143B41">
        <w:rPr>
          <w:rFonts w:ascii="Times New Roman" w:hAnsi="Times New Roman" w:cs="Times New Roman"/>
          <w:color w:val="000000" w:themeColor="text1"/>
          <w:sz w:val="24"/>
          <w:szCs w:val="24"/>
          <w:lang w:bidi="en-US"/>
        </w:rPr>
        <w:t xml:space="preserve">Bhatt, P., &amp; S. JK. (2012). Impact of earnings per share on market value of an equity share: An empirical study in Indian capital market. </w:t>
      </w:r>
      <w:r w:rsidRPr="00143B41">
        <w:rPr>
          <w:rFonts w:ascii="Times New Roman" w:hAnsi="Times New Roman" w:cs="Times New Roman"/>
          <w:i/>
          <w:color w:val="000000" w:themeColor="text1"/>
          <w:sz w:val="24"/>
          <w:szCs w:val="24"/>
          <w:lang w:bidi="en-US"/>
        </w:rPr>
        <w:t>Journal of Finance, Accounting and Management, 3</w:t>
      </w:r>
      <w:r w:rsidRPr="00143B41">
        <w:rPr>
          <w:rFonts w:ascii="Times New Roman" w:hAnsi="Times New Roman" w:cs="Times New Roman"/>
          <w:color w:val="000000" w:themeColor="text1"/>
          <w:sz w:val="24"/>
          <w:szCs w:val="24"/>
          <w:lang w:bidi="en-US"/>
        </w:rPr>
        <w:t>(2), 14-30.</w:t>
      </w:r>
    </w:p>
    <w:p w14:paraId="0780EAF1"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i/>
          <w:color w:val="000000" w:themeColor="text1"/>
          <w:sz w:val="24"/>
          <w:szCs w:val="24"/>
        </w:rPr>
      </w:pPr>
      <w:r w:rsidRPr="00143B41">
        <w:rPr>
          <w:rFonts w:ascii="Times New Roman" w:hAnsi="Times New Roman" w:cs="Times New Roman"/>
          <w:color w:val="000000" w:themeColor="text1"/>
          <w:sz w:val="24"/>
          <w:szCs w:val="24"/>
        </w:rPr>
        <w:t xml:space="preserve">Bhattarai, Y.R. (2014). Determinants of shares prices of Nepalese commercial banks.              </w:t>
      </w:r>
      <w:r w:rsidRPr="00143B41">
        <w:rPr>
          <w:rFonts w:ascii="Times New Roman" w:hAnsi="Times New Roman" w:cs="Times New Roman"/>
          <w:i/>
          <w:color w:val="000000" w:themeColor="text1"/>
          <w:sz w:val="24"/>
          <w:szCs w:val="24"/>
        </w:rPr>
        <w:t>Economic journal of development issues Vol. 17 &amp; 18 No. 1-2.</w:t>
      </w:r>
    </w:p>
    <w:p w14:paraId="77C1DB57"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i/>
          <w:color w:val="000000" w:themeColor="text1"/>
          <w:sz w:val="24"/>
          <w:szCs w:val="24"/>
        </w:rPr>
      </w:pPr>
      <w:r w:rsidRPr="00143B41">
        <w:rPr>
          <w:rFonts w:ascii="Times New Roman" w:hAnsi="Times New Roman" w:cs="Times New Roman"/>
          <w:color w:val="000000" w:themeColor="text1"/>
          <w:sz w:val="24"/>
          <w:szCs w:val="24"/>
        </w:rPr>
        <w:t xml:space="preserve">Choudhary, T. (1996). Stock Market Volatility and the Crash of 1987: Evidences from             Six Emerging Markets, </w:t>
      </w:r>
      <w:r w:rsidRPr="00143B41">
        <w:rPr>
          <w:rFonts w:ascii="Times New Roman" w:hAnsi="Times New Roman" w:cs="Times New Roman"/>
          <w:i/>
          <w:color w:val="000000" w:themeColor="text1"/>
          <w:sz w:val="24"/>
          <w:szCs w:val="24"/>
        </w:rPr>
        <w:t>Journal of International Money and Finance</w:t>
      </w:r>
      <w:r w:rsidRPr="00143B41">
        <w:rPr>
          <w:rFonts w:ascii="Times New Roman" w:hAnsi="Times New Roman" w:cs="Times New Roman"/>
          <w:color w:val="000000" w:themeColor="text1"/>
          <w:sz w:val="24"/>
          <w:szCs w:val="24"/>
        </w:rPr>
        <w:t>, Vol. 15, pp. 969-98.</w:t>
      </w:r>
    </w:p>
    <w:p w14:paraId="630896DC"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t>Dangol</w:t>
      </w:r>
      <w:proofErr w:type="spellEnd"/>
      <w:r w:rsidRPr="00143B41">
        <w:rPr>
          <w:rFonts w:ascii="Times New Roman" w:hAnsi="Times New Roman" w:cs="Times New Roman"/>
          <w:color w:val="000000" w:themeColor="text1"/>
          <w:sz w:val="24"/>
          <w:szCs w:val="24"/>
        </w:rPr>
        <w:t xml:space="preserve">, J. 2008. Unanticipated Political Events and Stock Returns: </w:t>
      </w:r>
      <w:r w:rsidRPr="00143B41">
        <w:rPr>
          <w:rFonts w:ascii="Times New Roman" w:hAnsi="Times New Roman" w:cs="Times New Roman"/>
          <w:i/>
          <w:color w:val="000000" w:themeColor="text1"/>
          <w:sz w:val="24"/>
          <w:szCs w:val="24"/>
        </w:rPr>
        <w:t>An Event Study. Economic Review,</w:t>
      </w:r>
      <w:r w:rsidRPr="00143B41">
        <w:rPr>
          <w:rFonts w:ascii="Times New Roman" w:hAnsi="Times New Roman" w:cs="Times New Roman"/>
          <w:color w:val="000000" w:themeColor="text1"/>
          <w:sz w:val="24"/>
          <w:szCs w:val="24"/>
        </w:rPr>
        <w:t xml:space="preserve"> Vol.20: 86-110.</w:t>
      </w:r>
    </w:p>
    <w:p w14:paraId="5B90524F"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t>Dangol</w:t>
      </w:r>
      <w:proofErr w:type="spellEnd"/>
      <w:r w:rsidRPr="00143B41">
        <w:rPr>
          <w:rFonts w:ascii="Times New Roman" w:hAnsi="Times New Roman" w:cs="Times New Roman"/>
          <w:color w:val="000000" w:themeColor="text1"/>
          <w:sz w:val="24"/>
          <w:szCs w:val="24"/>
        </w:rPr>
        <w:t>, J. 2010. Testing Random-Walk Behavior in Nepalese Stock Market</w:t>
      </w:r>
      <w:r w:rsidRPr="00143B41">
        <w:rPr>
          <w:rFonts w:ascii="Times New Roman" w:hAnsi="Times New Roman" w:cs="Times New Roman"/>
          <w:i/>
          <w:color w:val="000000" w:themeColor="text1"/>
          <w:sz w:val="24"/>
          <w:szCs w:val="24"/>
        </w:rPr>
        <w:t xml:space="preserve">. PYC Nepal Journal of Management </w:t>
      </w:r>
      <w:r w:rsidRPr="00143B41">
        <w:rPr>
          <w:rFonts w:ascii="Times New Roman" w:hAnsi="Times New Roman" w:cs="Times New Roman"/>
          <w:color w:val="000000" w:themeColor="text1"/>
          <w:sz w:val="24"/>
          <w:szCs w:val="24"/>
        </w:rPr>
        <w:t>3(1), 28-36.</w:t>
      </w:r>
    </w:p>
    <w:p w14:paraId="4AB2791D"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i/>
          <w:iCs/>
          <w:color w:val="000000" w:themeColor="text1"/>
          <w:sz w:val="24"/>
          <w:szCs w:val="24"/>
        </w:rPr>
      </w:pPr>
      <w:proofErr w:type="spellStart"/>
      <w:r w:rsidRPr="00143B41">
        <w:rPr>
          <w:rFonts w:ascii="Times New Roman" w:hAnsi="Times New Roman" w:cs="Times New Roman"/>
          <w:color w:val="000000" w:themeColor="text1"/>
          <w:sz w:val="24"/>
          <w:szCs w:val="24"/>
        </w:rPr>
        <w:t>Dhungel</w:t>
      </w:r>
      <w:proofErr w:type="spellEnd"/>
      <w:r w:rsidRPr="00143B41">
        <w:rPr>
          <w:rFonts w:ascii="Times New Roman" w:hAnsi="Times New Roman" w:cs="Times New Roman"/>
          <w:color w:val="000000" w:themeColor="text1"/>
          <w:sz w:val="24"/>
          <w:szCs w:val="24"/>
        </w:rPr>
        <w:t xml:space="preserve">, A. (2015). Impact of dividend on share pricing in commercial banks. </w:t>
      </w:r>
      <w:r w:rsidRPr="00143B41">
        <w:rPr>
          <w:rFonts w:ascii="Times New Roman" w:hAnsi="Times New Roman" w:cs="Times New Roman"/>
          <w:i/>
          <w:iCs/>
          <w:color w:val="000000" w:themeColor="text1"/>
          <w:sz w:val="24"/>
          <w:szCs w:val="24"/>
        </w:rPr>
        <w:t xml:space="preserve">Banking journal, volume 2, issue </w:t>
      </w:r>
      <w:proofErr w:type="spellStart"/>
      <w:r w:rsidRPr="00143B41">
        <w:rPr>
          <w:rFonts w:ascii="Times New Roman" w:hAnsi="Times New Roman" w:cs="Times New Roman"/>
          <w:i/>
          <w:iCs/>
          <w:color w:val="000000" w:themeColor="text1"/>
          <w:sz w:val="24"/>
          <w:szCs w:val="24"/>
        </w:rPr>
        <w:t>i</w:t>
      </w:r>
      <w:proofErr w:type="spellEnd"/>
      <w:r w:rsidRPr="00143B41">
        <w:rPr>
          <w:rFonts w:ascii="Times New Roman" w:hAnsi="Times New Roman" w:cs="Times New Roman"/>
          <w:i/>
          <w:iCs/>
          <w:color w:val="000000" w:themeColor="text1"/>
          <w:sz w:val="24"/>
          <w:szCs w:val="24"/>
        </w:rPr>
        <w:t>.</w:t>
      </w:r>
    </w:p>
    <w:p w14:paraId="3BDD3443"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t>Eraker</w:t>
      </w:r>
      <w:proofErr w:type="spellEnd"/>
      <w:r w:rsidRPr="00143B41">
        <w:rPr>
          <w:rFonts w:ascii="Times New Roman" w:hAnsi="Times New Roman" w:cs="Times New Roman"/>
          <w:color w:val="000000" w:themeColor="text1"/>
          <w:sz w:val="24"/>
          <w:szCs w:val="24"/>
        </w:rPr>
        <w:t xml:space="preserve">, Bjorn (2004). </w:t>
      </w:r>
      <w:r w:rsidRPr="00143B41">
        <w:rPr>
          <w:rFonts w:ascii="Times New Roman" w:hAnsi="Times New Roman" w:cs="Times New Roman"/>
          <w:i/>
          <w:iCs/>
          <w:color w:val="000000" w:themeColor="text1"/>
          <w:sz w:val="24"/>
          <w:szCs w:val="24"/>
        </w:rPr>
        <w:t>Do Stock Price and Volatility Jump</w:t>
      </w:r>
      <w:r w:rsidRPr="00143B41">
        <w:rPr>
          <w:rFonts w:ascii="Times New Roman" w:hAnsi="Times New Roman" w:cs="Times New Roman"/>
          <w:color w:val="000000" w:themeColor="text1"/>
          <w:sz w:val="24"/>
          <w:szCs w:val="24"/>
        </w:rPr>
        <w:t>? Reconciling Evidence from      Spot and Option</w:t>
      </w:r>
    </w:p>
    <w:p w14:paraId="302AC94E"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t>Fransis</w:t>
      </w:r>
      <w:proofErr w:type="spellEnd"/>
      <w:r w:rsidRPr="00143B41">
        <w:rPr>
          <w:rFonts w:ascii="Times New Roman" w:hAnsi="Times New Roman" w:cs="Times New Roman"/>
          <w:color w:val="000000" w:themeColor="text1"/>
          <w:sz w:val="24"/>
          <w:szCs w:val="24"/>
        </w:rPr>
        <w:t xml:space="preserve">, J.K. (1989). </w:t>
      </w:r>
      <w:r w:rsidRPr="00143B41">
        <w:rPr>
          <w:rFonts w:ascii="Times New Roman" w:hAnsi="Times New Roman" w:cs="Times New Roman"/>
          <w:i/>
          <w:iCs/>
          <w:color w:val="000000" w:themeColor="text1"/>
          <w:sz w:val="24"/>
          <w:szCs w:val="24"/>
        </w:rPr>
        <w:t>Investment Analysis &amp; Management</w:t>
      </w:r>
      <w:r w:rsidRPr="00143B41">
        <w:rPr>
          <w:rFonts w:ascii="Times New Roman" w:hAnsi="Times New Roman" w:cs="Times New Roman"/>
          <w:color w:val="000000" w:themeColor="text1"/>
          <w:sz w:val="24"/>
          <w:szCs w:val="24"/>
        </w:rPr>
        <w:t>. New York: Grow Hill.</w:t>
      </w:r>
    </w:p>
    <w:p w14:paraId="74797C71"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Gautam, R.R. &amp; Thapa, K. (2008). </w:t>
      </w:r>
      <w:r w:rsidRPr="00143B41">
        <w:rPr>
          <w:rFonts w:ascii="Times New Roman" w:hAnsi="Times New Roman" w:cs="Times New Roman"/>
          <w:i/>
          <w:iCs/>
          <w:color w:val="000000" w:themeColor="text1"/>
          <w:sz w:val="24"/>
          <w:szCs w:val="24"/>
        </w:rPr>
        <w:t>Capital Structure Management</w:t>
      </w:r>
      <w:r w:rsidRPr="00143B41">
        <w:rPr>
          <w:rFonts w:ascii="Times New Roman" w:hAnsi="Times New Roman" w:cs="Times New Roman"/>
          <w:color w:val="000000" w:themeColor="text1"/>
          <w:sz w:val="24"/>
          <w:szCs w:val="24"/>
        </w:rPr>
        <w:t xml:space="preserve">. Kathmandu: </w:t>
      </w:r>
    </w:p>
    <w:p w14:paraId="73A7E359"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proofErr w:type="spellStart"/>
      <w:r w:rsidRPr="00143B41">
        <w:rPr>
          <w:rFonts w:ascii="Times New Roman" w:hAnsi="Times New Roman" w:cs="Times New Roman"/>
          <w:color w:val="000000" w:themeColor="text1"/>
          <w:sz w:val="24"/>
          <w:szCs w:val="24"/>
        </w:rPr>
        <w:t>Asmita</w:t>
      </w:r>
      <w:proofErr w:type="spellEnd"/>
      <w:r w:rsidRPr="00143B41">
        <w:rPr>
          <w:rFonts w:ascii="Times New Roman" w:hAnsi="Times New Roman" w:cs="Times New Roman"/>
          <w:color w:val="000000" w:themeColor="text1"/>
          <w:sz w:val="24"/>
          <w:szCs w:val="24"/>
        </w:rPr>
        <w:t xml:space="preserve"> Books Publishers &amp; Distributors Pvt. Ltd.</w:t>
      </w:r>
    </w:p>
    <w:p w14:paraId="0AC9C78B" w14:textId="77777777" w:rsidR="000C013D" w:rsidRPr="00143B41" w:rsidRDefault="000C013D" w:rsidP="00444603">
      <w:pPr>
        <w:pStyle w:val="Caption"/>
        <w:spacing w:before="240" w:after="240" w:line="384" w:lineRule="auto"/>
        <w:ind w:left="720" w:hanging="720"/>
        <w:contextualSpacing/>
        <w:jc w:val="both"/>
        <w:rPr>
          <w:b w:val="0"/>
          <w:i/>
          <w:color w:val="000000" w:themeColor="text1"/>
        </w:rPr>
      </w:pPr>
      <w:r w:rsidRPr="00143B41">
        <w:rPr>
          <w:b w:val="0"/>
          <w:color w:val="000000" w:themeColor="text1"/>
        </w:rPr>
        <w:t xml:space="preserve">Khan, W. A. (2014). Impact of Macroeconomics variable on the Stock Market index: A Study </w:t>
      </w:r>
      <w:proofErr w:type="gramStart"/>
      <w:r w:rsidRPr="00143B41">
        <w:rPr>
          <w:b w:val="0"/>
          <w:color w:val="000000" w:themeColor="text1"/>
        </w:rPr>
        <w:t>From</w:t>
      </w:r>
      <w:proofErr w:type="gramEnd"/>
      <w:r w:rsidRPr="00143B41">
        <w:rPr>
          <w:b w:val="0"/>
          <w:color w:val="000000" w:themeColor="text1"/>
        </w:rPr>
        <w:t xml:space="preserve"> Pakistan. </w:t>
      </w:r>
      <w:r w:rsidRPr="00143B41">
        <w:rPr>
          <w:b w:val="0"/>
          <w:i/>
          <w:color w:val="000000" w:themeColor="text1"/>
        </w:rPr>
        <w:t>International Journal of Accounting and Financial Reporting ISSN 2162-3082 2014, Vol. 4, No. 2.</w:t>
      </w:r>
    </w:p>
    <w:p w14:paraId="79F8DCDC"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lang w:bidi="en-US"/>
        </w:rPr>
      </w:pPr>
      <w:r w:rsidRPr="00143B41">
        <w:rPr>
          <w:rFonts w:ascii="Times New Roman" w:hAnsi="Times New Roman" w:cs="Times New Roman"/>
          <w:color w:val="000000" w:themeColor="text1"/>
          <w:sz w:val="24"/>
          <w:szCs w:val="24"/>
          <w:lang w:bidi="en-US"/>
        </w:rPr>
        <w:lastRenderedPageBreak/>
        <w:t xml:space="preserve">Malhotra, N., &amp;Tandon, K. (2013). Determinants of stock prices: Empirical evidence from NSE 100 companies. </w:t>
      </w:r>
      <w:r w:rsidRPr="00143B41">
        <w:rPr>
          <w:rFonts w:ascii="Times New Roman" w:hAnsi="Times New Roman" w:cs="Times New Roman"/>
          <w:i/>
          <w:color w:val="000000" w:themeColor="text1"/>
          <w:sz w:val="24"/>
          <w:szCs w:val="24"/>
          <w:lang w:bidi="en-US"/>
        </w:rPr>
        <w:t xml:space="preserve">IRACST- International Journal of Research in Management &amp; Technology </w:t>
      </w:r>
      <w:r w:rsidRPr="00143B41">
        <w:rPr>
          <w:rFonts w:ascii="Times New Roman" w:hAnsi="Times New Roman" w:cs="Times New Roman"/>
          <w:color w:val="000000" w:themeColor="text1"/>
          <w:sz w:val="24"/>
          <w:szCs w:val="24"/>
          <w:lang w:bidi="en-US"/>
        </w:rPr>
        <w:t>3(3), 86-95.</w:t>
      </w:r>
    </w:p>
    <w:p w14:paraId="5B3DDB0E"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lang w:bidi="en-US"/>
        </w:rPr>
      </w:pPr>
      <w:r w:rsidRPr="00143B41">
        <w:rPr>
          <w:rFonts w:ascii="Times New Roman" w:hAnsi="Times New Roman" w:cs="Times New Roman"/>
          <w:color w:val="000000" w:themeColor="text1"/>
          <w:sz w:val="24"/>
          <w:szCs w:val="24"/>
          <w:lang w:bidi="en-US"/>
        </w:rPr>
        <w:t xml:space="preserve">Masum, A. A. (2014). Dividend policy and its impact on stock price – A study on commercial banks listed in Dhaka stock exchange. </w:t>
      </w:r>
      <w:r w:rsidRPr="00143B41">
        <w:rPr>
          <w:rFonts w:ascii="Times New Roman" w:hAnsi="Times New Roman" w:cs="Times New Roman"/>
          <w:i/>
          <w:color w:val="000000" w:themeColor="text1"/>
          <w:sz w:val="24"/>
          <w:szCs w:val="24"/>
          <w:lang w:bidi="en-US"/>
        </w:rPr>
        <w:t>Global Disclosure of Economics and Business, 3</w:t>
      </w:r>
      <w:r w:rsidRPr="00143B41">
        <w:rPr>
          <w:rFonts w:ascii="Times New Roman" w:hAnsi="Times New Roman" w:cs="Times New Roman"/>
          <w:color w:val="000000" w:themeColor="text1"/>
          <w:sz w:val="24"/>
          <w:szCs w:val="24"/>
          <w:lang w:bidi="en-US"/>
        </w:rPr>
        <w:t>(1), 9-17.</w:t>
      </w:r>
    </w:p>
    <w:p w14:paraId="6F09A118"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lang w:bidi="en-US"/>
        </w:rPr>
      </w:pPr>
      <w:r w:rsidRPr="00143B41">
        <w:rPr>
          <w:rFonts w:ascii="Times New Roman" w:hAnsi="Times New Roman" w:cs="Times New Roman"/>
          <w:color w:val="000000" w:themeColor="text1"/>
          <w:sz w:val="24"/>
          <w:szCs w:val="24"/>
          <w:lang w:bidi="en-US"/>
        </w:rPr>
        <w:t xml:space="preserve">Mosley, L., &amp; D. A. Singer (2008). Taking stock seriously: Equity-market performance, government policy, and financial globalization. </w:t>
      </w:r>
      <w:r w:rsidRPr="00143B41">
        <w:rPr>
          <w:rFonts w:ascii="Times New Roman" w:hAnsi="Times New Roman" w:cs="Times New Roman"/>
          <w:i/>
          <w:color w:val="000000" w:themeColor="text1"/>
          <w:sz w:val="24"/>
          <w:szCs w:val="24"/>
          <w:lang w:bidi="en-US"/>
        </w:rPr>
        <w:t xml:space="preserve">International Studies </w:t>
      </w:r>
      <w:proofErr w:type="gramStart"/>
      <w:r w:rsidRPr="00143B41">
        <w:rPr>
          <w:rFonts w:ascii="Times New Roman" w:hAnsi="Times New Roman" w:cs="Times New Roman"/>
          <w:i/>
          <w:color w:val="000000" w:themeColor="text1"/>
          <w:sz w:val="24"/>
          <w:szCs w:val="24"/>
          <w:lang w:bidi="en-US"/>
        </w:rPr>
        <w:t>Association ,</w:t>
      </w:r>
      <w:proofErr w:type="gramEnd"/>
      <w:r w:rsidRPr="00143B41">
        <w:rPr>
          <w:rFonts w:ascii="Times New Roman" w:hAnsi="Times New Roman" w:cs="Times New Roman"/>
          <w:i/>
          <w:color w:val="000000" w:themeColor="text1"/>
          <w:sz w:val="24"/>
          <w:szCs w:val="24"/>
          <w:lang w:bidi="en-US"/>
        </w:rPr>
        <w:t xml:space="preserve"> 52</w:t>
      </w:r>
      <w:r w:rsidRPr="00143B41">
        <w:rPr>
          <w:rFonts w:ascii="Times New Roman" w:hAnsi="Times New Roman" w:cs="Times New Roman"/>
          <w:color w:val="000000" w:themeColor="text1"/>
          <w:sz w:val="24"/>
          <w:szCs w:val="24"/>
          <w:lang w:bidi="en-US"/>
        </w:rPr>
        <w:t>(4), 405–425.</w:t>
      </w:r>
    </w:p>
    <w:p w14:paraId="5F75FCF8"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lang w:bidi="en-US"/>
        </w:rPr>
      </w:pPr>
      <w:r w:rsidRPr="00143B41">
        <w:rPr>
          <w:rFonts w:ascii="Times New Roman" w:hAnsi="Times New Roman" w:cs="Times New Roman"/>
          <w:color w:val="000000" w:themeColor="text1"/>
          <w:sz w:val="24"/>
          <w:szCs w:val="24"/>
          <w:lang w:bidi="en-US"/>
        </w:rPr>
        <w:t xml:space="preserve">Pant, P. R. (2016). </w:t>
      </w:r>
      <w:r w:rsidRPr="00143B41">
        <w:rPr>
          <w:rFonts w:ascii="Times New Roman" w:hAnsi="Times New Roman" w:cs="Times New Roman"/>
          <w:i/>
          <w:iCs/>
          <w:color w:val="000000" w:themeColor="text1"/>
          <w:sz w:val="24"/>
          <w:szCs w:val="24"/>
          <w:lang w:bidi="en-US"/>
        </w:rPr>
        <w:t>Social Science Research and Thesis Writing</w:t>
      </w:r>
      <w:r w:rsidRPr="00143B41">
        <w:rPr>
          <w:rFonts w:ascii="Times New Roman" w:hAnsi="Times New Roman" w:cs="Times New Roman"/>
          <w:color w:val="000000" w:themeColor="text1"/>
          <w:sz w:val="24"/>
          <w:szCs w:val="24"/>
          <w:lang w:bidi="en-US"/>
        </w:rPr>
        <w:t xml:space="preserve"> (7th ed.</w:t>
      </w:r>
      <w:proofErr w:type="gramStart"/>
      <w:r w:rsidRPr="00143B41">
        <w:rPr>
          <w:rFonts w:ascii="Times New Roman" w:hAnsi="Times New Roman" w:cs="Times New Roman"/>
          <w:color w:val="000000" w:themeColor="text1"/>
          <w:sz w:val="24"/>
          <w:szCs w:val="24"/>
          <w:lang w:bidi="en-US"/>
        </w:rPr>
        <w:t>).Buddha</w:t>
      </w:r>
      <w:proofErr w:type="gramEnd"/>
      <w:r w:rsidRPr="00143B41">
        <w:rPr>
          <w:rFonts w:ascii="Times New Roman" w:hAnsi="Times New Roman" w:cs="Times New Roman"/>
          <w:color w:val="000000" w:themeColor="text1"/>
          <w:sz w:val="24"/>
          <w:szCs w:val="24"/>
          <w:lang w:bidi="en-US"/>
        </w:rPr>
        <w:t xml:space="preserve"> </w:t>
      </w:r>
      <w:proofErr w:type="spellStart"/>
      <w:r w:rsidRPr="00143B41">
        <w:rPr>
          <w:rFonts w:ascii="Times New Roman" w:hAnsi="Times New Roman" w:cs="Times New Roman"/>
          <w:color w:val="000000" w:themeColor="text1"/>
          <w:sz w:val="24"/>
          <w:szCs w:val="24"/>
          <w:lang w:bidi="en-US"/>
        </w:rPr>
        <w:t>Acedemic</w:t>
      </w:r>
      <w:proofErr w:type="spellEnd"/>
      <w:r w:rsidRPr="00143B41">
        <w:rPr>
          <w:rFonts w:ascii="Times New Roman" w:hAnsi="Times New Roman" w:cs="Times New Roman"/>
          <w:color w:val="000000" w:themeColor="text1"/>
          <w:sz w:val="24"/>
          <w:szCs w:val="24"/>
          <w:lang w:bidi="en-US"/>
        </w:rPr>
        <w:t xml:space="preserve"> Enterprises Pvt. Ltd.</w:t>
      </w:r>
    </w:p>
    <w:p w14:paraId="4C769B9F"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iCs/>
          <w:color w:val="000000" w:themeColor="text1"/>
          <w:sz w:val="24"/>
          <w:szCs w:val="24"/>
          <w:lang w:bidi="en-US"/>
        </w:rPr>
      </w:pPr>
      <w:r w:rsidRPr="00143B41">
        <w:rPr>
          <w:rFonts w:ascii="Times New Roman" w:hAnsi="Times New Roman" w:cs="Times New Roman"/>
          <w:iCs/>
          <w:color w:val="000000" w:themeColor="text1"/>
          <w:sz w:val="24"/>
          <w:szCs w:val="24"/>
          <w:lang w:bidi="en-US"/>
        </w:rPr>
        <w:t xml:space="preserve">Pradhan, R.S. (2016). Factors affecting the share price: evidence from Nepalese </w:t>
      </w:r>
      <w:proofErr w:type="spellStart"/>
      <w:r w:rsidRPr="00143B41">
        <w:rPr>
          <w:rFonts w:ascii="Times New Roman" w:hAnsi="Times New Roman" w:cs="Times New Roman"/>
          <w:iCs/>
          <w:color w:val="000000" w:themeColor="text1"/>
          <w:sz w:val="24"/>
          <w:szCs w:val="24"/>
          <w:lang w:bidi="en-US"/>
        </w:rPr>
        <w:t>commercialBanks</w:t>
      </w:r>
      <w:proofErr w:type="spellEnd"/>
      <w:r w:rsidRPr="00143B41">
        <w:rPr>
          <w:rFonts w:ascii="Times New Roman" w:hAnsi="Times New Roman" w:cs="Times New Roman"/>
          <w:iCs/>
          <w:color w:val="000000" w:themeColor="text1"/>
          <w:sz w:val="24"/>
          <w:szCs w:val="24"/>
          <w:lang w:bidi="en-US"/>
        </w:rPr>
        <w:t xml:space="preserve">. </w:t>
      </w:r>
      <w:r w:rsidRPr="00143B41">
        <w:rPr>
          <w:rFonts w:ascii="Times New Roman" w:hAnsi="Times New Roman" w:cs="Times New Roman"/>
          <w:i/>
          <w:iCs/>
          <w:color w:val="000000" w:themeColor="text1"/>
          <w:sz w:val="24"/>
          <w:szCs w:val="24"/>
          <w:lang w:bidi="en-US"/>
        </w:rPr>
        <w:t>The Research Gate (online) Available):</w:t>
      </w:r>
      <w:hyperlink w:history="1">
        <w:r w:rsidRPr="00143B41">
          <w:rPr>
            <w:rStyle w:val="Hyperlink"/>
            <w:rFonts w:ascii="Times New Roman" w:hAnsi="Times New Roman" w:cs="Times New Roman"/>
            <w:i/>
            <w:iCs/>
            <w:color w:val="000000" w:themeColor="text1"/>
            <w:sz w:val="24"/>
            <w:szCs w:val="24"/>
            <w:lang w:bidi="en-US"/>
          </w:rPr>
          <w:t>https://www. researchgate.net/publication.</w:t>
        </w:r>
      </w:hyperlink>
      <w:r w:rsidRPr="00143B41">
        <w:rPr>
          <w:rFonts w:ascii="Times New Roman" w:hAnsi="Times New Roman" w:cs="Times New Roman"/>
          <w:i/>
          <w:iCs/>
          <w:color w:val="000000" w:themeColor="text1"/>
          <w:sz w:val="24"/>
          <w:szCs w:val="24"/>
          <w:lang w:bidi="en-US"/>
        </w:rPr>
        <w:t xml:space="preserve"> [2008, June].</w:t>
      </w:r>
    </w:p>
    <w:p w14:paraId="7D3D0151"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bCs/>
          <w:color w:val="000000" w:themeColor="text1"/>
          <w:sz w:val="24"/>
          <w:szCs w:val="24"/>
          <w:lang w:bidi="en-US"/>
        </w:rPr>
      </w:pPr>
      <w:proofErr w:type="spellStart"/>
      <w:r w:rsidRPr="00143B41">
        <w:rPr>
          <w:rFonts w:ascii="Times New Roman" w:hAnsi="Times New Roman" w:cs="Times New Roman"/>
          <w:bCs/>
          <w:color w:val="000000" w:themeColor="text1"/>
          <w:sz w:val="24"/>
          <w:szCs w:val="24"/>
          <w:lang w:bidi="en-US"/>
        </w:rPr>
        <w:t>Rijan</w:t>
      </w:r>
      <w:proofErr w:type="spellEnd"/>
      <w:r w:rsidRPr="00143B41">
        <w:rPr>
          <w:rFonts w:ascii="Times New Roman" w:hAnsi="Times New Roman" w:cs="Times New Roman"/>
          <w:bCs/>
          <w:color w:val="000000" w:themeColor="text1"/>
          <w:sz w:val="24"/>
          <w:szCs w:val="24"/>
          <w:lang w:bidi="en-US"/>
        </w:rPr>
        <w:t xml:space="preserve">, P.P. (2016). </w:t>
      </w:r>
      <w:r w:rsidRPr="00143B41">
        <w:rPr>
          <w:rFonts w:ascii="Times New Roman" w:hAnsi="Times New Roman" w:cs="Times New Roman"/>
          <w:bCs/>
          <w:i/>
          <w:color w:val="000000" w:themeColor="text1"/>
          <w:sz w:val="24"/>
          <w:szCs w:val="24"/>
          <w:lang w:bidi="en-US"/>
        </w:rPr>
        <w:t xml:space="preserve">A Guide for Bank </w:t>
      </w:r>
      <w:proofErr w:type="gramStart"/>
      <w:r w:rsidRPr="00143B41">
        <w:rPr>
          <w:rFonts w:ascii="Times New Roman" w:hAnsi="Times New Roman" w:cs="Times New Roman"/>
          <w:bCs/>
          <w:i/>
          <w:color w:val="000000" w:themeColor="text1"/>
          <w:sz w:val="24"/>
          <w:szCs w:val="24"/>
          <w:lang w:bidi="en-US"/>
        </w:rPr>
        <w:t>Exam.(</w:t>
      </w:r>
      <w:proofErr w:type="gramEnd"/>
      <w:r w:rsidRPr="00143B41">
        <w:rPr>
          <w:rFonts w:ascii="Times New Roman" w:hAnsi="Times New Roman" w:cs="Times New Roman"/>
          <w:bCs/>
          <w:i/>
          <w:color w:val="000000" w:themeColor="text1"/>
          <w:sz w:val="24"/>
          <w:szCs w:val="24"/>
          <w:lang w:bidi="en-US"/>
        </w:rPr>
        <w:t>2017),</w:t>
      </w:r>
      <w:r w:rsidRPr="00143B41">
        <w:rPr>
          <w:rFonts w:ascii="Times New Roman" w:hAnsi="Times New Roman" w:cs="Times New Roman"/>
          <w:bCs/>
          <w:color w:val="000000" w:themeColor="text1"/>
          <w:sz w:val="24"/>
          <w:szCs w:val="24"/>
          <w:lang w:bidi="en-US"/>
        </w:rPr>
        <w:t>Kathmandu: M.K. Publishers &amp; Distributors.</w:t>
      </w:r>
    </w:p>
    <w:p w14:paraId="28688979"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bCs/>
          <w:i/>
          <w:color w:val="000000" w:themeColor="text1"/>
          <w:sz w:val="24"/>
          <w:szCs w:val="24"/>
          <w:lang w:bidi="en-US"/>
        </w:rPr>
      </w:pPr>
      <w:r w:rsidRPr="00143B41">
        <w:rPr>
          <w:rFonts w:ascii="Times New Roman" w:hAnsi="Times New Roman" w:cs="Times New Roman"/>
          <w:bCs/>
          <w:color w:val="000000" w:themeColor="text1"/>
          <w:sz w:val="24"/>
          <w:szCs w:val="24"/>
          <w:lang w:bidi="en-US"/>
        </w:rPr>
        <w:t xml:space="preserve">Sharma, S. (2011). Determinants of equity share prices in India. </w:t>
      </w:r>
      <w:r w:rsidRPr="00143B41">
        <w:rPr>
          <w:rFonts w:ascii="Times New Roman" w:hAnsi="Times New Roman" w:cs="Times New Roman"/>
          <w:bCs/>
          <w:i/>
          <w:color w:val="000000" w:themeColor="text1"/>
          <w:sz w:val="24"/>
          <w:szCs w:val="24"/>
          <w:lang w:bidi="en-US"/>
        </w:rPr>
        <w:t>Journal of Arts, Science &amp; Commerce</w:t>
      </w:r>
      <w:r w:rsidRPr="00143B41">
        <w:rPr>
          <w:rFonts w:ascii="Times New Roman" w:hAnsi="Times New Roman" w:cs="Times New Roman"/>
          <w:bCs/>
          <w:color w:val="000000" w:themeColor="text1"/>
          <w:sz w:val="24"/>
          <w:szCs w:val="24"/>
          <w:lang w:bidi="en-US"/>
        </w:rPr>
        <w:t>2(10), 51-70.</w:t>
      </w:r>
    </w:p>
    <w:p w14:paraId="4D6EA2F9"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i/>
          <w:iCs/>
          <w:color w:val="000000" w:themeColor="text1"/>
          <w:sz w:val="24"/>
          <w:szCs w:val="24"/>
        </w:rPr>
      </w:pPr>
      <w:r w:rsidRPr="00143B41">
        <w:rPr>
          <w:rFonts w:ascii="Times New Roman" w:hAnsi="Times New Roman" w:cs="Times New Roman"/>
          <w:iCs/>
          <w:color w:val="000000" w:themeColor="text1"/>
          <w:sz w:val="24"/>
          <w:szCs w:val="24"/>
        </w:rPr>
        <w:t xml:space="preserve">Shrestha, </w:t>
      </w:r>
      <w:proofErr w:type="gramStart"/>
      <w:r w:rsidRPr="00143B41">
        <w:rPr>
          <w:rFonts w:ascii="Times New Roman" w:hAnsi="Times New Roman" w:cs="Times New Roman"/>
          <w:iCs/>
          <w:color w:val="000000" w:themeColor="text1"/>
          <w:sz w:val="24"/>
          <w:szCs w:val="24"/>
        </w:rPr>
        <w:t>P.R.,&amp;</w:t>
      </w:r>
      <w:proofErr w:type="spellStart"/>
      <w:proofErr w:type="gramEnd"/>
      <w:r w:rsidRPr="00143B41">
        <w:rPr>
          <w:rFonts w:ascii="Times New Roman" w:hAnsi="Times New Roman" w:cs="Times New Roman"/>
          <w:iCs/>
          <w:color w:val="000000" w:themeColor="text1"/>
          <w:sz w:val="24"/>
          <w:szCs w:val="24"/>
        </w:rPr>
        <w:t>Subedi</w:t>
      </w:r>
      <w:proofErr w:type="spellEnd"/>
      <w:r w:rsidRPr="00143B41">
        <w:rPr>
          <w:rFonts w:ascii="Times New Roman" w:hAnsi="Times New Roman" w:cs="Times New Roman"/>
          <w:iCs/>
          <w:color w:val="000000" w:themeColor="text1"/>
          <w:sz w:val="24"/>
          <w:szCs w:val="24"/>
        </w:rPr>
        <w:t xml:space="preserve">, B.R. (2014). Stock price and macroeconomic variable. </w:t>
      </w:r>
      <w:r w:rsidRPr="00143B41">
        <w:rPr>
          <w:rFonts w:ascii="Times New Roman" w:hAnsi="Times New Roman" w:cs="Times New Roman"/>
          <w:i/>
          <w:iCs/>
          <w:color w:val="000000" w:themeColor="text1"/>
          <w:sz w:val="24"/>
          <w:szCs w:val="24"/>
        </w:rPr>
        <w:t xml:space="preserve">NRB Working Paper series, NRB-WP-24, 2014. </w:t>
      </w:r>
    </w:p>
    <w:p w14:paraId="286F1741"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Thapa, K. &amp; Rana, S. B. (2011). </w:t>
      </w:r>
      <w:r w:rsidRPr="00143B41">
        <w:rPr>
          <w:rFonts w:ascii="Times New Roman" w:hAnsi="Times New Roman" w:cs="Times New Roman"/>
          <w:i/>
          <w:color w:val="000000" w:themeColor="text1"/>
          <w:sz w:val="24"/>
          <w:szCs w:val="24"/>
        </w:rPr>
        <w:t>Investment Management</w:t>
      </w:r>
      <w:r w:rsidRPr="00143B41">
        <w:rPr>
          <w:rFonts w:ascii="Times New Roman" w:hAnsi="Times New Roman" w:cs="Times New Roman"/>
          <w:color w:val="000000" w:themeColor="text1"/>
          <w:sz w:val="24"/>
          <w:szCs w:val="24"/>
        </w:rPr>
        <w:t xml:space="preserve">. Kathmandu: </w:t>
      </w:r>
      <w:proofErr w:type="spellStart"/>
      <w:r w:rsidRPr="00143B41">
        <w:rPr>
          <w:rFonts w:ascii="Times New Roman" w:hAnsi="Times New Roman" w:cs="Times New Roman"/>
          <w:color w:val="000000" w:themeColor="text1"/>
          <w:sz w:val="24"/>
          <w:szCs w:val="24"/>
        </w:rPr>
        <w:t>Asmita</w:t>
      </w:r>
      <w:proofErr w:type="spellEnd"/>
      <w:r w:rsidRPr="00143B41">
        <w:rPr>
          <w:rFonts w:ascii="Times New Roman" w:hAnsi="Times New Roman" w:cs="Times New Roman"/>
          <w:color w:val="000000" w:themeColor="text1"/>
          <w:sz w:val="24"/>
          <w:szCs w:val="24"/>
        </w:rPr>
        <w:tab/>
        <w:t>Books Publishers &amp; Distributors Pvt. Ltd.</w:t>
      </w:r>
    </w:p>
    <w:p w14:paraId="48DBE890"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color w:val="000000" w:themeColor="text1"/>
          <w:sz w:val="24"/>
          <w:szCs w:val="24"/>
        </w:rPr>
      </w:pPr>
      <w:r w:rsidRPr="00143B41">
        <w:rPr>
          <w:rFonts w:ascii="Times New Roman" w:hAnsi="Times New Roman" w:cs="Times New Roman"/>
          <w:color w:val="000000" w:themeColor="text1"/>
          <w:sz w:val="24"/>
          <w:szCs w:val="24"/>
        </w:rPr>
        <w:t xml:space="preserve">Van Horn, J.C. (2000). </w:t>
      </w:r>
      <w:r w:rsidRPr="00143B41">
        <w:rPr>
          <w:rFonts w:ascii="Times New Roman" w:hAnsi="Times New Roman" w:cs="Times New Roman"/>
          <w:i/>
          <w:iCs/>
          <w:color w:val="000000" w:themeColor="text1"/>
          <w:sz w:val="24"/>
          <w:szCs w:val="24"/>
        </w:rPr>
        <w:t>Financial Management &amp; Policy</w:t>
      </w:r>
      <w:r w:rsidRPr="00143B41">
        <w:rPr>
          <w:rFonts w:ascii="Times New Roman" w:hAnsi="Times New Roman" w:cs="Times New Roman"/>
          <w:color w:val="000000" w:themeColor="text1"/>
          <w:sz w:val="24"/>
          <w:szCs w:val="24"/>
        </w:rPr>
        <w:t>. New Delhi: Prentice Hall of India.</w:t>
      </w:r>
    </w:p>
    <w:p w14:paraId="3775AEE2" w14:textId="77777777" w:rsidR="000C013D" w:rsidRPr="00143B41" w:rsidRDefault="000C013D" w:rsidP="00444603">
      <w:pPr>
        <w:spacing w:before="240" w:after="240" w:line="384" w:lineRule="auto"/>
        <w:ind w:left="720" w:hanging="720"/>
        <w:contextualSpacing/>
        <w:jc w:val="both"/>
        <w:rPr>
          <w:rFonts w:ascii="Times New Roman" w:hAnsi="Times New Roman" w:cs="Times New Roman"/>
          <w:b/>
          <w:color w:val="000000" w:themeColor="text1"/>
          <w:sz w:val="24"/>
          <w:szCs w:val="24"/>
        </w:rPr>
      </w:pPr>
    </w:p>
    <w:p w14:paraId="38C2F463" w14:textId="77777777" w:rsidR="000C013D" w:rsidRPr="00143B41" w:rsidRDefault="000C013D" w:rsidP="00444603">
      <w:pPr>
        <w:spacing w:before="240" w:after="240" w:line="384" w:lineRule="auto"/>
        <w:jc w:val="both"/>
        <w:rPr>
          <w:rFonts w:ascii="Times New Roman" w:hAnsi="Times New Roman" w:cs="Times New Roman"/>
          <w:color w:val="000000" w:themeColor="text1"/>
          <w:sz w:val="28"/>
          <w:szCs w:val="28"/>
        </w:rPr>
      </w:pPr>
    </w:p>
    <w:p w14:paraId="2A263D1A" w14:textId="77777777" w:rsidR="008A76F8" w:rsidRPr="00143B41" w:rsidRDefault="008A76F8" w:rsidP="00444603">
      <w:pPr>
        <w:spacing w:before="240" w:after="240" w:line="384" w:lineRule="auto"/>
        <w:jc w:val="both"/>
        <w:rPr>
          <w:rFonts w:ascii="Times New Roman" w:hAnsi="Times New Roman" w:cs="Times New Roman"/>
          <w:color w:val="000000" w:themeColor="text1"/>
        </w:rPr>
      </w:pPr>
    </w:p>
    <w:sectPr w:rsidR="008A76F8" w:rsidRPr="00143B41" w:rsidSect="000328D2">
      <w:footerReference w:type="default" r:id="rId14"/>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AE716" w14:textId="77777777" w:rsidR="00F77C91" w:rsidRDefault="00F77C91" w:rsidP="0027546B">
      <w:pPr>
        <w:spacing w:after="0" w:line="240" w:lineRule="auto"/>
      </w:pPr>
      <w:r>
        <w:separator/>
      </w:r>
    </w:p>
  </w:endnote>
  <w:endnote w:type="continuationSeparator" w:id="0">
    <w:p w14:paraId="45D837FD" w14:textId="77777777" w:rsidR="00F77C91" w:rsidRDefault="00F77C91" w:rsidP="00275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44071"/>
      <w:docPartObj>
        <w:docPartGallery w:val="Page Numbers (Bottom of Page)"/>
        <w:docPartUnique/>
      </w:docPartObj>
    </w:sdtPr>
    <w:sdtEndPr/>
    <w:sdtContent>
      <w:p w14:paraId="7EB07670" w14:textId="77777777" w:rsidR="0027546B" w:rsidRDefault="00AA4489">
        <w:pPr>
          <w:pStyle w:val="Footer"/>
          <w:jc w:val="center"/>
        </w:pPr>
        <w:r>
          <w:fldChar w:fldCharType="begin"/>
        </w:r>
        <w:r>
          <w:instrText xml:space="preserve"> PAGE   \* MERGEFORMAT </w:instrText>
        </w:r>
        <w:r>
          <w:fldChar w:fldCharType="separate"/>
        </w:r>
        <w:r w:rsidR="00CF5F90">
          <w:rPr>
            <w:noProof/>
          </w:rPr>
          <w:t>65</w:t>
        </w:r>
        <w:r>
          <w:rPr>
            <w:noProof/>
          </w:rPr>
          <w:fldChar w:fldCharType="end"/>
        </w:r>
      </w:p>
    </w:sdtContent>
  </w:sdt>
  <w:p w14:paraId="52BCAB9C" w14:textId="77777777" w:rsidR="0027546B" w:rsidRDefault="00275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90A24" w14:textId="77777777" w:rsidR="00F77C91" w:rsidRDefault="00F77C91" w:rsidP="0027546B">
      <w:pPr>
        <w:spacing w:after="0" w:line="240" w:lineRule="auto"/>
      </w:pPr>
      <w:r>
        <w:separator/>
      </w:r>
    </w:p>
  </w:footnote>
  <w:footnote w:type="continuationSeparator" w:id="0">
    <w:p w14:paraId="68719CC5" w14:textId="77777777" w:rsidR="00F77C91" w:rsidRDefault="00F77C91" w:rsidP="002754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EB815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50771B"/>
    <w:multiLevelType w:val="hybridMultilevel"/>
    <w:tmpl w:val="20B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120D5"/>
    <w:multiLevelType w:val="hybridMultilevel"/>
    <w:tmpl w:val="2370EC36"/>
    <w:lvl w:ilvl="0" w:tplc="E43EBFC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0FA0119"/>
    <w:multiLevelType w:val="hybridMultilevel"/>
    <w:tmpl w:val="C0227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495FC1"/>
    <w:multiLevelType w:val="hybridMultilevel"/>
    <w:tmpl w:val="5240C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72987"/>
    <w:multiLevelType w:val="hybridMultilevel"/>
    <w:tmpl w:val="C4D49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863E5B"/>
    <w:multiLevelType w:val="multilevel"/>
    <w:tmpl w:val="E0E2C90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FE84B29"/>
    <w:multiLevelType w:val="hybridMultilevel"/>
    <w:tmpl w:val="430C9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378E8"/>
    <w:multiLevelType w:val="hybridMultilevel"/>
    <w:tmpl w:val="B2281D5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0E27864"/>
    <w:multiLevelType w:val="hybridMultilevel"/>
    <w:tmpl w:val="4B92B074"/>
    <w:lvl w:ilvl="0" w:tplc="0409001B">
      <w:start w:val="1"/>
      <w:numFmt w:val="lowerRoman"/>
      <w:lvlText w:val="%1."/>
      <w:lvlJc w:val="right"/>
      <w:pPr>
        <w:ind w:left="1080" w:hanging="360"/>
      </w:pPr>
    </w:lvl>
    <w:lvl w:ilvl="1" w:tplc="0409001B">
      <w:start w:val="1"/>
      <w:numFmt w:val="lowerRoman"/>
      <w:lvlText w:val="%2."/>
      <w:lvlJc w:val="righ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8"/>
  </w:num>
  <w:num w:numId="3">
    <w:abstractNumId w:val="9"/>
  </w:num>
  <w:num w:numId="4">
    <w:abstractNumId w:val="3"/>
  </w:num>
  <w:num w:numId="5">
    <w:abstractNumId w:val="5"/>
  </w:num>
  <w:num w:numId="6">
    <w:abstractNumId w:val="0"/>
  </w:num>
  <w:num w:numId="7">
    <w:abstractNumId w:val="4"/>
  </w:num>
  <w:num w:numId="8">
    <w:abstractNumId w:val="7"/>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C013D"/>
    <w:rsid w:val="00001541"/>
    <w:rsid w:val="000161B2"/>
    <w:rsid w:val="000328D2"/>
    <w:rsid w:val="00033295"/>
    <w:rsid w:val="0003552A"/>
    <w:rsid w:val="000477C4"/>
    <w:rsid w:val="0008683E"/>
    <w:rsid w:val="000A6B33"/>
    <w:rsid w:val="000A712A"/>
    <w:rsid w:val="000A7686"/>
    <w:rsid w:val="000B7931"/>
    <w:rsid w:val="000C013D"/>
    <w:rsid w:val="001007A7"/>
    <w:rsid w:val="00116C4E"/>
    <w:rsid w:val="00120162"/>
    <w:rsid w:val="001368E3"/>
    <w:rsid w:val="00141C99"/>
    <w:rsid w:val="00143B41"/>
    <w:rsid w:val="00150AC7"/>
    <w:rsid w:val="0016731E"/>
    <w:rsid w:val="001A0385"/>
    <w:rsid w:val="001B0612"/>
    <w:rsid w:val="001D4B19"/>
    <w:rsid w:val="00223E0C"/>
    <w:rsid w:val="00235D77"/>
    <w:rsid w:val="002405D6"/>
    <w:rsid w:val="00241353"/>
    <w:rsid w:val="00242ADA"/>
    <w:rsid w:val="0027422A"/>
    <w:rsid w:val="0027546B"/>
    <w:rsid w:val="002835D6"/>
    <w:rsid w:val="00286684"/>
    <w:rsid w:val="0028754C"/>
    <w:rsid w:val="002A4A3B"/>
    <w:rsid w:val="002B7024"/>
    <w:rsid w:val="003334E3"/>
    <w:rsid w:val="0033367B"/>
    <w:rsid w:val="00336173"/>
    <w:rsid w:val="00351325"/>
    <w:rsid w:val="00354635"/>
    <w:rsid w:val="00387ED9"/>
    <w:rsid w:val="003D2E02"/>
    <w:rsid w:val="003F252A"/>
    <w:rsid w:val="00444603"/>
    <w:rsid w:val="00482F00"/>
    <w:rsid w:val="0049079C"/>
    <w:rsid w:val="00495CCA"/>
    <w:rsid w:val="005076A7"/>
    <w:rsid w:val="00520B96"/>
    <w:rsid w:val="00531330"/>
    <w:rsid w:val="00585662"/>
    <w:rsid w:val="00587B4F"/>
    <w:rsid w:val="00594C60"/>
    <w:rsid w:val="00597459"/>
    <w:rsid w:val="005A639C"/>
    <w:rsid w:val="005B1ED7"/>
    <w:rsid w:val="005C7F45"/>
    <w:rsid w:val="005E0B4D"/>
    <w:rsid w:val="005E1B11"/>
    <w:rsid w:val="00605D3E"/>
    <w:rsid w:val="00626C40"/>
    <w:rsid w:val="00641EFF"/>
    <w:rsid w:val="0065581D"/>
    <w:rsid w:val="0067595B"/>
    <w:rsid w:val="006A288B"/>
    <w:rsid w:val="006A3FF9"/>
    <w:rsid w:val="006A54FF"/>
    <w:rsid w:val="006C5481"/>
    <w:rsid w:val="00702BF2"/>
    <w:rsid w:val="007138DD"/>
    <w:rsid w:val="00714B88"/>
    <w:rsid w:val="00721C20"/>
    <w:rsid w:val="00742A42"/>
    <w:rsid w:val="007570C1"/>
    <w:rsid w:val="00774ED3"/>
    <w:rsid w:val="00786FA2"/>
    <w:rsid w:val="007C7E75"/>
    <w:rsid w:val="008150AA"/>
    <w:rsid w:val="0082122A"/>
    <w:rsid w:val="00837140"/>
    <w:rsid w:val="00841F47"/>
    <w:rsid w:val="008452DF"/>
    <w:rsid w:val="00853817"/>
    <w:rsid w:val="00866724"/>
    <w:rsid w:val="00881FDC"/>
    <w:rsid w:val="00884E13"/>
    <w:rsid w:val="008858FD"/>
    <w:rsid w:val="008A76F8"/>
    <w:rsid w:val="008B5885"/>
    <w:rsid w:val="008C6D90"/>
    <w:rsid w:val="008D3891"/>
    <w:rsid w:val="008E3DB1"/>
    <w:rsid w:val="008F7584"/>
    <w:rsid w:val="00922FFF"/>
    <w:rsid w:val="00927163"/>
    <w:rsid w:val="00927576"/>
    <w:rsid w:val="00935343"/>
    <w:rsid w:val="00947EFD"/>
    <w:rsid w:val="00950515"/>
    <w:rsid w:val="0095314C"/>
    <w:rsid w:val="009533C5"/>
    <w:rsid w:val="00963CA9"/>
    <w:rsid w:val="00976938"/>
    <w:rsid w:val="00984E03"/>
    <w:rsid w:val="00986C3A"/>
    <w:rsid w:val="00997E51"/>
    <w:rsid w:val="009C3F8B"/>
    <w:rsid w:val="00A01E47"/>
    <w:rsid w:val="00A347A8"/>
    <w:rsid w:val="00A64B2D"/>
    <w:rsid w:val="00A85517"/>
    <w:rsid w:val="00AA4489"/>
    <w:rsid w:val="00AC2FFE"/>
    <w:rsid w:val="00AC30CB"/>
    <w:rsid w:val="00B060AC"/>
    <w:rsid w:val="00B1653F"/>
    <w:rsid w:val="00B27805"/>
    <w:rsid w:val="00B3468B"/>
    <w:rsid w:val="00B62CBB"/>
    <w:rsid w:val="00B63006"/>
    <w:rsid w:val="00B70B24"/>
    <w:rsid w:val="00B74E33"/>
    <w:rsid w:val="00B7738B"/>
    <w:rsid w:val="00B964F8"/>
    <w:rsid w:val="00BA2453"/>
    <w:rsid w:val="00BA5534"/>
    <w:rsid w:val="00BB01CE"/>
    <w:rsid w:val="00BC0663"/>
    <w:rsid w:val="00BC31D8"/>
    <w:rsid w:val="00BC6DBC"/>
    <w:rsid w:val="00BD753D"/>
    <w:rsid w:val="00BF00F8"/>
    <w:rsid w:val="00C26FBE"/>
    <w:rsid w:val="00C27016"/>
    <w:rsid w:val="00C27B49"/>
    <w:rsid w:val="00C30ED2"/>
    <w:rsid w:val="00C37A15"/>
    <w:rsid w:val="00C53062"/>
    <w:rsid w:val="00C72AE6"/>
    <w:rsid w:val="00CA6024"/>
    <w:rsid w:val="00CB1E9B"/>
    <w:rsid w:val="00CB3A5C"/>
    <w:rsid w:val="00CB3B54"/>
    <w:rsid w:val="00CF5F90"/>
    <w:rsid w:val="00D13A7F"/>
    <w:rsid w:val="00D429DA"/>
    <w:rsid w:val="00D52B57"/>
    <w:rsid w:val="00D72049"/>
    <w:rsid w:val="00D72F5A"/>
    <w:rsid w:val="00D742F0"/>
    <w:rsid w:val="00DA1273"/>
    <w:rsid w:val="00DA16E3"/>
    <w:rsid w:val="00DA2E3D"/>
    <w:rsid w:val="00DA443E"/>
    <w:rsid w:val="00DA743C"/>
    <w:rsid w:val="00DB0655"/>
    <w:rsid w:val="00DB3638"/>
    <w:rsid w:val="00DD1725"/>
    <w:rsid w:val="00DE62FE"/>
    <w:rsid w:val="00E0747D"/>
    <w:rsid w:val="00E31F1A"/>
    <w:rsid w:val="00E67F05"/>
    <w:rsid w:val="00F012C9"/>
    <w:rsid w:val="00F051BB"/>
    <w:rsid w:val="00F26278"/>
    <w:rsid w:val="00F31504"/>
    <w:rsid w:val="00F43E72"/>
    <w:rsid w:val="00F719C2"/>
    <w:rsid w:val="00F77C91"/>
    <w:rsid w:val="00F8471F"/>
    <w:rsid w:val="00FA21D2"/>
    <w:rsid w:val="00FB2B94"/>
    <w:rsid w:val="00FF4F37"/>
    <w:rsid w:val="00FF79C7"/>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1" type="connector" idref="#_x0000_s1045"/>
        <o:r id="V:Rule2" type="connector" idref="#_x0000_s1046"/>
        <o:r id="V:Rule3" type="connector" idref="#_x0000_s1047"/>
        <o:r id="V:Rule4" type="connector" idref="#_x0000_s1049"/>
        <o:r id="V:Rule5" type="connector" idref="#_x0000_s1048"/>
      </o:rules>
    </o:shapelayout>
  </w:shapeDefaults>
  <w:decimalSymbol w:val="."/>
  <w:listSeparator w:val=","/>
  <w14:docId w14:val="1561E119"/>
  <w15:docId w15:val="{249897A1-D259-4D87-970C-7E9795F5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E3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013D"/>
    <w:rPr>
      <w:color w:val="0563C1" w:themeColor="hyperlink"/>
      <w:u w:val="single"/>
    </w:rPr>
  </w:style>
  <w:style w:type="paragraph" w:styleId="Caption">
    <w:name w:val="caption"/>
    <w:basedOn w:val="Normal"/>
    <w:next w:val="Normal"/>
    <w:link w:val="CaptionChar"/>
    <w:uiPriority w:val="35"/>
    <w:unhideWhenUsed/>
    <w:qFormat/>
    <w:rsid w:val="000C013D"/>
    <w:pPr>
      <w:spacing w:after="200" w:line="360" w:lineRule="auto"/>
      <w:jc w:val="center"/>
    </w:pPr>
    <w:rPr>
      <w:rFonts w:ascii="Times New Roman" w:eastAsia="Times New Roman" w:hAnsi="Times New Roman" w:cs="Times New Roman"/>
      <w:b/>
      <w:iCs/>
      <w:color w:val="44546A" w:themeColor="text2"/>
      <w:sz w:val="24"/>
      <w:szCs w:val="24"/>
    </w:rPr>
  </w:style>
  <w:style w:type="character" w:customStyle="1" w:styleId="CaptionChar">
    <w:name w:val="Caption Char"/>
    <w:basedOn w:val="DefaultParagraphFont"/>
    <w:link w:val="Caption"/>
    <w:uiPriority w:val="35"/>
    <w:rsid w:val="000C013D"/>
    <w:rPr>
      <w:rFonts w:ascii="Times New Roman" w:eastAsia="Times New Roman" w:hAnsi="Times New Roman" w:cs="Times New Roman"/>
      <w:b/>
      <w:iCs/>
      <w:color w:val="44546A" w:themeColor="text2"/>
      <w:sz w:val="24"/>
      <w:szCs w:val="24"/>
    </w:rPr>
  </w:style>
  <w:style w:type="paragraph" w:styleId="ListParagraph">
    <w:name w:val="List Paragraph"/>
    <w:basedOn w:val="Normal"/>
    <w:link w:val="ListParagraphChar"/>
    <w:uiPriority w:val="34"/>
    <w:qFormat/>
    <w:rsid w:val="000C013D"/>
    <w:pPr>
      <w:ind w:left="720"/>
      <w:contextualSpacing/>
    </w:pPr>
  </w:style>
  <w:style w:type="paragraph" w:styleId="BodyText2">
    <w:name w:val="Body Text 2"/>
    <w:basedOn w:val="Normal"/>
    <w:link w:val="BodyText2Char"/>
    <w:uiPriority w:val="99"/>
    <w:unhideWhenUsed/>
    <w:rsid w:val="000C013D"/>
    <w:pPr>
      <w:spacing w:after="120" w:line="480" w:lineRule="auto"/>
    </w:pPr>
    <w:rPr>
      <w:rFonts w:ascii="Calibri" w:eastAsia="Calibri" w:hAnsi="Calibri" w:cs="Mangal"/>
    </w:rPr>
  </w:style>
  <w:style w:type="character" w:customStyle="1" w:styleId="BodyText2Char">
    <w:name w:val="Body Text 2 Char"/>
    <w:basedOn w:val="DefaultParagraphFont"/>
    <w:link w:val="BodyText2"/>
    <w:uiPriority w:val="99"/>
    <w:rsid w:val="000C013D"/>
    <w:rPr>
      <w:rFonts w:ascii="Calibri" w:eastAsia="Calibri" w:hAnsi="Calibri" w:cs="Mangal"/>
    </w:rPr>
  </w:style>
  <w:style w:type="table" w:styleId="TableGrid">
    <w:name w:val="Table Grid"/>
    <w:basedOn w:val="TableNormal"/>
    <w:uiPriority w:val="39"/>
    <w:rsid w:val="000C0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0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13D"/>
  </w:style>
  <w:style w:type="paragraph" w:styleId="Footer">
    <w:name w:val="footer"/>
    <w:basedOn w:val="Normal"/>
    <w:link w:val="FooterChar"/>
    <w:uiPriority w:val="99"/>
    <w:unhideWhenUsed/>
    <w:rsid w:val="000C0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13D"/>
  </w:style>
  <w:style w:type="paragraph" w:styleId="ListBullet">
    <w:name w:val="List Bullet"/>
    <w:basedOn w:val="Normal"/>
    <w:uiPriority w:val="99"/>
    <w:unhideWhenUsed/>
    <w:rsid w:val="000C013D"/>
    <w:pPr>
      <w:numPr>
        <w:numId w:val="6"/>
      </w:numPr>
      <w:contextualSpacing/>
    </w:pPr>
  </w:style>
  <w:style w:type="character" w:customStyle="1" w:styleId="UnresolvedMention1">
    <w:name w:val="Unresolved Mention1"/>
    <w:basedOn w:val="DefaultParagraphFont"/>
    <w:uiPriority w:val="99"/>
    <w:semiHidden/>
    <w:unhideWhenUsed/>
    <w:rsid w:val="000C013D"/>
    <w:rPr>
      <w:color w:val="605E5C"/>
      <w:shd w:val="clear" w:color="auto" w:fill="E1DFDD"/>
    </w:rPr>
  </w:style>
  <w:style w:type="paragraph" w:styleId="BalloonText">
    <w:name w:val="Balloon Text"/>
    <w:basedOn w:val="Normal"/>
    <w:link w:val="BalloonTextChar"/>
    <w:uiPriority w:val="99"/>
    <w:semiHidden/>
    <w:unhideWhenUsed/>
    <w:rsid w:val="000C01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13D"/>
    <w:rPr>
      <w:rFonts w:ascii="Tahoma" w:hAnsi="Tahoma" w:cs="Tahoma"/>
      <w:sz w:val="16"/>
      <w:szCs w:val="16"/>
    </w:rPr>
  </w:style>
  <w:style w:type="paragraph" w:styleId="BodyText">
    <w:name w:val="Body Text"/>
    <w:basedOn w:val="Normal"/>
    <w:link w:val="BodyTextChar"/>
    <w:uiPriority w:val="1"/>
    <w:qFormat/>
    <w:rsid w:val="000C013D"/>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0C013D"/>
    <w:rPr>
      <w:rFonts w:ascii="Times New Roman" w:eastAsia="Times New Roman" w:hAnsi="Times New Roman" w:cs="Times New Roman"/>
      <w:sz w:val="24"/>
      <w:szCs w:val="24"/>
      <w:lang w:bidi="en-US"/>
    </w:rPr>
  </w:style>
  <w:style w:type="character" w:customStyle="1" w:styleId="ListParagraphChar">
    <w:name w:val="List Paragraph Char"/>
    <w:link w:val="ListParagraph"/>
    <w:uiPriority w:val="34"/>
    <w:rsid w:val="00FF4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ndard"/>
        <c:varyColors val="0"/>
        <c:ser>
          <c:idx val="0"/>
          <c:order val="0"/>
          <c:tx>
            <c:strRef>
              <c:f>Sheet1!$B$1</c:f>
              <c:strCache>
                <c:ptCount val="1"/>
                <c:pt idx="0">
                  <c:v>Year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Sheet1!$A$2:$A$9</c:f>
              <c:strCache>
                <c:ptCount val="8"/>
                <c:pt idx="0">
                  <c:v>2068/69</c:v>
                </c:pt>
                <c:pt idx="1">
                  <c:v>2069/70</c:v>
                </c:pt>
                <c:pt idx="2">
                  <c:v>2070/71</c:v>
                </c:pt>
                <c:pt idx="3">
                  <c:v>2071/72</c:v>
                </c:pt>
                <c:pt idx="4">
                  <c:v>2072/73</c:v>
                </c:pt>
                <c:pt idx="5">
                  <c:v>2073/74</c:v>
                </c:pt>
                <c:pt idx="6">
                  <c:v>2074/75</c:v>
                </c:pt>
                <c:pt idx="7">
                  <c:v>2075/76</c:v>
                </c:pt>
              </c:strCache>
            </c:strRef>
          </c:cat>
          <c:val>
            <c:numRef>
              <c:f>Sheet1!$B$2:$B$9</c:f>
              <c:numCache>
                <c:formatCode>General</c:formatCode>
                <c:ptCount val="8"/>
                <c:pt idx="0">
                  <c:v>18.779999999999987</c:v>
                </c:pt>
                <c:pt idx="1">
                  <c:v>25.77</c:v>
                </c:pt>
                <c:pt idx="2">
                  <c:v>24.03</c:v>
                </c:pt>
                <c:pt idx="3">
                  <c:v>20.84</c:v>
                </c:pt>
                <c:pt idx="4">
                  <c:v>24.77</c:v>
                </c:pt>
                <c:pt idx="5">
                  <c:v>21.459999999999987</c:v>
                </c:pt>
                <c:pt idx="6">
                  <c:v>24.03</c:v>
                </c:pt>
                <c:pt idx="7">
                  <c:v>24.54</c:v>
                </c:pt>
              </c:numCache>
            </c:numRef>
          </c:val>
          <c:smooth val="0"/>
          <c:extLst>
            <c:ext xmlns:c16="http://schemas.microsoft.com/office/drawing/2014/chart" uri="{C3380CC4-5D6E-409C-BE32-E72D297353CC}">
              <c16:uniqueId val="{00000000-792C-40C3-AD09-CB8687DF1C8B}"/>
            </c:ext>
          </c:extLst>
        </c:ser>
        <c:dLbls>
          <c:showLegendKey val="0"/>
          <c:showVal val="0"/>
          <c:showCatName val="0"/>
          <c:showSerName val="0"/>
          <c:showPercent val="0"/>
          <c:showBubbleSize val="0"/>
        </c:dLbls>
        <c:marker val="1"/>
        <c:smooth val="0"/>
        <c:axId val="87578496"/>
        <c:axId val="93098368"/>
      </c:lineChart>
      <c:catAx>
        <c:axId val="87578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098368"/>
        <c:crosses val="autoZero"/>
        <c:auto val="1"/>
        <c:lblAlgn val="ctr"/>
        <c:lblOffset val="100"/>
        <c:noMultiLvlLbl val="0"/>
      </c:catAx>
      <c:valAx>
        <c:axId val="93098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7578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ndard"/>
        <c:varyColors val="0"/>
        <c:ser>
          <c:idx val="0"/>
          <c:order val="0"/>
          <c:tx>
            <c:strRef>
              <c:f>Sheet1!$B$1</c:f>
              <c:strCache>
                <c:ptCount val="1"/>
                <c:pt idx="0">
                  <c:v>Year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Sheet1!$A$2:$A$9</c:f>
              <c:strCache>
                <c:ptCount val="8"/>
                <c:pt idx="0">
                  <c:v>2068/69</c:v>
                </c:pt>
                <c:pt idx="1">
                  <c:v>2069/70</c:v>
                </c:pt>
                <c:pt idx="2">
                  <c:v>2070/71</c:v>
                </c:pt>
                <c:pt idx="3">
                  <c:v>2071/72</c:v>
                </c:pt>
                <c:pt idx="4">
                  <c:v>2072/73</c:v>
                </c:pt>
                <c:pt idx="5">
                  <c:v>2073/74</c:v>
                </c:pt>
                <c:pt idx="6">
                  <c:v>2074/75</c:v>
                </c:pt>
                <c:pt idx="7">
                  <c:v>2075/76</c:v>
                </c:pt>
              </c:strCache>
            </c:strRef>
          </c:cat>
          <c:val>
            <c:numRef>
              <c:f>Sheet1!$B$2:$B$9</c:f>
              <c:numCache>
                <c:formatCode>General</c:formatCode>
                <c:ptCount val="8"/>
                <c:pt idx="0">
                  <c:v>14.58</c:v>
                </c:pt>
                <c:pt idx="1">
                  <c:v>14.2</c:v>
                </c:pt>
                <c:pt idx="2">
                  <c:v>19.91</c:v>
                </c:pt>
                <c:pt idx="3">
                  <c:v>20.329999999999988</c:v>
                </c:pt>
                <c:pt idx="4">
                  <c:v>18.7</c:v>
                </c:pt>
                <c:pt idx="5">
                  <c:v>17.52</c:v>
                </c:pt>
                <c:pt idx="6">
                  <c:v>20.2</c:v>
                </c:pt>
                <c:pt idx="7">
                  <c:v>23.479999999999986</c:v>
                </c:pt>
              </c:numCache>
            </c:numRef>
          </c:val>
          <c:smooth val="0"/>
          <c:extLst>
            <c:ext xmlns:c16="http://schemas.microsoft.com/office/drawing/2014/chart" uri="{C3380CC4-5D6E-409C-BE32-E72D297353CC}">
              <c16:uniqueId val="{00000000-D799-4C51-8EA4-33D3E819614C}"/>
            </c:ext>
          </c:extLst>
        </c:ser>
        <c:dLbls>
          <c:showLegendKey val="0"/>
          <c:showVal val="0"/>
          <c:showCatName val="0"/>
          <c:showSerName val="0"/>
          <c:showPercent val="0"/>
          <c:showBubbleSize val="0"/>
        </c:dLbls>
        <c:marker val="1"/>
        <c:smooth val="0"/>
        <c:axId val="96526336"/>
        <c:axId val="96528256"/>
      </c:lineChart>
      <c:catAx>
        <c:axId val="96526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6528256"/>
        <c:crosses val="autoZero"/>
        <c:auto val="1"/>
        <c:lblAlgn val="ctr"/>
        <c:lblOffset val="100"/>
        <c:noMultiLvlLbl val="0"/>
      </c:catAx>
      <c:valAx>
        <c:axId val="9652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6526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ndard"/>
        <c:varyColors val="0"/>
        <c:ser>
          <c:idx val="0"/>
          <c:order val="0"/>
          <c:tx>
            <c:strRef>
              <c:f>Sheet1!$B$1</c:f>
              <c:strCache>
                <c:ptCount val="1"/>
                <c:pt idx="0">
                  <c:v>Year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Sheet1!$A$2:$A$9</c:f>
              <c:strCache>
                <c:ptCount val="8"/>
                <c:pt idx="0">
                  <c:v>2068/69</c:v>
                </c:pt>
                <c:pt idx="1">
                  <c:v>2069/70</c:v>
                </c:pt>
                <c:pt idx="2">
                  <c:v>2070/71</c:v>
                </c:pt>
                <c:pt idx="3">
                  <c:v>2071/72</c:v>
                </c:pt>
                <c:pt idx="4">
                  <c:v>2072/73</c:v>
                </c:pt>
                <c:pt idx="5">
                  <c:v>2073/74</c:v>
                </c:pt>
                <c:pt idx="6">
                  <c:v>2074/75</c:v>
                </c:pt>
                <c:pt idx="7">
                  <c:v>2075/76</c:v>
                </c:pt>
              </c:strCache>
            </c:strRef>
          </c:cat>
          <c:val>
            <c:numRef>
              <c:f>Sheet1!$B$2:$B$9</c:f>
              <c:numCache>
                <c:formatCode>General</c:formatCode>
                <c:ptCount val="8"/>
                <c:pt idx="0">
                  <c:v>27.16</c:v>
                </c:pt>
                <c:pt idx="1">
                  <c:v>19.29</c:v>
                </c:pt>
                <c:pt idx="2">
                  <c:v>32.120000000000012</c:v>
                </c:pt>
                <c:pt idx="3">
                  <c:v>27.150000000000031</c:v>
                </c:pt>
                <c:pt idx="4">
                  <c:v>33.120000000000012</c:v>
                </c:pt>
                <c:pt idx="5">
                  <c:v>28.57</c:v>
                </c:pt>
                <c:pt idx="6">
                  <c:v>16.459999999999987</c:v>
                </c:pt>
                <c:pt idx="7">
                  <c:v>16.09</c:v>
                </c:pt>
              </c:numCache>
            </c:numRef>
          </c:val>
          <c:smooth val="0"/>
          <c:extLst>
            <c:ext xmlns:c16="http://schemas.microsoft.com/office/drawing/2014/chart" uri="{C3380CC4-5D6E-409C-BE32-E72D297353CC}">
              <c16:uniqueId val="{00000000-BCD8-48CB-9C21-E8C361085CED}"/>
            </c:ext>
          </c:extLst>
        </c:ser>
        <c:dLbls>
          <c:showLegendKey val="0"/>
          <c:showVal val="0"/>
          <c:showCatName val="0"/>
          <c:showSerName val="0"/>
          <c:showPercent val="0"/>
          <c:showBubbleSize val="0"/>
        </c:dLbls>
        <c:marker val="1"/>
        <c:smooth val="0"/>
        <c:axId val="98307072"/>
        <c:axId val="93397760"/>
      </c:lineChart>
      <c:catAx>
        <c:axId val="98307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397760"/>
        <c:crosses val="autoZero"/>
        <c:auto val="1"/>
        <c:lblAlgn val="ctr"/>
        <c:lblOffset val="100"/>
        <c:noMultiLvlLbl val="0"/>
      </c:catAx>
      <c:valAx>
        <c:axId val="93397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8307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ndard"/>
        <c:varyColors val="0"/>
        <c:ser>
          <c:idx val="0"/>
          <c:order val="0"/>
          <c:tx>
            <c:strRef>
              <c:f>Sheet1!$B$1</c:f>
              <c:strCache>
                <c:ptCount val="1"/>
                <c:pt idx="0">
                  <c:v>Year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Sheet1!$A$2:$A$9</c:f>
              <c:strCache>
                <c:ptCount val="8"/>
                <c:pt idx="0">
                  <c:v>2068/69</c:v>
                </c:pt>
                <c:pt idx="1">
                  <c:v>2069/70</c:v>
                </c:pt>
                <c:pt idx="2">
                  <c:v>2070/71</c:v>
                </c:pt>
                <c:pt idx="3">
                  <c:v>2071/72</c:v>
                </c:pt>
                <c:pt idx="4">
                  <c:v>2072/73</c:v>
                </c:pt>
                <c:pt idx="5">
                  <c:v>2073/74</c:v>
                </c:pt>
                <c:pt idx="6">
                  <c:v>2074/75</c:v>
                </c:pt>
                <c:pt idx="7">
                  <c:v>2075/76</c:v>
                </c:pt>
              </c:strCache>
            </c:strRef>
          </c:cat>
          <c:val>
            <c:numRef>
              <c:f>Sheet1!$B$2:$B$9</c:f>
              <c:numCache>
                <c:formatCode>General</c:formatCode>
                <c:ptCount val="8"/>
                <c:pt idx="0">
                  <c:v>1.26</c:v>
                </c:pt>
                <c:pt idx="1">
                  <c:v>1.6</c:v>
                </c:pt>
                <c:pt idx="2">
                  <c:v>1.4</c:v>
                </c:pt>
                <c:pt idx="3">
                  <c:v>1.2</c:v>
                </c:pt>
                <c:pt idx="4">
                  <c:v>1.8</c:v>
                </c:pt>
                <c:pt idx="5">
                  <c:v>1.8</c:v>
                </c:pt>
                <c:pt idx="6">
                  <c:v>1.8</c:v>
                </c:pt>
                <c:pt idx="7">
                  <c:v>1.8</c:v>
                </c:pt>
              </c:numCache>
            </c:numRef>
          </c:val>
          <c:smooth val="0"/>
          <c:extLst>
            <c:ext xmlns:c16="http://schemas.microsoft.com/office/drawing/2014/chart" uri="{C3380CC4-5D6E-409C-BE32-E72D297353CC}">
              <c16:uniqueId val="{00000000-CAB7-40E1-968E-D215B5F4E4D5}"/>
            </c:ext>
          </c:extLst>
        </c:ser>
        <c:dLbls>
          <c:showLegendKey val="0"/>
          <c:showVal val="0"/>
          <c:showCatName val="0"/>
          <c:showSerName val="0"/>
          <c:showPercent val="0"/>
          <c:showBubbleSize val="0"/>
        </c:dLbls>
        <c:marker val="1"/>
        <c:smooth val="0"/>
        <c:axId val="93436928"/>
        <c:axId val="96289920"/>
      </c:lineChart>
      <c:catAx>
        <c:axId val="93436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6289920"/>
        <c:crosses val="autoZero"/>
        <c:auto val="1"/>
        <c:lblAlgn val="ctr"/>
        <c:lblOffset val="100"/>
        <c:noMultiLvlLbl val="0"/>
      </c:catAx>
      <c:valAx>
        <c:axId val="96289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436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ndard"/>
        <c:varyColors val="0"/>
        <c:ser>
          <c:idx val="0"/>
          <c:order val="0"/>
          <c:tx>
            <c:strRef>
              <c:f>Sheet1!$B$1</c:f>
              <c:strCache>
                <c:ptCount val="1"/>
                <c:pt idx="0">
                  <c:v>Year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Sheet1!$A$2:$A$9</c:f>
              <c:strCache>
                <c:ptCount val="8"/>
                <c:pt idx="0">
                  <c:v>2068/69</c:v>
                </c:pt>
                <c:pt idx="1">
                  <c:v>2069/70</c:v>
                </c:pt>
                <c:pt idx="2">
                  <c:v>2070/71</c:v>
                </c:pt>
                <c:pt idx="3">
                  <c:v>2071/72</c:v>
                </c:pt>
                <c:pt idx="4">
                  <c:v>2072/73</c:v>
                </c:pt>
                <c:pt idx="5">
                  <c:v>2073/74</c:v>
                </c:pt>
                <c:pt idx="6">
                  <c:v>2074/75</c:v>
                </c:pt>
                <c:pt idx="7">
                  <c:v>2075/76</c:v>
                </c:pt>
              </c:strCache>
            </c:strRef>
          </c:cat>
          <c:val>
            <c:numRef>
              <c:f>Sheet1!$B$2:$B$9</c:f>
              <c:numCache>
                <c:formatCode>General</c:formatCode>
                <c:ptCount val="8"/>
                <c:pt idx="0">
                  <c:v>140.52000000000001</c:v>
                </c:pt>
                <c:pt idx="1">
                  <c:v>145.99</c:v>
                </c:pt>
                <c:pt idx="2">
                  <c:v>142.20999999999998</c:v>
                </c:pt>
                <c:pt idx="3">
                  <c:v>134.53</c:v>
                </c:pt>
                <c:pt idx="4">
                  <c:v>141.5</c:v>
                </c:pt>
                <c:pt idx="5">
                  <c:v>140.94</c:v>
                </c:pt>
                <c:pt idx="6">
                  <c:v>148.33000000000001</c:v>
                </c:pt>
                <c:pt idx="7">
                  <c:v>147.41999999999999</c:v>
                </c:pt>
              </c:numCache>
            </c:numRef>
          </c:val>
          <c:smooth val="0"/>
          <c:extLst>
            <c:ext xmlns:c16="http://schemas.microsoft.com/office/drawing/2014/chart" uri="{C3380CC4-5D6E-409C-BE32-E72D297353CC}">
              <c16:uniqueId val="{00000000-D8BF-42CA-8DEF-1A15642AC5A8}"/>
            </c:ext>
          </c:extLst>
        </c:ser>
        <c:dLbls>
          <c:showLegendKey val="0"/>
          <c:showVal val="0"/>
          <c:showCatName val="0"/>
          <c:showSerName val="0"/>
          <c:showPercent val="0"/>
          <c:showBubbleSize val="0"/>
        </c:dLbls>
        <c:marker val="1"/>
        <c:smooth val="0"/>
        <c:axId val="96350208"/>
        <c:axId val="96352128"/>
      </c:lineChart>
      <c:catAx>
        <c:axId val="96350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6352128"/>
        <c:crosses val="autoZero"/>
        <c:auto val="1"/>
        <c:lblAlgn val="ctr"/>
        <c:lblOffset val="100"/>
        <c:noMultiLvlLbl val="0"/>
      </c:catAx>
      <c:valAx>
        <c:axId val="96352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6350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ndard"/>
        <c:varyColors val="0"/>
        <c:ser>
          <c:idx val="0"/>
          <c:order val="0"/>
          <c:tx>
            <c:strRef>
              <c:f>Sheet1!$B$1</c:f>
              <c:strCache>
                <c:ptCount val="1"/>
                <c:pt idx="0">
                  <c:v>Year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Sheet1!$A$2:$A$10</c:f>
              <c:strCache>
                <c:ptCount val="8"/>
                <c:pt idx="0">
                  <c:v>2068/69</c:v>
                </c:pt>
                <c:pt idx="1">
                  <c:v>2069/70</c:v>
                </c:pt>
                <c:pt idx="2">
                  <c:v>2070/71</c:v>
                </c:pt>
                <c:pt idx="3">
                  <c:v>2071/72</c:v>
                </c:pt>
                <c:pt idx="4">
                  <c:v>2072/73</c:v>
                </c:pt>
                <c:pt idx="5">
                  <c:v>2073/74</c:v>
                </c:pt>
                <c:pt idx="6">
                  <c:v>2074/75</c:v>
                </c:pt>
                <c:pt idx="7">
                  <c:v>2075/76</c:v>
                </c:pt>
              </c:strCache>
            </c:strRef>
          </c:cat>
          <c:val>
            <c:numRef>
              <c:f>Sheet1!$B$2:$B$10</c:f>
              <c:numCache>
                <c:formatCode>General</c:formatCode>
                <c:ptCount val="9"/>
                <c:pt idx="0">
                  <c:v>353.2</c:v>
                </c:pt>
                <c:pt idx="1">
                  <c:v>489.4</c:v>
                </c:pt>
                <c:pt idx="2">
                  <c:v>733.6</c:v>
                </c:pt>
                <c:pt idx="3">
                  <c:v>563</c:v>
                </c:pt>
                <c:pt idx="4">
                  <c:v>860.6</c:v>
                </c:pt>
                <c:pt idx="5">
                  <c:v>599.6</c:v>
                </c:pt>
                <c:pt idx="6">
                  <c:v>403.4</c:v>
                </c:pt>
                <c:pt idx="7">
                  <c:v>395.8</c:v>
                </c:pt>
              </c:numCache>
            </c:numRef>
          </c:val>
          <c:smooth val="0"/>
          <c:extLst>
            <c:ext xmlns:c16="http://schemas.microsoft.com/office/drawing/2014/chart" uri="{C3380CC4-5D6E-409C-BE32-E72D297353CC}">
              <c16:uniqueId val="{00000000-37F8-433D-B0AA-A09511A73411}"/>
            </c:ext>
          </c:extLst>
        </c:ser>
        <c:dLbls>
          <c:showLegendKey val="0"/>
          <c:showVal val="0"/>
          <c:showCatName val="0"/>
          <c:showSerName val="0"/>
          <c:showPercent val="0"/>
          <c:showBubbleSize val="0"/>
        </c:dLbls>
        <c:marker val="1"/>
        <c:smooth val="0"/>
        <c:axId val="96469760"/>
        <c:axId val="96471680"/>
      </c:lineChart>
      <c:catAx>
        <c:axId val="96469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6471680"/>
        <c:crosses val="autoZero"/>
        <c:auto val="1"/>
        <c:lblAlgn val="ctr"/>
        <c:lblOffset val="100"/>
        <c:noMultiLvlLbl val="0"/>
      </c:catAx>
      <c:valAx>
        <c:axId val="96471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6469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78471-9DA7-4635-A7DB-95B746A01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63</Pages>
  <Words>12889</Words>
  <Characters>73473</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HCC077-03-08</dc:creator>
  <cp:lastModifiedBy>HCC077-03-08</cp:lastModifiedBy>
  <cp:revision>122</cp:revision>
  <dcterms:created xsi:type="dcterms:W3CDTF">2021-09-05T02:20:00Z</dcterms:created>
  <dcterms:modified xsi:type="dcterms:W3CDTF">2021-09-07T01:38:00Z</dcterms:modified>
</cp:coreProperties>
</file>