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5FA03E" w14:textId="40258B18" w:rsidR="002157BB" w:rsidRPr="00DA29B2" w:rsidRDefault="002157BB" w:rsidP="00466BD8">
      <w:pPr>
        <w:spacing w:after="0" w:line="240" w:lineRule="auto"/>
        <w:jc w:val="center"/>
        <w:rPr>
          <w:rFonts w:cstheme="minorHAnsi"/>
          <w:sz w:val="32"/>
          <w:szCs w:val="32"/>
        </w:rPr>
      </w:pPr>
      <w:r w:rsidRPr="00DA29B2">
        <w:rPr>
          <w:rFonts w:cstheme="minorHAnsi"/>
          <w:sz w:val="32"/>
          <w:szCs w:val="32"/>
        </w:rPr>
        <w:t>SARS-CoV-2 PLpro whole human proteome cleavage prediction and enrichment/depletion analysis</w:t>
      </w:r>
      <w:bookmarkStart w:id="0" w:name="_GoBack"/>
      <w:bookmarkEnd w:id="0"/>
    </w:p>
    <w:p w14:paraId="77D8BD49" w14:textId="77777777" w:rsidR="006015D0" w:rsidRPr="00DA29B2" w:rsidRDefault="006015D0" w:rsidP="00466BD8">
      <w:pPr>
        <w:spacing w:after="0" w:line="240" w:lineRule="auto"/>
        <w:rPr>
          <w:rFonts w:cstheme="minorHAnsi"/>
        </w:rPr>
      </w:pPr>
      <w:r w:rsidRPr="00DA29B2">
        <w:rPr>
          <w:rFonts w:cstheme="minorHAnsi"/>
        </w:rPr>
        <w:t>Lucas Prescott</w:t>
      </w:r>
      <w:r w:rsidRPr="00DA29B2">
        <w:rPr>
          <w:rFonts w:cstheme="minorHAnsi"/>
          <w:vertAlign w:val="superscript"/>
        </w:rPr>
        <w:t>1</w:t>
      </w:r>
      <w:r w:rsidRPr="00DA29B2">
        <w:rPr>
          <w:rFonts w:cstheme="minorHAnsi"/>
        </w:rPr>
        <w:t>*</w:t>
      </w:r>
    </w:p>
    <w:p w14:paraId="50E29381" w14:textId="77777777" w:rsidR="006015D0" w:rsidRPr="00DA29B2" w:rsidRDefault="006015D0" w:rsidP="00466BD8">
      <w:pPr>
        <w:spacing w:after="0" w:line="240" w:lineRule="auto"/>
        <w:rPr>
          <w:rFonts w:cstheme="minorHAnsi"/>
        </w:rPr>
      </w:pPr>
    </w:p>
    <w:p w14:paraId="1F418A9E" w14:textId="77777777" w:rsidR="006015D0" w:rsidRPr="00DA29B2" w:rsidRDefault="006015D0" w:rsidP="00466BD8">
      <w:pPr>
        <w:spacing w:after="0" w:line="240" w:lineRule="auto"/>
        <w:rPr>
          <w:rFonts w:cstheme="minorHAnsi"/>
        </w:rPr>
      </w:pPr>
      <w:r w:rsidRPr="00DA29B2">
        <w:rPr>
          <w:rFonts w:cstheme="minorHAnsi"/>
          <w:vertAlign w:val="superscript"/>
        </w:rPr>
        <w:t>1</w:t>
      </w:r>
      <w:r w:rsidRPr="00DA29B2">
        <w:rPr>
          <w:rFonts w:cstheme="minorHAnsi"/>
        </w:rPr>
        <w:t xml:space="preserve"> Independent Researcher, Boston, Massachusetts, United States of America</w:t>
      </w:r>
    </w:p>
    <w:p w14:paraId="306F7F34" w14:textId="77777777" w:rsidR="006015D0" w:rsidRPr="00DA29B2" w:rsidRDefault="006015D0" w:rsidP="00466BD8">
      <w:pPr>
        <w:spacing w:after="0" w:line="240" w:lineRule="auto"/>
        <w:rPr>
          <w:rFonts w:cstheme="minorHAnsi"/>
        </w:rPr>
      </w:pPr>
    </w:p>
    <w:p w14:paraId="02CA5934" w14:textId="77777777" w:rsidR="002157BB" w:rsidRPr="00DA29B2" w:rsidRDefault="002157BB" w:rsidP="00466BD8">
      <w:pPr>
        <w:spacing w:after="0" w:line="240" w:lineRule="auto"/>
        <w:rPr>
          <w:rFonts w:cstheme="minorHAnsi"/>
        </w:rPr>
      </w:pPr>
      <w:r w:rsidRPr="00DA29B2">
        <w:rPr>
          <w:rFonts w:cstheme="minorHAnsi"/>
        </w:rPr>
        <w:t>* Corresponding author</w:t>
      </w:r>
    </w:p>
    <w:p w14:paraId="27CCE401" w14:textId="77777777" w:rsidR="002157BB" w:rsidRPr="00DA29B2" w:rsidRDefault="002157BB" w:rsidP="00466BD8">
      <w:pPr>
        <w:spacing w:after="0" w:line="240" w:lineRule="auto"/>
      </w:pPr>
      <w:r w:rsidRPr="00DA29B2">
        <w:rPr>
          <w:rFonts w:cstheme="minorHAnsi"/>
        </w:rPr>
        <w:t xml:space="preserve">E-mail: </w:t>
      </w:r>
      <w:hyperlink r:id="rId7" w:history="1">
        <w:r w:rsidRPr="00DA29B2">
          <w:rPr>
            <w:rStyle w:val="Hyperlink"/>
          </w:rPr>
          <w:t>lskywalker2015@gmail.com</w:t>
        </w:r>
      </w:hyperlink>
    </w:p>
    <w:p w14:paraId="7A53B21C" w14:textId="77777777" w:rsidR="002157BB" w:rsidRPr="00DA29B2" w:rsidRDefault="002157BB" w:rsidP="00466BD8">
      <w:pPr>
        <w:spacing w:after="0" w:line="240" w:lineRule="auto"/>
      </w:pPr>
    </w:p>
    <w:p w14:paraId="77E4D268" w14:textId="6FCB6318" w:rsidR="002157BB" w:rsidRPr="00DA29B2" w:rsidRDefault="002157BB" w:rsidP="00466BD8">
      <w:pPr>
        <w:spacing w:after="0" w:line="240" w:lineRule="auto"/>
        <w:rPr>
          <w:rFonts w:cstheme="minorHAnsi"/>
        </w:rPr>
      </w:pPr>
      <w:r w:rsidRPr="00DA29B2">
        <w:rPr>
          <w:rFonts w:cstheme="minorHAnsi"/>
        </w:rPr>
        <w:t>Keywords: SARS-CoV-2, COVID-19, coronavirus, protease</w:t>
      </w:r>
      <w:r w:rsidR="007948F2" w:rsidRPr="00DA29B2">
        <w:rPr>
          <w:rFonts w:cstheme="minorHAnsi"/>
        </w:rPr>
        <w:t>,</w:t>
      </w:r>
      <w:r w:rsidRPr="00DA29B2">
        <w:rPr>
          <w:rFonts w:cstheme="minorHAnsi"/>
        </w:rPr>
        <w:t xml:space="preserve"> </w:t>
      </w:r>
      <w:r w:rsidR="007948F2" w:rsidRPr="00DA29B2">
        <w:rPr>
          <w:rFonts w:cstheme="minorHAnsi"/>
        </w:rPr>
        <w:t xml:space="preserve">deubiquitinase, </w:t>
      </w:r>
      <w:r w:rsidRPr="00DA29B2">
        <w:rPr>
          <w:rFonts w:cstheme="minorHAnsi"/>
        </w:rPr>
        <w:t>proteomics, PLpro, m</w:t>
      </w:r>
      <w:r w:rsidR="006F6AC2" w:rsidRPr="00DA29B2">
        <w:rPr>
          <w:rFonts w:cstheme="minorHAnsi"/>
        </w:rPr>
        <w:t>achine learning, neural networks</w:t>
      </w:r>
    </w:p>
    <w:p w14:paraId="2068D1E6" w14:textId="77777777" w:rsidR="002157BB" w:rsidRPr="00DA29B2" w:rsidRDefault="002157BB" w:rsidP="00466BD8">
      <w:pPr>
        <w:spacing w:after="0" w:line="240" w:lineRule="auto"/>
        <w:rPr>
          <w:rFonts w:cstheme="minorHAnsi"/>
        </w:rPr>
      </w:pPr>
      <w:r w:rsidRPr="00DA29B2">
        <w:rPr>
          <w:rFonts w:cstheme="minorHAnsi"/>
        </w:rPr>
        <w:br w:type="page"/>
      </w:r>
    </w:p>
    <w:p w14:paraId="5A974A37" w14:textId="40E3B168" w:rsidR="002157BB" w:rsidRPr="00DA29B2" w:rsidRDefault="002157BB" w:rsidP="00466BD8">
      <w:pPr>
        <w:spacing w:after="0" w:line="240" w:lineRule="auto"/>
        <w:rPr>
          <w:b/>
          <w:bCs/>
        </w:rPr>
      </w:pPr>
      <w:r w:rsidRPr="00DA29B2">
        <w:rPr>
          <w:b/>
          <w:bCs/>
        </w:rPr>
        <w:lastRenderedPageBreak/>
        <w:t>Abstract</w:t>
      </w:r>
    </w:p>
    <w:p w14:paraId="735B4BFA" w14:textId="480971BA" w:rsidR="00275675" w:rsidRPr="00DA29B2" w:rsidRDefault="00275675" w:rsidP="00466BD8">
      <w:pPr>
        <w:spacing w:after="0" w:line="240" w:lineRule="auto"/>
        <w:ind w:firstLine="720"/>
      </w:pPr>
      <w:r w:rsidRPr="00DA29B2">
        <w:t xml:space="preserve">A novel coronavirus (SARS-CoV-2) has caused a pandemic that has killed millions of people, worldwide vaccination and herd immunity </w:t>
      </w:r>
      <w:r w:rsidR="008F2057" w:rsidRPr="00DA29B2">
        <w:t>are</w:t>
      </w:r>
      <w:r w:rsidRPr="00DA29B2">
        <w:t xml:space="preserve"> still far away, and few therapeutics are approved by regulatory agencies for widespread use. The coronavirus 3-chymotrypsin-like protease (3CLpro) is a commonly investigated target </w:t>
      </w:r>
      <w:r w:rsidR="007A65C2" w:rsidRPr="00DA29B2">
        <w:t>in COVID-19</w:t>
      </w:r>
      <w:r w:rsidRPr="00DA29B2">
        <w:t xml:space="preserve">, however less work has been directed toward the equally </w:t>
      </w:r>
      <w:r w:rsidR="004131B1" w:rsidRPr="00DA29B2">
        <w:t>important</w:t>
      </w:r>
      <w:r w:rsidR="007A65C2" w:rsidRPr="00DA29B2">
        <w:t xml:space="preserve"> papain-like protease (PLpro). PLpro is less characterized </w:t>
      </w:r>
      <w:r w:rsidR="004131B1" w:rsidRPr="00DA29B2">
        <w:t>due to its</w:t>
      </w:r>
      <w:r w:rsidRPr="00DA29B2">
        <w:t xml:space="preserve"> fewer and more diverse cleavages in co</w:t>
      </w:r>
      <w:r w:rsidR="004131B1" w:rsidRPr="00DA29B2">
        <w:t xml:space="preserve">ronavirus proteomes and the assumption that it mainly </w:t>
      </w:r>
      <w:r w:rsidRPr="00DA29B2">
        <w:t>modulate</w:t>
      </w:r>
      <w:r w:rsidR="004131B1" w:rsidRPr="00DA29B2">
        <w:t>s</w:t>
      </w:r>
      <w:r w:rsidRPr="00DA29B2">
        <w:t xml:space="preserve"> host pathways </w:t>
      </w:r>
      <w:r w:rsidR="004131B1" w:rsidRPr="00DA29B2">
        <w:t>with</w:t>
      </w:r>
      <w:r w:rsidRPr="00DA29B2">
        <w:t xml:space="preserve"> its deubiquitinating activity. Here</w:t>
      </w:r>
      <w:r w:rsidR="008B5168" w:rsidRPr="00DA29B2">
        <w:t>,</w:t>
      </w:r>
      <w:r w:rsidRPr="00DA29B2">
        <w:t xml:space="preserve"> I extend my previous work on 3CLpro human cleavage prediction and enrichment/depletion analysis to PLpro.</w:t>
      </w:r>
      <w:r w:rsidR="00005E87" w:rsidRPr="00DA29B2">
        <w:t>[1]</w:t>
      </w:r>
      <w:r w:rsidRPr="00DA29B2">
        <w:t xml:space="preserve"> Using three sets of neural networks trained on different taxonomic ranks of dataset with a maximum of 463 different putative PLpro cleavages, Matthews correlation coefficients of 0.900, 0.948, and 0.966 were achieved for </w:t>
      </w:r>
      <w:r w:rsidRPr="00DA29B2">
        <w:rPr>
          <w:i/>
          <w:iCs/>
        </w:rPr>
        <w:t>Coronaviridae</w:t>
      </w:r>
      <w:r w:rsidRPr="00DA29B2">
        <w:t xml:space="preserve">, </w:t>
      </w:r>
      <w:r w:rsidRPr="00DA29B2">
        <w:rPr>
          <w:i/>
          <w:iCs/>
        </w:rPr>
        <w:t>Betacoronavirus</w:t>
      </w:r>
      <w:r w:rsidRPr="00DA29B2">
        <w:t xml:space="preserve">, and </w:t>
      </w:r>
      <w:r w:rsidRPr="00DA29B2">
        <w:rPr>
          <w:i/>
          <w:iCs/>
        </w:rPr>
        <w:t>Sarbecovirus</w:t>
      </w:r>
      <w:r w:rsidRPr="00DA29B2">
        <w:t>, respectively. I predict that</w:t>
      </w:r>
      <w:r w:rsidR="0062172F" w:rsidRPr="00DA29B2">
        <w:t xml:space="preserve"> more than</w:t>
      </w:r>
      <w:r w:rsidR="007F0D19" w:rsidRPr="00DA29B2">
        <w:t xml:space="preserve"> </w:t>
      </w:r>
      <w:r w:rsidR="0062172F" w:rsidRPr="00DA29B2">
        <w:t xml:space="preserve">1,000 </w:t>
      </w:r>
      <w:r w:rsidRPr="00DA29B2">
        <w:t xml:space="preserve">human proteins </w:t>
      </w:r>
      <w:r w:rsidR="0062172F" w:rsidRPr="00DA29B2">
        <w:t xml:space="preserve">may be </w:t>
      </w:r>
      <w:r w:rsidRPr="00DA29B2">
        <w:t xml:space="preserve">cleaved </w:t>
      </w:r>
      <w:r w:rsidR="007F0D19" w:rsidRPr="00DA29B2">
        <w:t>by PLpro depending on diversity of the training dataset and that many of these proteins are distinct from those previously predicted to be cleaved by 3CLpro</w:t>
      </w:r>
      <w:r w:rsidRPr="00DA29B2">
        <w:t xml:space="preserve">. </w:t>
      </w:r>
      <w:r w:rsidR="007F0D19" w:rsidRPr="00DA29B2">
        <w:t>PLpro</w:t>
      </w:r>
      <w:r w:rsidRPr="00DA29B2">
        <w:t xml:space="preserve"> cleavages are </w:t>
      </w:r>
      <w:r w:rsidR="00E26621" w:rsidRPr="00DA29B2">
        <w:t>similarly</w:t>
      </w:r>
      <w:r w:rsidRPr="00DA29B2">
        <w:t xml:space="preserve"> nonrandomly distributed and result in many </w:t>
      </w:r>
      <w:r w:rsidR="00E26621" w:rsidRPr="00DA29B2">
        <w:t>annotations</w:t>
      </w:r>
      <w:r w:rsidRPr="00DA29B2">
        <w:t xml:space="preserve"> </w:t>
      </w:r>
      <w:r w:rsidR="00E26621" w:rsidRPr="00DA29B2">
        <w:t xml:space="preserve">shared with 3CLpro cleavages </w:t>
      </w:r>
      <w:r w:rsidRPr="00DA29B2">
        <w:t xml:space="preserve">including </w:t>
      </w:r>
      <w:r w:rsidR="009C4B60" w:rsidRPr="00DA29B2">
        <w:t>ubiquitination, poly(A) tail and 5’ cap RNA binding proteins, helicases, and endogenous viral proteins</w:t>
      </w:r>
      <w:r w:rsidRPr="00DA29B2">
        <w:t xml:space="preserve">. </w:t>
      </w:r>
      <w:r w:rsidR="000E25D3" w:rsidRPr="00DA29B2">
        <w:t xml:space="preserve">Combining PLpro with 3CLpro cleavage predictions, additional novel enrichment analysis was performed on known substrates of cleaved E3 ubiquitin ligases with results indicating that </w:t>
      </w:r>
      <w:r w:rsidR="006E7DEC" w:rsidRPr="00DA29B2">
        <w:t>many pathways including</w:t>
      </w:r>
      <w:r w:rsidR="000E25D3" w:rsidRPr="00DA29B2">
        <w:t xml:space="preserve"> viral RNA sensing are affected indirectly by E3 ligase cleavage </w:t>
      </w:r>
      <w:r w:rsidR="006E7DEC" w:rsidRPr="00DA29B2">
        <w:t xml:space="preserve">independent of </w:t>
      </w:r>
      <w:r w:rsidR="000E25D3" w:rsidRPr="00DA29B2">
        <w:t>traditional PLpro deubiquitinating activity.</w:t>
      </w:r>
      <w:r w:rsidR="00503DFE" w:rsidRPr="00DA29B2">
        <w:t xml:space="preserve"> As with 3CLpro, PLpro whole proteome cleavage prediction revealed many novel potential therapeutic targets against coronaviruses, although experimental verification is similarly required.</w:t>
      </w:r>
    </w:p>
    <w:p w14:paraId="107EB0C8" w14:textId="77777777" w:rsidR="00275675" w:rsidRPr="00DA29B2" w:rsidRDefault="00275675" w:rsidP="00466BD8">
      <w:pPr>
        <w:spacing w:after="0" w:line="240" w:lineRule="auto"/>
      </w:pPr>
    </w:p>
    <w:p w14:paraId="67509EFA" w14:textId="77777777" w:rsidR="00275675" w:rsidRPr="00DA29B2" w:rsidRDefault="00275675" w:rsidP="00466BD8">
      <w:pPr>
        <w:spacing w:after="0" w:line="240" w:lineRule="auto"/>
        <w:rPr>
          <w:b/>
          <w:bCs/>
        </w:rPr>
      </w:pPr>
      <w:r w:rsidRPr="00DA29B2">
        <w:rPr>
          <w:b/>
          <w:bCs/>
        </w:rPr>
        <w:t>Introduction</w:t>
      </w:r>
    </w:p>
    <w:p w14:paraId="1AEFD11D" w14:textId="74B1109E" w:rsidR="00275675" w:rsidRPr="00DA29B2" w:rsidRDefault="00275675" w:rsidP="00466BD8">
      <w:pPr>
        <w:spacing w:after="0" w:line="240" w:lineRule="auto"/>
      </w:pPr>
      <w:r w:rsidRPr="00DA29B2">
        <w:tab/>
        <w:t xml:space="preserve">Coronavirus genomes contain multiple open reading frames, the largest of which contains two nonstructural cysteine proteases, nsp3/PLpro and nsp5/3CLpro, </w:t>
      </w:r>
      <w:r w:rsidR="006B6254" w:rsidRPr="00DA29B2">
        <w:t>which</w:t>
      </w:r>
      <w:r w:rsidRPr="00DA29B2">
        <w:t xml:space="preserve"> cleave its polyprotein into functional proteins. 3CLpro cleaves 11 conserved sights in all coronavirus proteomes, and PLpro cleaves only 2 or 3 sites depending on whether nsp1 is functional. </w:t>
      </w:r>
      <w:r w:rsidR="008B5168" w:rsidRPr="00DA29B2">
        <w:t>I</w:t>
      </w:r>
      <w:r w:rsidR="00550593" w:rsidRPr="00DA29B2">
        <w:t xml:space="preserve">n addition to many other multifunctional domains, </w:t>
      </w:r>
      <w:r w:rsidRPr="00DA29B2">
        <w:t>PLpro contain</w:t>
      </w:r>
      <w:r w:rsidR="005761D5">
        <w:t>s</w:t>
      </w:r>
      <w:r w:rsidRPr="00DA29B2">
        <w:t xml:space="preserve"> two papain-like domains with different properties, the first of which is sometimes inactive</w:t>
      </w:r>
      <w:r w:rsidR="009A37AC" w:rsidRPr="00DA29B2">
        <w:t>.</w:t>
      </w:r>
      <w:r w:rsidR="00550593" w:rsidRPr="00DA29B2">
        <w:t>[</w:t>
      </w:r>
      <w:r w:rsidR="00005E87" w:rsidRPr="00DA29B2">
        <w:t>2</w:t>
      </w:r>
      <w:r w:rsidR="00550593" w:rsidRPr="00DA29B2">
        <w:t>]</w:t>
      </w:r>
    </w:p>
    <w:p w14:paraId="7A944A43" w14:textId="74548B43" w:rsidR="0029066A" w:rsidRPr="00CF76AF" w:rsidRDefault="00275675" w:rsidP="00466BD8">
      <w:pPr>
        <w:spacing w:after="0" w:line="240" w:lineRule="auto"/>
        <w:ind w:firstLine="720"/>
      </w:pPr>
      <w:r w:rsidRPr="00DA29B2">
        <w:t xml:space="preserve">Most </w:t>
      </w:r>
      <w:r w:rsidR="00B912D8" w:rsidRPr="00DA29B2">
        <w:t xml:space="preserve">experimental </w:t>
      </w:r>
      <w:r w:rsidRPr="00DA29B2">
        <w:t>work on PLpro focuses on its deubiquitinating and deISGylating activity[</w:t>
      </w:r>
      <w:r w:rsidR="009A37AC" w:rsidRPr="00DA29B2">
        <w:t>3</w:t>
      </w:r>
      <w:r w:rsidRPr="00DA29B2">
        <w:t xml:space="preserve">] </w:t>
      </w:r>
      <w:r w:rsidR="00013172" w:rsidRPr="00DA29B2">
        <w:t>and faster kinetics relative to the human homologs USP7 and USP14.[</w:t>
      </w:r>
      <w:r w:rsidR="009A37AC" w:rsidRPr="00DA29B2">
        <w:t>4</w:t>
      </w:r>
      <w:r w:rsidR="00013172" w:rsidRPr="00DA29B2">
        <w:t xml:space="preserve">] Proteins and pathways disrupted by this activity include </w:t>
      </w:r>
      <w:r w:rsidR="00996E97" w:rsidRPr="00DA29B2">
        <w:t>retinoic acid-inducible gene I (</w:t>
      </w:r>
      <w:r w:rsidR="00847533" w:rsidRPr="00DA29B2">
        <w:t>RIG-I</w:t>
      </w:r>
      <w:r w:rsidR="00996E97" w:rsidRPr="00DA29B2">
        <w:t>)</w:t>
      </w:r>
      <w:r w:rsidR="00847533" w:rsidRPr="00DA29B2">
        <w:t xml:space="preserve">, </w:t>
      </w:r>
      <w:r w:rsidR="00996E97" w:rsidRPr="00DA29B2">
        <w:t>melanoma differentiation-associated protein 5 (</w:t>
      </w:r>
      <w:r w:rsidR="00847533" w:rsidRPr="00DA29B2">
        <w:t>MDA5</w:t>
      </w:r>
      <w:r w:rsidR="00996E97" w:rsidRPr="00DA29B2">
        <w:t>)</w:t>
      </w:r>
      <w:r w:rsidR="00847533" w:rsidRPr="00DA29B2">
        <w:t xml:space="preserve">, </w:t>
      </w:r>
      <w:r w:rsidR="00996E97" w:rsidRPr="00DA29B2">
        <w:t>TNFR-associated factors (</w:t>
      </w:r>
      <w:r w:rsidR="00847533" w:rsidRPr="00DA29B2">
        <w:t>TRAF3/6</w:t>
      </w:r>
      <w:r w:rsidR="00996E97" w:rsidRPr="00DA29B2">
        <w:t>)</w:t>
      </w:r>
      <w:r w:rsidR="00847533" w:rsidRPr="00DA29B2">
        <w:t xml:space="preserve">, </w:t>
      </w:r>
      <w:r w:rsidR="00996E97" w:rsidRPr="00DA29B2">
        <w:t>stimulator of interferon genes (</w:t>
      </w:r>
      <w:r w:rsidR="00847533" w:rsidRPr="00DA29B2">
        <w:t>STING</w:t>
      </w:r>
      <w:r w:rsidR="00996E97" w:rsidRPr="00DA29B2">
        <w:t>)</w:t>
      </w:r>
      <w:r w:rsidR="00847533" w:rsidRPr="00DA29B2">
        <w:t xml:space="preserve">, </w:t>
      </w:r>
      <w:r w:rsidR="00996E97" w:rsidRPr="00DA29B2">
        <w:t>TANK-binding kinase 1 (</w:t>
      </w:r>
      <w:r w:rsidR="00847533" w:rsidRPr="00DA29B2">
        <w:t>TBK1</w:t>
      </w:r>
      <w:r w:rsidR="00996E97" w:rsidRPr="00DA29B2">
        <w:t>)</w:t>
      </w:r>
      <w:r w:rsidR="00847533" w:rsidRPr="00DA29B2">
        <w:t xml:space="preserve">, </w:t>
      </w:r>
      <w:r w:rsidR="00996E97" w:rsidRPr="00DA29B2">
        <w:t>nuclear factor κ-light-chain-enhancer of activated B cells (</w:t>
      </w:r>
      <w:r w:rsidR="00A65F56" w:rsidRPr="00DA29B2">
        <w:t>NF-κB</w:t>
      </w:r>
      <w:r w:rsidR="00996E97" w:rsidRPr="00DA29B2">
        <w:t>)</w:t>
      </w:r>
      <w:r w:rsidR="00A65F56" w:rsidRPr="00DA29B2">
        <w:t xml:space="preserve">, </w:t>
      </w:r>
      <w:r w:rsidR="006B6254" w:rsidRPr="00DA29B2">
        <w:t>interferon regulatory factor 3 (IRF3)</w:t>
      </w:r>
      <w:r w:rsidR="00A65F56" w:rsidRPr="00DA29B2">
        <w:t>,</w:t>
      </w:r>
      <w:r w:rsidR="006B6254" w:rsidRPr="00DA29B2">
        <w:t xml:space="preserve"> type-I interferon production</w:t>
      </w:r>
      <w:r w:rsidR="005F2BF4" w:rsidRPr="00DA29B2">
        <w:t xml:space="preserve">, </w:t>
      </w:r>
      <w:r w:rsidR="003E4C1A" w:rsidRPr="00DA29B2">
        <w:t xml:space="preserve">Janus kinases and signal transducers and activators of transcription (JAK-STAT), </w:t>
      </w:r>
      <w:r w:rsidR="005F2BF4" w:rsidRPr="00DA29B2">
        <w:t>and collagen expression via transforming growth factor (TGF-β1)</w:t>
      </w:r>
      <w:r w:rsidR="00E33149" w:rsidRPr="00DA29B2">
        <w:t>.</w:t>
      </w:r>
      <w:r w:rsidR="00585A06" w:rsidRPr="00DA29B2">
        <w:t>[</w:t>
      </w:r>
      <w:r w:rsidR="00005E87" w:rsidRPr="00DA29B2">
        <w:t>5</w:t>
      </w:r>
      <w:r w:rsidR="00451C0A" w:rsidRPr="00DA29B2">
        <w:rPr>
          <w:rFonts w:eastAsiaTheme="minorEastAsia" w:cstheme="minorHAnsi"/>
        </w:rPr>
        <w:t>–</w:t>
      </w:r>
      <w:r w:rsidR="00423F74" w:rsidRPr="00DA29B2">
        <w:t>1</w:t>
      </w:r>
      <w:r w:rsidR="00FA59C5" w:rsidRPr="00DA29B2">
        <w:t>6</w:t>
      </w:r>
      <w:r w:rsidR="00847533" w:rsidRPr="00DA29B2">
        <w:t>]</w:t>
      </w:r>
      <w:r w:rsidR="00E33149" w:rsidRPr="00DA29B2">
        <w:t xml:space="preserve"> </w:t>
      </w:r>
      <w:r w:rsidR="00013172" w:rsidRPr="00DA29B2">
        <w:t>Separately, s</w:t>
      </w:r>
      <w:r w:rsidR="0029066A" w:rsidRPr="00DA29B2">
        <w:t>imple sequence alignments of the three SARS-CoV-2 cleavages with human proteins ranked by percent identity led Reynolds et al. to propose a few dozen human proteins to be directly cleaved by PLpro.[</w:t>
      </w:r>
      <w:r w:rsidR="00FA59C5" w:rsidRPr="00DA29B2">
        <w:t>17</w:t>
      </w:r>
      <w:r w:rsidR="0029066A" w:rsidRPr="00DA29B2">
        <w:t xml:space="preserve">] This method does not account for position-dependent residue importance or any physiochemical trends and therefore likely resulted in many false positives, </w:t>
      </w:r>
      <w:r w:rsidR="002162F1" w:rsidRPr="00DA29B2">
        <w:t>yet</w:t>
      </w:r>
      <w:r w:rsidR="0029066A" w:rsidRPr="00DA29B2">
        <w:t xml:space="preserve"> they were able to demonstrate </w:t>
      </w:r>
      <w:r w:rsidR="0029066A" w:rsidRPr="00DA29B2">
        <w:rPr>
          <w:i/>
          <w:iCs/>
        </w:rPr>
        <w:t>in vitro</w:t>
      </w:r>
      <w:r w:rsidR="0029066A" w:rsidRPr="00DA29B2">
        <w:t xml:space="preserve"> cleavage of </w:t>
      </w:r>
      <w:r w:rsidR="003D7F8F" w:rsidRPr="00DA29B2">
        <w:t>protein S</w:t>
      </w:r>
      <w:r w:rsidR="0029066A" w:rsidRPr="00DA29B2">
        <w:t xml:space="preserve">, </w:t>
      </w:r>
      <w:r w:rsidR="003D7F8F" w:rsidRPr="00DA29B2">
        <w:t>MHC-</w:t>
      </w:r>
      <w:r w:rsidR="003D7F8F" w:rsidRPr="00DA29B2">
        <w:rPr>
          <w:rFonts w:cstheme="minorHAnsi"/>
        </w:rPr>
        <w:t>α/β</w:t>
      </w:r>
      <w:r w:rsidR="003D7F8F" w:rsidRPr="00DA29B2">
        <w:t xml:space="preserve"> isoforms (</w:t>
      </w:r>
      <w:r w:rsidR="0029066A" w:rsidRPr="00DA29B2">
        <w:t>MYH6/7</w:t>
      </w:r>
      <w:r w:rsidR="003D7F8F" w:rsidRPr="00DA29B2">
        <w:t>)</w:t>
      </w:r>
      <w:r w:rsidR="0029066A" w:rsidRPr="00DA29B2">
        <w:t>,</w:t>
      </w:r>
      <w:r w:rsidR="003D7F8F" w:rsidRPr="00DA29B2">
        <w:t xml:space="preserve"> forkhead box P3 (</w:t>
      </w:r>
      <w:r w:rsidR="0029066A" w:rsidRPr="00DA29B2">
        <w:t>FOXP3</w:t>
      </w:r>
      <w:r w:rsidR="003D7F8F" w:rsidRPr="00DA29B2">
        <w:t>)</w:t>
      </w:r>
      <w:r w:rsidR="0029066A" w:rsidRPr="00DA29B2">
        <w:t xml:space="preserve">, and </w:t>
      </w:r>
      <w:r w:rsidR="003D7F8F" w:rsidRPr="00DA29B2">
        <w:t xml:space="preserve">epidermal </w:t>
      </w:r>
      <w:r w:rsidR="003D7F8F" w:rsidRPr="00CF76AF">
        <w:t>growth factor receptor (</w:t>
      </w:r>
      <w:r w:rsidR="0029066A" w:rsidRPr="00CF76AF">
        <w:t>ERBB4</w:t>
      </w:r>
      <w:r w:rsidR="003D7F8F" w:rsidRPr="00CF76AF">
        <w:t>)</w:t>
      </w:r>
      <w:r w:rsidR="00004BD7" w:rsidRPr="00CF76AF">
        <w:t xml:space="preserve">. IRF3,[18] </w:t>
      </w:r>
      <w:r w:rsidR="003D7F8F" w:rsidRPr="00CF76AF">
        <w:t>Unc-51 like autophagy activating kinase (</w:t>
      </w:r>
      <w:r w:rsidR="0029066A" w:rsidRPr="00CF76AF">
        <w:t>ULK1</w:t>
      </w:r>
      <w:r w:rsidR="003D7F8F" w:rsidRPr="00CF76AF">
        <w:t>)</w:t>
      </w:r>
      <w:r w:rsidR="00004BD7" w:rsidRPr="00CF76AF">
        <w:t>,[19] proto-oncogene SRC, Kelch domain-containing protein 10 (KLHDC10), and bone marrow stromal antigen 1 (BST1)</w:t>
      </w:r>
      <w:r w:rsidR="005842C8" w:rsidRPr="00CF76AF">
        <w:t>[20]</w:t>
      </w:r>
      <w:r w:rsidR="0029066A" w:rsidRPr="00CF76AF">
        <w:t xml:space="preserve"> were also independently demonstrated to be cleaved by PLpro </w:t>
      </w:r>
      <w:r w:rsidR="0029066A" w:rsidRPr="00CF76AF">
        <w:rPr>
          <w:i/>
          <w:iCs/>
        </w:rPr>
        <w:t>in vitro</w:t>
      </w:r>
      <w:r w:rsidR="005842C8" w:rsidRPr="00CF76AF">
        <w:t>.</w:t>
      </w:r>
    </w:p>
    <w:p w14:paraId="1A14BFF9" w14:textId="0B3561ED" w:rsidR="00275675" w:rsidRPr="00DA29B2" w:rsidRDefault="00275675" w:rsidP="00466BD8">
      <w:pPr>
        <w:spacing w:after="0" w:line="240" w:lineRule="auto"/>
        <w:ind w:firstLine="720"/>
        <w:rPr>
          <w:rFonts w:eastAsiaTheme="minorEastAsia" w:cstheme="minorHAnsi"/>
        </w:rPr>
      </w:pPr>
      <w:r w:rsidRPr="00CF76AF">
        <w:rPr>
          <w:rFonts w:eastAsiaTheme="minorEastAsia" w:cstheme="minorHAnsi"/>
        </w:rPr>
        <w:t>The high number of known 3CLpro cleavages has allowed for sequence logos and machine learning techniques to be</w:t>
      </w:r>
      <w:r w:rsidRPr="00DA29B2">
        <w:rPr>
          <w:rFonts w:eastAsiaTheme="minorEastAsia" w:cstheme="minorHAnsi"/>
        </w:rPr>
        <w:t xml:space="preserve"> applied to coronavirus and human sequences</w:t>
      </w:r>
      <w:r w:rsidR="008812D8" w:rsidRPr="00DA29B2">
        <w:rPr>
          <w:rFonts w:eastAsiaTheme="minorEastAsia" w:cstheme="minorHAnsi"/>
        </w:rPr>
        <w:t>.</w:t>
      </w:r>
      <w:r w:rsidR="00814581" w:rsidRPr="00DA29B2">
        <w:rPr>
          <w:rFonts w:eastAsiaTheme="minorEastAsia" w:cstheme="minorHAnsi"/>
        </w:rPr>
        <w:t xml:space="preserve">[1, </w:t>
      </w:r>
      <w:r w:rsidR="00CF76AF">
        <w:rPr>
          <w:rFonts w:eastAsiaTheme="minorEastAsia" w:cstheme="minorHAnsi"/>
        </w:rPr>
        <w:t>21</w:t>
      </w:r>
      <w:r w:rsidR="00F13F73" w:rsidRPr="00DA29B2">
        <w:rPr>
          <w:rFonts w:eastAsiaTheme="minorEastAsia" w:cstheme="minorHAnsi"/>
        </w:rPr>
        <w:t>]</w:t>
      </w:r>
      <w:r w:rsidRPr="00DA29B2">
        <w:rPr>
          <w:rFonts w:eastAsiaTheme="minorEastAsia" w:cstheme="minorHAnsi"/>
        </w:rPr>
        <w:t xml:space="preserve"> </w:t>
      </w:r>
      <w:r w:rsidR="008812D8" w:rsidRPr="00DA29B2">
        <w:rPr>
          <w:rFonts w:eastAsiaTheme="minorEastAsia" w:cstheme="minorHAnsi"/>
        </w:rPr>
        <w:t>PLpro, however</w:t>
      </w:r>
      <w:r w:rsidR="007A65C2" w:rsidRPr="00DA29B2">
        <w:rPr>
          <w:rFonts w:eastAsiaTheme="minorEastAsia" w:cstheme="minorHAnsi"/>
        </w:rPr>
        <w:t>,</w:t>
      </w:r>
      <w:r w:rsidR="008812D8" w:rsidRPr="00DA29B2">
        <w:rPr>
          <w:rFonts w:eastAsiaTheme="minorEastAsia" w:cstheme="minorHAnsi"/>
        </w:rPr>
        <w:t xml:space="preserve"> is less characterized because (1) </w:t>
      </w:r>
      <w:r w:rsidRPr="00DA29B2">
        <w:rPr>
          <w:rFonts w:eastAsiaTheme="minorEastAsia" w:cstheme="minorHAnsi"/>
        </w:rPr>
        <w:t>fewer cleavage sites are known</w:t>
      </w:r>
      <w:r w:rsidR="006652FF">
        <w:rPr>
          <w:rFonts w:eastAsiaTheme="minorEastAsia" w:cstheme="minorHAnsi"/>
        </w:rPr>
        <w:t xml:space="preserve">, (2) these cleavages are </w:t>
      </w:r>
      <w:r w:rsidR="00903080">
        <w:rPr>
          <w:rFonts w:eastAsiaTheme="minorEastAsia" w:cstheme="minorHAnsi"/>
        </w:rPr>
        <w:t xml:space="preserve">not as conserved as </w:t>
      </w:r>
      <w:r w:rsidR="006652FF">
        <w:rPr>
          <w:rFonts w:eastAsiaTheme="minorEastAsia" w:cstheme="minorHAnsi"/>
        </w:rPr>
        <w:t>3CLpro</w:t>
      </w:r>
      <w:r w:rsidR="00903080">
        <w:rPr>
          <w:rFonts w:eastAsiaTheme="minorEastAsia" w:cstheme="minorHAnsi"/>
        </w:rPr>
        <w:t xml:space="preserve"> cleavages</w:t>
      </w:r>
      <w:r w:rsidR="006652FF">
        <w:rPr>
          <w:rFonts w:eastAsiaTheme="minorEastAsia" w:cstheme="minorHAnsi"/>
        </w:rPr>
        <w:t>,</w:t>
      </w:r>
      <w:r w:rsidR="008812D8" w:rsidRPr="00DA29B2">
        <w:rPr>
          <w:rFonts w:eastAsiaTheme="minorEastAsia" w:cstheme="minorHAnsi"/>
        </w:rPr>
        <w:t xml:space="preserve"> and </w:t>
      </w:r>
      <w:r w:rsidRPr="00DA29B2">
        <w:rPr>
          <w:rFonts w:eastAsiaTheme="minorEastAsia" w:cstheme="minorHAnsi"/>
        </w:rPr>
        <w:t xml:space="preserve">it is unknown </w:t>
      </w:r>
      <w:r w:rsidR="006652FF">
        <w:rPr>
          <w:rFonts w:eastAsiaTheme="minorEastAsia" w:cstheme="minorHAnsi"/>
        </w:rPr>
        <w:t>whether (3</w:t>
      </w:r>
      <w:r w:rsidR="008812D8" w:rsidRPr="00DA29B2">
        <w:rPr>
          <w:rFonts w:eastAsiaTheme="minorEastAsia" w:cstheme="minorHAnsi"/>
        </w:rPr>
        <w:t>)</w:t>
      </w:r>
      <w:r w:rsidRPr="00DA29B2">
        <w:rPr>
          <w:rFonts w:eastAsiaTheme="minorEastAsia" w:cstheme="minorHAnsi"/>
        </w:rPr>
        <w:t xml:space="preserve"> any alpha- or betacoronaviruses </w:t>
      </w:r>
      <w:r w:rsidR="008812D8" w:rsidRPr="00DA29B2">
        <w:rPr>
          <w:rFonts w:eastAsiaTheme="minorEastAsia" w:cstheme="minorHAnsi"/>
        </w:rPr>
        <w:t>are mi</w:t>
      </w:r>
      <w:r w:rsidR="006652FF">
        <w:rPr>
          <w:rFonts w:eastAsiaTheme="minorEastAsia" w:cstheme="minorHAnsi"/>
        </w:rPr>
        <w:t xml:space="preserve">ssing a cleavage </w:t>
      </w:r>
      <w:r w:rsidR="006652FF">
        <w:rPr>
          <w:rFonts w:eastAsiaTheme="minorEastAsia" w:cstheme="minorHAnsi"/>
        </w:rPr>
        <w:lastRenderedPageBreak/>
        <w:t>before nsp2, (4</w:t>
      </w:r>
      <w:r w:rsidR="008812D8" w:rsidRPr="00DA29B2">
        <w:rPr>
          <w:rFonts w:eastAsiaTheme="minorEastAsia" w:cstheme="minorHAnsi"/>
        </w:rPr>
        <w:t xml:space="preserve">) </w:t>
      </w:r>
      <w:r w:rsidRPr="00DA29B2">
        <w:rPr>
          <w:rFonts w:eastAsiaTheme="minorEastAsia" w:cstheme="minorHAnsi"/>
        </w:rPr>
        <w:t>all gamma- and deltacoronaviruses are missing a cleavage before nsp2,</w:t>
      </w:r>
      <w:r w:rsidR="008812D8" w:rsidRPr="00DA29B2">
        <w:rPr>
          <w:rFonts w:eastAsiaTheme="minorEastAsia" w:cstheme="minorHAnsi"/>
        </w:rPr>
        <w:t xml:space="preserve"> or</w:t>
      </w:r>
      <w:r w:rsidRPr="00DA29B2">
        <w:rPr>
          <w:rFonts w:eastAsiaTheme="minorEastAsia" w:cstheme="minorHAnsi"/>
        </w:rPr>
        <w:t xml:space="preserve"> </w:t>
      </w:r>
      <w:r w:rsidR="006652FF">
        <w:rPr>
          <w:rFonts w:eastAsiaTheme="minorEastAsia" w:cstheme="minorHAnsi"/>
        </w:rPr>
        <w:t>(5</w:t>
      </w:r>
      <w:r w:rsidR="008812D8" w:rsidRPr="00DA29B2">
        <w:rPr>
          <w:rFonts w:eastAsiaTheme="minorEastAsia" w:cstheme="minorHAnsi"/>
        </w:rPr>
        <w:t xml:space="preserve">) whether </w:t>
      </w:r>
      <w:r w:rsidRPr="00DA29B2">
        <w:rPr>
          <w:rFonts w:eastAsiaTheme="minorEastAsia" w:cstheme="minorHAnsi"/>
        </w:rPr>
        <w:t>the many uncharacterized coronaviruses have one or two functional papain-like domains and what differences they may have.</w:t>
      </w:r>
    </w:p>
    <w:p w14:paraId="29156CA1" w14:textId="6B46A8E6" w:rsidR="00275675" w:rsidRPr="00DA29B2" w:rsidRDefault="00275675" w:rsidP="00466BD8">
      <w:pPr>
        <w:spacing w:after="0" w:line="240" w:lineRule="auto"/>
      </w:pPr>
    </w:p>
    <w:p w14:paraId="35F526AB" w14:textId="77777777" w:rsidR="00275675" w:rsidRPr="00DA29B2" w:rsidRDefault="00275675" w:rsidP="00466BD8">
      <w:pPr>
        <w:spacing w:after="0" w:line="240" w:lineRule="auto"/>
        <w:rPr>
          <w:b/>
          <w:bCs/>
        </w:rPr>
      </w:pPr>
      <w:r w:rsidRPr="00DA29B2">
        <w:rPr>
          <w:b/>
          <w:bCs/>
        </w:rPr>
        <w:t>Methods</w:t>
      </w:r>
    </w:p>
    <w:p w14:paraId="18D94138" w14:textId="77777777" w:rsidR="00275675" w:rsidRPr="00DA29B2" w:rsidRDefault="00275675" w:rsidP="00466BD8">
      <w:pPr>
        <w:spacing w:after="0" w:line="240" w:lineRule="auto"/>
        <w:rPr>
          <w:b/>
          <w:bCs/>
        </w:rPr>
      </w:pPr>
      <w:r w:rsidRPr="00DA29B2">
        <w:rPr>
          <w:b/>
          <w:bCs/>
        </w:rPr>
        <w:tab/>
        <w:t>Data Set Preparation</w:t>
      </w:r>
    </w:p>
    <w:p w14:paraId="61A7C5AD" w14:textId="3E65C7DA" w:rsidR="00275675" w:rsidRPr="00DA29B2" w:rsidRDefault="00275675" w:rsidP="00466BD8">
      <w:pPr>
        <w:spacing w:after="0" w:line="240" w:lineRule="auto"/>
        <w:rPr>
          <w:rFonts w:eastAsiaTheme="minorEastAsia" w:cstheme="minorHAnsi"/>
        </w:rPr>
      </w:pPr>
      <w:r w:rsidRPr="00DA29B2">
        <w:rPr>
          <w:b/>
          <w:bCs/>
        </w:rPr>
        <w:tab/>
      </w:r>
      <w:r w:rsidRPr="00DA29B2">
        <w:rPr>
          <w:rFonts w:eastAsiaTheme="minorEastAsia" w:cstheme="minorHAnsi"/>
        </w:rPr>
        <w:t>A complete, manually reviewed human proteome containing 20,350 sequences (not including alternative isoforms) was retrieved from UniProt/Swiss-Prot (proteome:up000005640 AND reviewed:yes).[</w:t>
      </w:r>
      <w:r w:rsidR="00CF76AF">
        <w:rPr>
          <w:rFonts w:eastAsiaTheme="minorEastAsia" w:cstheme="minorHAnsi"/>
        </w:rPr>
        <w:t>22</w:t>
      </w:r>
      <w:r w:rsidRPr="00DA29B2">
        <w:rPr>
          <w:rFonts w:eastAsiaTheme="minorEastAsia" w:cstheme="minorHAnsi"/>
        </w:rPr>
        <w:t>]</w:t>
      </w:r>
    </w:p>
    <w:p w14:paraId="7C5770DC" w14:textId="4941F9BC" w:rsidR="00275675" w:rsidRPr="00DA29B2" w:rsidRDefault="00275675" w:rsidP="00466BD8">
      <w:pPr>
        <w:spacing w:after="0" w:line="240" w:lineRule="auto"/>
        <w:ind w:firstLine="720"/>
        <w:rPr>
          <w:rFonts w:eastAsiaTheme="minorEastAsia" w:cstheme="minorHAnsi"/>
        </w:rPr>
      </w:pPr>
      <w:r w:rsidRPr="00DA29B2">
        <w:rPr>
          <w:rFonts w:eastAsiaTheme="minorEastAsia" w:cstheme="minorHAnsi"/>
        </w:rPr>
        <w:t>Additional coronavirus polyprotein cleavages were collected from GenBank.[</w:t>
      </w:r>
      <w:r w:rsidR="00CF76AF">
        <w:rPr>
          <w:rFonts w:eastAsiaTheme="minorEastAsia" w:cstheme="minorHAnsi"/>
        </w:rPr>
        <w:t>23</w:t>
      </w:r>
      <w:r w:rsidRPr="00DA29B2">
        <w:rPr>
          <w:rFonts w:eastAsiaTheme="minorEastAsia" w:cstheme="minorHAnsi"/>
        </w:rPr>
        <w:t xml:space="preserve">] Searching for all combinations of “orf/pp” and “1/1a/1ab” within the family </w:t>
      </w:r>
      <w:r w:rsidRPr="00DA29B2">
        <w:rPr>
          <w:rFonts w:eastAsiaTheme="minorEastAsia" w:cstheme="minorHAnsi"/>
          <w:i/>
          <w:iCs/>
        </w:rPr>
        <w:t>Coronaviridae</w:t>
      </w:r>
      <w:r w:rsidRPr="00DA29B2">
        <w:rPr>
          <w:rFonts w:eastAsiaTheme="minorEastAsia" w:cstheme="minorHAnsi"/>
        </w:rPr>
        <w:t xml:space="preserve"> returned 12,770 different, complete polyproteins with 463 different cleavages manually discovered using the Clustal Omega multiple sequence alignment server.[</w:t>
      </w:r>
      <w:r w:rsidR="00005E87" w:rsidRPr="00DA29B2">
        <w:rPr>
          <w:rFonts w:eastAsiaTheme="minorEastAsia" w:cstheme="minorHAnsi"/>
        </w:rPr>
        <w:t>2</w:t>
      </w:r>
      <w:r w:rsidR="00CF76AF">
        <w:rPr>
          <w:rFonts w:eastAsiaTheme="minorEastAsia" w:cstheme="minorHAnsi"/>
        </w:rPr>
        <w:t>4</w:t>
      </w:r>
      <w:r w:rsidR="00451C0A" w:rsidRPr="00DA29B2">
        <w:rPr>
          <w:rFonts w:eastAsiaTheme="minorEastAsia" w:cstheme="minorHAnsi"/>
        </w:rPr>
        <w:t>–</w:t>
      </w:r>
      <w:r w:rsidR="00DA3C4A" w:rsidRPr="00DA29B2">
        <w:rPr>
          <w:rFonts w:eastAsiaTheme="minorEastAsia" w:cstheme="minorHAnsi"/>
        </w:rPr>
        <w:t>2</w:t>
      </w:r>
      <w:r w:rsidR="00CF76AF">
        <w:rPr>
          <w:rFonts w:eastAsiaTheme="minorEastAsia" w:cstheme="minorHAnsi"/>
        </w:rPr>
        <w:t>6</w:t>
      </w:r>
      <w:r w:rsidRPr="00DA29B2">
        <w:rPr>
          <w:rFonts w:eastAsiaTheme="minorEastAsia" w:cstheme="minorHAnsi"/>
        </w:rPr>
        <w:t xml:space="preserve">] Unlike 3CLpro, no PLpro domain </w:t>
      </w:r>
      <w:r w:rsidR="000372C3" w:rsidRPr="00DA29B2">
        <w:rPr>
          <w:rFonts w:eastAsiaTheme="minorEastAsia" w:cstheme="minorHAnsi"/>
        </w:rPr>
        <w:t xml:space="preserve">is </w:t>
      </w:r>
      <w:r w:rsidRPr="00DA29B2">
        <w:rPr>
          <w:rFonts w:eastAsiaTheme="minorEastAsia" w:cstheme="minorHAnsi"/>
        </w:rPr>
        <w:t xml:space="preserve">found in the monotypic </w:t>
      </w:r>
      <w:r w:rsidRPr="00DA29B2">
        <w:rPr>
          <w:rFonts w:eastAsiaTheme="minorEastAsia" w:cstheme="minorHAnsi"/>
          <w:i/>
          <w:iCs/>
        </w:rPr>
        <w:t>Microhyla letovirus 1</w:t>
      </w:r>
      <w:r w:rsidRPr="00DA29B2">
        <w:rPr>
          <w:rFonts w:eastAsiaTheme="minorEastAsia" w:cstheme="minorHAnsi"/>
        </w:rPr>
        <w:t xml:space="preserve"> in </w:t>
      </w:r>
      <w:r w:rsidRPr="00DA29B2">
        <w:rPr>
          <w:rFonts w:eastAsiaTheme="minorEastAsia" w:cstheme="minorHAnsi"/>
          <w:i/>
          <w:iCs/>
        </w:rPr>
        <w:t>Coronaviridae</w:t>
      </w:r>
      <w:r w:rsidRPr="00DA29B2">
        <w:rPr>
          <w:rFonts w:eastAsiaTheme="minorEastAsia" w:cstheme="minorHAnsi"/>
        </w:rPr>
        <w:t xml:space="preserve">. Similar domains are characterized in </w:t>
      </w:r>
      <w:r w:rsidRPr="00DA29B2">
        <w:rPr>
          <w:rFonts w:eastAsiaTheme="minorEastAsia" w:cstheme="minorHAnsi"/>
          <w:i/>
          <w:iCs/>
        </w:rPr>
        <w:t>Arteriviridae</w:t>
      </w:r>
      <w:r w:rsidRPr="00DA29B2">
        <w:rPr>
          <w:rFonts w:eastAsiaTheme="minorEastAsia" w:cstheme="minorHAnsi"/>
        </w:rPr>
        <w:t xml:space="preserve"> and</w:t>
      </w:r>
      <w:r w:rsidR="000372C3" w:rsidRPr="00DA29B2">
        <w:rPr>
          <w:rFonts w:eastAsiaTheme="minorEastAsia" w:cstheme="minorHAnsi"/>
        </w:rPr>
        <w:t xml:space="preserve"> in</w:t>
      </w:r>
      <w:r w:rsidRPr="00DA29B2">
        <w:rPr>
          <w:rFonts w:eastAsiaTheme="minorEastAsia" w:cstheme="minorHAnsi"/>
        </w:rPr>
        <w:t xml:space="preserve"> some of </w:t>
      </w:r>
      <w:r w:rsidRPr="00DA29B2">
        <w:rPr>
          <w:rFonts w:eastAsiaTheme="minorEastAsia" w:cstheme="minorHAnsi"/>
          <w:i/>
          <w:iCs/>
        </w:rPr>
        <w:t>Tobaniviridae</w:t>
      </w:r>
      <w:r w:rsidRPr="00DA29B2">
        <w:rPr>
          <w:rFonts w:eastAsiaTheme="minorEastAsia" w:cstheme="minorHAnsi"/>
        </w:rPr>
        <w:t>, although none of these sequences were aligned here.[</w:t>
      </w:r>
      <w:r w:rsidR="00DA3C4A" w:rsidRPr="00DA29B2">
        <w:rPr>
          <w:rFonts w:eastAsiaTheme="minorEastAsia" w:cstheme="minorHAnsi"/>
        </w:rPr>
        <w:t>2</w:t>
      </w:r>
      <w:r w:rsidR="00CF76AF">
        <w:rPr>
          <w:rFonts w:eastAsiaTheme="minorEastAsia" w:cstheme="minorHAnsi"/>
        </w:rPr>
        <w:t>7</w:t>
      </w:r>
      <w:r w:rsidRPr="00DA29B2">
        <w:rPr>
          <w:rFonts w:eastAsiaTheme="minorEastAsia" w:cstheme="minorHAnsi"/>
        </w:rPr>
        <w:t xml:space="preserve">] All unbalanced positive cleavages were used for subsequent classifier training in addition to all other 33,185 uncleaved coronavirus sequence windows with at least two glycines or alanines in the </w:t>
      </w:r>
      <w:r w:rsidR="007465DC" w:rsidRPr="00DA29B2">
        <w:rPr>
          <w:rFonts w:eastAsiaTheme="minorEastAsia" w:cstheme="minorHAnsi"/>
        </w:rPr>
        <w:t>P2, P1, or P1’ p</w:t>
      </w:r>
      <w:r w:rsidRPr="00DA29B2">
        <w:rPr>
          <w:rFonts w:eastAsiaTheme="minorEastAsia" w:cstheme="minorHAnsi"/>
        </w:rPr>
        <w:t>ositions, totaling 33,648 samples.</w:t>
      </w:r>
    </w:p>
    <w:p w14:paraId="4191A128" w14:textId="77777777" w:rsidR="00275675" w:rsidRPr="00DA29B2" w:rsidRDefault="00275675" w:rsidP="00466BD8">
      <w:pPr>
        <w:spacing w:after="0" w:line="240" w:lineRule="auto"/>
        <w:rPr>
          <w:b/>
          <w:bCs/>
        </w:rPr>
      </w:pPr>
      <w:r w:rsidRPr="00DA29B2">
        <w:rPr>
          <w:b/>
          <w:bCs/>
        </w:rPr>
        <w:tab/>
        <w:t>Cleavage Prediction</w:t>
      </w:r>
    </w:p>
    <w:p w14:paraId="0AE0517A" w14:textId="2598847C" w:rsidR="00275675" w:rsidRPr="00DA29B2" w:rsidRDefault="00275675" w:rsidP="00466BD8">
      <w:pPr>
        <w:spacing w:after="0" w:line="240" w:lineRule="auto"/>
        <w:ind w:firstLine="720"/>
        <w:rPr>
          <w:rFonts w:cstheme="minorHAnsi"/>
        </w:rPr>
      </w:pPr>
      <w:r w:rsidRPr="00DA29B2">
        <w:rPr>
          <w:rFonts w:cstheme="minorHAnsi"/>
        </w:rPr>
        <w:t>As in my previous work on 3CLpro,</w:t>
      </w:r>
      <w:r w:rsidR="00005E87" w:rsidRPr="00DA29B2">
        <w:rPr>
          <w:rFonts w:cstheme="minorHAnsi"/>
        </w:rPr>
        <w:t>[1]</w:t>
      </w:r>
      <w:r w:rsidRPr="00DA29B2">
        <w:rPr>
          <w:rFonts w:cstheme="minorHAnsi"/>
        </w:rPr>
        <w:t xml:space="preserve"> sequence logo-based logistic regression and naïve Bayes classification and </w:t>
      </w:r>
      <w:r w:rsidR="008812D8" w:rsidRPr="00DA29B2">
        <w:rPr>
          <w:rFonts w:cstheme="minorHAnsi"/>
        </w:rPr>
        <w:t xml:space="preserve">physiochemical and one-hot encoded </w:t>
      </w:r>
      <w:r w:rsidR="007A65C2" w:rsidRPr="00DA29B2">
        <w:rPr>
          <w:rFonts w:cstheme="minorHAnsi"/>
        </w:rPr>
        <w:t>neural networks (</w:t>
      </w:r>
      <w:r w:rsidRPr="00DA29B2">
        <w:rPr>
          <w:rFonts w:cstheme="minorHAnsi"/>
        </w:rPr>
        <w:t>NNs</w:t>
      </w:r>
      <w:r w:rsidR="007A65C2" w:rsidRPr="00DA29B2">
        <w:rPr>
          <w:rFonts w:cstheme="minorHAnsi"/>
        </w:rPr>
        <w:t>)</w:t>
      </w:r>
      <w:r w:rsidRPr="00DA29B2">
        <w:rPr>
          <w:rFonts w:cstheme="minorHAnsi"/>
        </w:rPr>
        <w:t xml:space="preserve"> were used for prediction of cleavage sites.</w:t>
      </w:r>
      <w:r w:rsidR="00187589" w:rsidRPr="00DA29B2">
        <w:rPr>
          <w:rFonts w:cstheme="minorHAnsi"/>
        </w:rPr>
        <w:t>[</w:t>
      </w:r>
      <w:r w:rsidR="00DA3C4A" w:rsidRPr="00DA29B2">
        <w:rPr>
          <w:rFonts w:cstheme="minorHAnsi"/>
        </w:rPr>
        <w:t>2</w:t>
      </w:r>
      <w:r w:rsidR="00CF76AF">
        <w:rPr>
          <w:rFonts w:cstheme="minorHAnsi"/>
        </w:rPr>
        <w:t>8</w:t>
      </w:r>
      <w:r w:rsidR="00187589" w:rsidRPr="00DA29B2">
        <w:rPr>
          <w:rFonts w:cstheme="minorHAnsi"/>
        </w:rPr>
        <w:t>]</w:t>
      </w:r>
    </w:p>
    <w:p w14:paraId="5AA275E8" w14:textId="77777777" w:rsidR="00275675" w:rsidRPr="00DA29B2" w:rsidRDefault="00275675" w:rsidP="00466BD8">
      <w:pPr>
        <w:spacing w:after="0" w:line="240" w:lineRule="auto"/>
        <w:ind w:firstLine="720"/>
        <w:rPr>
          <w:b/>
          <w:bCs/>
        </w:rPr>
      </w:pPr>
      <w:r w:rsidRPr="00DA29B2">
        <w:rPr>
          <w:b/>
          <w:bCs/>
        </w:rPr>
        <w:t>Enrichment Analysis</w:t>
      </w:r>
    </w:p>
    <w:p w14:paraId="28F33321" w14:textId="4796CE66" w:rsidR="00CF1C18" w:rsidRPr="00DA29B2" w:rsidRDefault="00275675" w:rsidP="00466BD8">
      <w:pPr>
        <w:spacing w:after="0" w:line="240" w:lineRule="auto"/>
        <w:ind w:firstLine="720"/>
        <w:rPr>
          <w:rFonts w:eastAsiaTheme="minorEastAsia" w:cstheme="minorHAnsi"/>
        </w:rPr>
      </w:pPr>
      <w:r w:rsidRPr="00DA29B2">
        <w:rPr>
          <w:rFonts w:eastAsiaTheme="minorEastAsia" w:cstheme="minorHAnsi"/>
        </w:rPr>
        <w:t>Protein annotation, classification, and enrichment analysis was performed using the Database for Annotation, Visualization, and Integrated Discovery (DAVID) 6.8.[</w:t>
      </w:r>
      <w:r w:rsidR="00DA3C4A" w:rsidRPr="00DA29B2">
        <w:rPr>
          <w:rFonts w:eastAsiaTheme="minorEastAsia" w:cstheme="minorHAnsi"/>
        </w:rPr>
        <w:t>2</w:t>
      </w:r>
      <w:r w:rsidR="00CF76AF">
        <w:rPr>
          <w:rFonts w:eastAsiaTheme="minorEastAsia" w:cstheme="minorHAnsi"/>
        </w:rPr>
        <w:t>9</w:t>
      </w:r>
      <w:r w:rsidRPr="00DA29B2">
        <w:rPr>
          <w:rFonts w:eastAsiaTheme="minorEastAsia" w:cstheme="minorHAnsi"/>
        </w:rPr>
        <w:t xml:space="preserve">, </w:t>
      </w:r>
      <w:r w:rsidR="00CF76AF">
        <w:rPr>
          <w:rFonts w:eastAsiaTheme="minorEastAsia" w:cstheme="minorHAnsi"/>
        </w:rPr>
        <w:t>30</w:t>
      </w:r>
      <w:r w:rsidRPr="00DA29B2">
        <w:rPr>
          <w:rFonts w:eastAsiaTheme="minorEastAsia" w:cstheme="minorHAnsi"/>
        </w:rPr>
        <w:t xml:space="preserve">] </w:t>
      </w:r>
      <w:r w:rsidR="00CF1C18" w:rsidRPr="00DA29B2">
        <w:rPr>
          <w:rFonts w:eastAsiaTheme="minorEastAsia" w:cstheme="minorHAnsi"/>
        </w:rPr>
        <w:t xml:space="preserve">Tissue (UP_TISSUE and UNIGENE_EST_QUARTILE), InterPro, direct Gene Ontology (GO includes cellular compartment (CC), biological process (BP), and molecular function (MF)), Reactome pathways, sequence features, and keywords annotations were all explored, and only annotations with Benjamini-Hochberg-corrected p-values less than 0.05 were considered statistically significant. </w:t>
      </w:r>
      <w:r w:rsidR="00CB27D5" w:rsidRPr="00DA29B2">
        <w:rPr>
          <w:rFonts w:eastAsiaTheme="minorEastAsia" w:cstheme="minorHAnsi"/>
        </w:rPr>
        <w:t>Cleaved E3 ubiquitin ligases were matched to their respective substrates for additional enrichment analysis u</w:t>
      </w:r>
      <w:r w:rsidR="00CF76AF">
        <w:rPr>
          <w:rFonts w:eastAsiaTheme="minorEastAsia" w:cstheme="minorHAnsi"/>
        </w:rPr>
        <w:t>sing the UbiNet 2.0 database.[31</w:t>
      </w:r>
      <w:r w:rsidR="00CB27D5" w:rsidRPr="00DA29B2">
        <w:rPr>
          <w:rFonts w:eastAsiaTheme="minorEastAsia" w:cstheme="minorHAnsi"/>
        </w:rPr>
        <w:t xml:space="preserve">] </w:t>
      </w:r>
      <w:r w:rsidRPr="00DA29B2">
        <w:rPr>
          <w:rFonts w:eastAsiaTheme="minorEastAsia" w:cstheme="minorHAnsi"/>
        </w:rPr>
        <w:t>All training data, prediction methods, and results can be found on GitHub (</w:t>
      </w:r>
      <w:hyperlink r:id="rId8" w:history="1">
        <w:r w:rsidRPr="00DA29B2">
          <w:rPr>
            <w:rStyle w:val="Hyperlink"/>
            <w:rFonts w:cstheme="minorHAnsi"/>
          </w:rPr>
          <w:t>https://github.com/Luke8472NN/NetProtease</w:t>
        </w:r>
      </w:hyperlink>
      <w:r w:rsidRPr="00DA29B2">
        <w:rPr>
          <w:rFonts w:eastAsiaTheme="minorEastAsia" w:cstheme="minorHAnsi"/>
        </w:rPr>
        <w:t>).</w:t>
      </w:r>
    </w:p>
    <w:p w14:paraId="5C07E0A5" w14:textId="77777777" w:rsidR="00CB27D5" w:rsidRPr="00DA29B2" w:rsidRDefault="00CB27D5" w:rsidP="00466BD8">
      <w:pPr>
        <w:spacing w:after="0" w:line="240" w:lineRule="auto"/>
        <w:rPr>
          <w:rFonts w:eastAsiaTheme="minorEastAsia" w:cstheme="minorHAnsi"/>
        </w:rPr>
      </w:pPr>
    </w:p>
    <w:p w14:paraId="2E877B12" w14:textId="77777777" w:rsidR="00275675" w:rsidRPr="00DA29B2" w:rsidRDefault="00275675" w:rsidP="00466BD8">
      <w:pPr>
        <w:spacing w:after="0" w:line="240" w:lineRule="auto"/>
        <w:rPr>
          <w:b/>
          <w:bCs/>
        </w:rPr>
      </w:pPr>
      <w:r w:rsidRPr="00DA29B2">
        <w:rPr>
          <w:b/>
          <w:bCs/>
        </w:rPr>
        <w:t>Results</w:t>
      </w:r>
    </w:p>
    <w:p w14:paraId="1E892AE5" w14:textId="281DCF07" w:rsidR="00275675" w:rsidRPr="00DA29B2" w:rsidRDefault="00275675" w:rsidP="00466BD8">
      <w:pPr>
        <w:spacing w:after="0" w:line="240" w:lineRule="auto"/>
        <w:ind w:firstLine="720"/>
      </w:pPr>
      <w:r w:rsidRPr="00DA29B2">
        <w:t xml:space="preserve">Due to the greater difficulty aligning putative cleavages and more variable domains of nsp3, the assumption that SARS-CoV-2 PLpro can cleave all aligned sites in divergent coronaviruses is less </w:t>
      </w:r>
      <w:r w:rsidR="008812D8" w:rsidRPr="00DA29B2">
        <w:t>plausible</w:t>
      </w:r>
      <w:r w:rsidRPr="00DA29B2">
        <w:t xml:space="preserve"> than for 3CLpro. First, some entries in this dataset containing one, two, or four glycines or alanines may be incorrectly shifted by one or two residues because</w:t>
      </w:r>
      <w:r w:rsidR="009C46F9" w:rsidRPr="00DA29B2">
        <w:t xml:space="preserve"> they are </w:t>
      </w:r>
      <w:r w:rsidRPr="00DA29B2">
        <w:t>difficult</w:t>
      </w:r>
      <w:r w:rsidR="009C46F9" w:rsidRPr="00DA29B2">
        <w:t xml:space="preserve"> to</w:t>
      </w:r>
      <w:r w:rsidRPr="00DA29B2">
        <w:t xml:space="preserve"> align with PLpro’s consensus [KL]K[GAR][GA]^[GA]. The P1’ glycine or alanine is </w:t>
      </w:r>
      <w:r w:rsidR="002162F1" w:rsidRPr="00DA29B2">
        <w:t xml:space="preserve">also </w:t>
      </w:r>
      <w:r w:rsidRPr="00DA29B2">
        <w:t xml:space="preserve">not applicable </w:t>
      </w:r>
      <w:r w:rsidR="003113FC">
        <w:t>when cleaving isopeptide bonds for de</w:t>
      </w:r>
      <w:r w:rsidRPr="00DA29B2">
        <w:t xml:space="preserve">ubiquitination, however lysine’s bound side chain somewhat resembles another </w:t>
      </w:r>
      <w:r w:rsidR="002F2A47" w:rsidRPr="00DA29B2">
        <w:t xml:space="preserve">small, hydrophobic </w:t>
      </w:r>
      <w:r w:rsidRPr="00DA29B2">
        <w:t xml:space="preserve">peptide bond. </w:t>
      </w:r>
      <w:r w:rsidRPr="00DA29B2">
        <w:rPr>
          <w:rFonts w:eastAsiaTheme="minorEastAsia" w:cstheme="minorHAnsi"/>
        </w:rPr>
        <w:t xml:space="preserve">Glycine is the smallest and most similar </w:t>
      </w:r>
      <w:r w:rsidR="00604F42">
        <w:rPr>
          <w:rFonts w:eastAsiaTheme="minorEastAsia" w:cstheme="minorHAnsi"/>
        </w:rPr>
        <w:t>amino acid</w:t>
      </w:r>
      <w:r w:rsidRPr="00DA29B2">
        <w:rPr>
          <w:rFonts w:eastAsiaTheme="minorEastAsia" w:cstheme="minorHAnsi"/>
        </w:rPr>
        <w:t>, and alanine is the second smallest</w:t>
      </w:r>
      <w:r w:rsidR="00CF0104" w:rsidRPr="00DA29B2">
        <w:rPr>
          <w:rFonts w:eastAsiaTheme="minorEastAsia" w:cstheme="minorHAnsi"/>
        </w:rPr>
        <w:t xml:space="preserve">, also </w:t>
      </w:r>
      <w:r w:rsidRPr="00DA29B2">
        <w:rPr>
          <w:rFonts w:eastAsiaTheme="minorEastAsia" w:cstheme="minorHAnsi"/>
        </w:rPr>
        <w:t>resembl</w:t>
      </w:r>
      <w:r w:rsidR="00CF0104" w:rsidRPr="00DA29B2">
        <w:rPr>
          <w:rFonts w:eastAsiaTheme="minorEastAsia" w:cstheme="minorHAnsi"/>
        </w:rPr>
        <w:t>ing</w:t>
      </w:r>
      <w:r w:rsidRPr="00DA29B2">
        <w:rPr>
          <w:rFonts w:eastAsiaTheme="minorEastAsia" w:cstheme="minorHAnsi"/>
        </w:rPr>
        <w:t xml:space="preserve"> the hydrophobicity of </w:t>
      </w:r>
      <w:r w:rsidR="002F2A47" w:rsidRPr="00DA29B2">
        <w:rPr>
          <w:rFonts w:eastAsiaTheme="minorEastAsia" w:cstheme="minorHAnsi"/>
        </w:rPr>
        <w:t>lysine’s side chain</w:t>
      </w:r>
      <w:r w:rsidR="00CF0104" w:rsidRPr="00DA29B2">
        <w:rPr>
          <w:rFonts w:eastAsiaTheme="minorEastAsia" w:cstheme="minorHAnsi"/>
        </w:rPr>
        <w:t xml:space="preserve"> (Figure 1) and potentially similarly protecting the oxyanion of the tetrahedral intermediate from water in the tryptophan-containing oxyanion hole</w:t>
      </w:r>
      <w:r w:rsidRPr="00DA29B2">
        <w:rPr>
          <w:rFonts w:eastAsiaTheme="minorEastAsia" w:cstheme="minorHAnsi"/>
        </w:rPr>
        <w:t>.</w:t>
      </w:r>
      <w:r w:rsidR="00CF0104" w:rsidRPr="00DA29B2">
        <w:rPr>
          <w:rFonts w:eastAsiaTheme="minorEastAsia" w:cstheme="minorHAnsi"/>
        </w:rPr>
        <w:t>[</w:t>
      </w:r>
      <w:r w:rsidR="00005E87" w:rsidRPr="00DA29B2">
        <w:rPr>
          <w:rFonts w:eastAsiaTheme="minorEastAsia" w:cstheme="minorHAnsi"/>
        </w:rPr>
        <w:t>6</w:t>
      </w:r>
      <w:r w:rsidR="00CF0104" w:rsidRPr="00DA29B2">
        <w:rPr>
          <w:rFonts w:eastAsiaTheme="minorEastAsia" w:cstheme="minorHAnsi"/>
        </w:rPr>
        <w:t>]</w:t>
      </w:r>
      <w:r w:rsidRPr="00DA29B2">
        <w:rPr>
          <w:rFonts w:eastAsiaTheme="minorEastAsia" w:cstheme="minorHAnsi"/>
        </w:rPr>
        <w:t xml:space="preserve"> If </w:t>
      </w:r>
      <w:r w:rsidR="002F2A47" w:rsidRPr="00DA29B2">
        <w:rPr>
          <w:rFonts w:eastAsiaTheme="minorEastAsia" w:cstheme="minorHAnsi"/>
        </w:rPr>
        <w:t>this is correct</w:t>
      </w:r>
      <w:r w:rsidRPr="00DA29B2">
        <w:rPr>
          <w:rFonts w:eastAsiaTheme="minorEastAsia" w:cstheme="minorHAnsi"/>
        </w:rPr>
        <w:t xml:space="preserve">, then ubiquitin’s arginine residue should be in the P3 position and not the P2 position as hinted by </w:t>
      </w:r>
      <w:r w:rsidR="0093004E" w:rsidRPr="00DA29B2">
        <w:rPr>
          <w:rFonts w:eastAsiaTheme="minorEastAsia" w:cstheme="minorHAnsi"/>
        </w:rPr>
        <w:t xml:space="preserve">many </w:t>
      </w:r>
      <w:r w:rsidRPr="00DA29B2">
        <w:rPr>
          <w:rFonts w:eastAsiaTheme="minorEastAsia" w:cstheme="minorHAnsi"/>
        </w:rPr>
        <w:t>sequence</w:t>
      </w:r>
      <w:r w:rsidR="0093004E" w:rsidRPr="00DA29B2">
        <w:rPr>
          <w:rFonts w:eastAsiaTheme="minorEastAsia" w:cstheme="minorHAnsi"/>
        </w:rPr>
        <w:t>s</w:t>
      </w:r>
      <w:r w:rsidRPr="00DA29B2">
        <w:rPr>
          <w:rFonts w:eastAsiaTheme="minorEastAsia" w:cstheme="minorHAnsi"/>
        </w:rPr>
        <w:t xml:space="preserve"> align</w:t>
      </w:r>
      <w:r w:rsidR="0093004E" w:rsidRPr="00DA29B2">
        <w:rPr>
          <w:rFonts w:eastAsiaTheme="minorEastAsia" w:cstheme="minorHAnsi"/>
        </w:rPr>
        <w:t>ed here, particularly nsp1</w:t>
      </w:r>
      <w:r w:rsidR="00510B05" w:rsidRPr="00DA29B2">
        <w:rPr>
          <w:rFonts w:eastAsiaTheme="minorEastAsia" w:cstheme="minorHAnsi"/>
        </w:rPr>
        <w:t>/</w:t>
      </w:r>
      <w:r w:rsidR="0093004E" w:rsidRPr="00DA29B2">
        <w:rPr>
          <w:rFonts w:eastAsiaTheme="minorEastAsia" w:cstheme="minorHAnsi"/>
        </w:rPr>
        <w:t>2</w:t>
      </w:r>
      <w:r w:rsidR="00510B05" w:rsidRPr="00DA29B2">
        <w:rPr>
          <w:rFonts w:eastAsiaTheme="minorEastAsia" w:cstheme="minorHAnsi"/>
        </w:rPr>
        <w:t xml:space="preserve"> cleavages</w:t>
      </w:r>
      <w:r w:rsidR="002162F1" w:rsidRPr="00DA29B2">
        <w:rPr>
          <w:rFonts w:eastAsiaTheme="minorEastAsia" w:cstheme="minorHAnsi"/>
        </w:rPr>
        <w:t xml:space="preserve"> (</w:t>
      </w:r>
      <w:r w:rsidR="00486EAC" w:rsidRPr="00DA29B2">
        <w:rPr>
          <w:rFonts w:eastAsiaTheme="minorEastAsia" w:cstheme="minorHAnsi"/>
        </w:rPr>
        <w:t>Figure 2</w:t>
      </w:r>
      <w:r w:rsidR="002162F1" w:rsidRPr="00DA29B2">
        <w:rPr>
          <w:rFonts w:eastAsiaTheme="minorEastAsia" w:cstheme="minorHAnsi"/>
        </w:rPr>
        <w:t>)</w:t>
      </w:r>
      <w:r w:rsidR="0093004E" w:rsidRPr="00DA29B2">
        <w:rPr>
          <w:rFonts w:eastAsiaTheme="minorEastAsia" w:cstheme="minorHAnsi"/>
        </w:rPr>
        <w:t>.</w:t>
      </w:r>
      <w:r w:rsidR="002F2A47" w:rsidRPr="00DA29B2">
        <w:rPr>
          <w:rFonts w:eastAsiaTheme="minorEastAsia" w:cstheme="minorHAnsi"/>
        </w:rPr>
        <w:t xml:space="preserve"> Molecular docking or crystallography are, however</w:t>
      </w:r>
      <w:r w:rsidR="008812D8" w:rsidRPr="00DA29B2">
        <w:rPr>
          <w:rFonts w:eastAsiaTheme="minorEastAsia" w:cstheme="minorHAnsi"/>
        </w:rPr>
        <w:t>,</w:t>
      </w:r>
      <w:r w:rsidR="002F2A47" w:rsidRPr="00DA29B2">
        <w:rPr>
          <w:rFonts w:eastAsiaTheme="minorEastAsia" w:cstheme="minorHAnsi"/>
        </w:rPr>
        <w:t xml:space="preserve"> required to prove these chemical similarities </w:t>
      </w:r>
      <w:r w:rsidR="00AF3FE2" w:rsidRPr="00DA29B2">
        <w:rPr>
          <w:rFonts w:eastAsiaTheme="minorEastAsia" w:cstheme="minorHAnsi"/>
        </w:rPr>
        <w:t>relevant</w:t>
      </w:r>
      <w:r w:rsidR="002F2A47" w:rsidRPr="00DA29B2">
        <w:rPr>
          <w:rFonts w:eastAsiaTheme="minorEastAsia" w:cstheme="minorHAnsi"/>
        </w:rPr>
        <w:t>.</w:t>
      </w:r>
      <w:r w:rsidR="00AF3FE2" w:rsidRPr="00DA29B2">
        <w:rPr>
          <w:rFonts w:eastAsiaTheme="minorEastAsia" w:cstheme="minorHAnsi"/>
        </w:rPr>
        <w:t xml:space="preserve"> </w:t>
      </w:r>
      <w:r w:rsidR="00AF3FE2" w:rsidRPr="00DA29B2">
        <w:t xml:space="preserve">Additionally complicating the problem, dimensionality reduction of </w:t>
      </w:r>
      <w:r w:rsidR="00AF3FE2" w:rsidRPr="00DA29B2">
        <w:lastRenderedPageBreak/>
        <w:t xml:space="preserve">putative cleavages did not cluster by order as well as for 3CLpro, and </w:t>
      </w:r>
      <w:r w:rsidR="00510B05" w:rsidRPr="00DA29B2">
        <w:t>nsp1/2</w:t>
      </w:r>
      <w:r w:rsidR="00AF3FE2" w:rsidRPr="00DA29B2">
        <w:t xml:space="preserve"> </w:t>
      </w:r>
      <w:r w:rsidR="002162F1" w:rsidRPr="00DA29B2">
        <w:t>cleavages missing from all gamma- and d</w:t>
      </w:r>
      <w:r w:rsidR="00AF3FE2" w:rsidRPr="00DA29B2">
        <w:t>eltacoronaviruses have a distinct sequence logo</w:t>
      </w:r>
      <w:r w:rsidR="00423F74" w:rsidRPr="00DA29B2">
        <w:t xml:space="preserve"> (Figure 2).</w:t>
      </w:r>
    </w:p>
    <w:p w14:paraId="7C39B222" w14:textId="77777777" w:rsidR="00AF3FE2" w:rsidRPr="00DA29B2" w:rsidRDefault="00AF3FE2" w:rsidP="00466BD8">
      <w:pPr>
        <w:spacing w:after="0" w:line="240" w:lineRule="auto"/>
      </w:pPr>
    </w:p>
    <w:p w14:paraId="0F3F665D" w14:textId="201CA76C" w:rsidR="00275675" w:rsidRPr="00DA29B2" w:rsidRDefault="0093004E" w:rsidP="00466BD8">
      <w:pPr>
        <w:spacing w:after="0" w:line="240" w:lineRule="auto"/>
        <w:jc w:val="center"/>
      </w:pPr>
      <w:r w:rsidRPr="00DA29B2">
        <w:rPr>
          <w:noProof/>
        </w:rPr>
        <mc:AlternateContent>
          <mc:Choice Requires="wps">
            <w:drawing>
              <wp:anchor distT="0" distB="0" distL="114300" distR="114300" simplePos="0" relativeHeight="251659264" behindDoc="0" locked="0" layoutInCell="1" allowOverlap="1" wp14:anchorId="43D7E145" wp14:editId="379E3397">
                <wp:simplePos x="0" y="0"/>
                <wp:positionH relativeFrom="column">
                  <wp:posOffset>2749550</wp:posOffset>
                </wp:positionH>
                <wp:positionV relativeFrom="paragraph">
                  <wp:posOffset>667385</wp:posOffset>
                </wp:positionV>
                <wp:extent cx="95250" cy="165100"/>
                <wp:effectExtent l="0" t="0" r="19050" b="25400"/>
                <wp:wrapNone/>
                <wp:docPr id="2" name="Straight Connector 2"/>
                <wp:cNvGraphicFramePr/>
                <a:graphic xmlns:a="http://schemas.openxmlformats.org/drawingml/2006/main">
                  <a:graphicData uri="http://schemas.microsoft.com/office/word/2010/wordprocessingShape">
                    <wps:wsp>
                      <wps:cNvCnPr/>
                      <wps:spPr>
                        <a:xfrm flipH="1">
                          <a:off x="0" y="0"/>
                          <a:ext cx="95250" cy="165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D0A7596" id="Straight Connector 2"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5pt,52.55pt" to="224pt,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" strokecolor="#4472c4 [3204]" strokeweight=".5pt">
                <v:stroke joinstyle="miter"/>
              </v:line>
            </w:pict>
          </mc:Fallback>
        </mc:AlternateContent>
      </w:r>
      <w:r w:rsidR="00275675" w:rsidRPr="00DA29B2">
        <w:rPr>
          <w:noProof/>
        </w:rPr>
        <w:drawing>
          <wp:inline distT="0" distB="0" distL="0" distR="0" wp14:anchorId="252F2B38" wp14:editId="196224C2">
            <wp:extent cx="2680985" cy="1389380"/>
            <wp:effectExtent l="0" t="0" r="508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869" t="37059" r="26777" b="13786"/>
                    <a:stretch/>
                  </pic:blipFill>
                  <pic:spPr bwMode="auto">
                    <a:xfrm>
                      <a:off x="0" y="0"/>
                      <a:ext cx="2699992" cy="1399230"/>
                    </a:xfrm>
                    <a:prstGeom prst="rect">
                      <a:avLst/>
                    </a:prstGeom>
                    <a:ln>
                      <a:noFill/>
                    </a:ln>
                    <a:extLst>
                      <a:ext uri="{53640926-AAD7-44D8-BBD7-CCE9431645EC}">
                        <a14:shadowObscured xmlns:a14="http://schemas.microsoft.com/office/drawing/2010/main"/>
                      </a:ext>
                    </a:extLst>
                  </pic:spPr>
                </pic:pic>
              </a:graphicData>
            </a:graphic>
          </wp:inline>
        </w:drawing>
      </w:r>
    </w:p>
    <w:p w14:paraId="0E46C917" w14:textId="78537B9E" w:rsidR="00275675" w:rsidRPr="00DA29B2" w:rsidRDefault="00275675" w:rsidP="00466BD8">
      <w:pPr>
        <w:spacing w:after="0" w:line="240" w:lineRule="auto"/>
        <w:jc w:val="center"/>
      </w:pPr>
    </w:p>
    <w:p w14:paraId="313F9A05" w14:textId="064FA1CB" w:rsidR="0093004E" w:rsidRPr="00DA29B2" w:rsidRDefault="0093004E" w:rsidP="00466BD8">
      <w:pPr>
        <w:spacing w:after="0" w:line="240" w:lineRule="auto"/>
        <w:jc w:val="center"/>
      </w:pPr>
      <w:r w:rsidRPr="00DA29B2">
        <w:rPr>
          <w:noProof/>
        </w:rPr>
        <mc:AlternateContent>
          <mc:Choice Requires="wps">
            <w:drawing>
              <wp:anchor distT="0" distB="0" distL="114300" distR="114300" simplePos="0" relativeHeight="251661312" behindDoc="0" locked="0" layoutInCell="1" allowOverlap="1" wp14:anchorId="3CB281F8" wp14:editId="135D57C6">
                <wp:simplePos x="0" y="0"/>
                <wp:positionH relativeFrom="column">
                  <wp:posOffset>2965450</wp:posOffset>
                </wp:positionH>
                <wp:positionV relativeFrom="paragraph">
                  <wp:posOffset>116205</wp:posOffset>
                </wp:positionV>
                <wp:extent cx="95250" cy="177800"/>
                <wp:effectExtent l="0" t="0" r="19050" b="31750"/>
                <wp:wrapNone/>
                <wp:docPr id="3" name="Straight Connector 3"/>
                <wp:cNvGraphicFramePr/>
                <a:graphic xmlns:a="http://schemas.openxmlformats.org/drawingml/2006/main">
                  <a:graphicData uri="http://schemas.microsoft.com/office/word/2010/wordprocessingShape">
                    <wps:wsp>
                      <wps:cNvCnPr/>
                      <wps:spPr>
                        <a:xfrm flipH="1">
                          <a:off x="0" y="0"/>
                          <a:ext cx="95250" cy="177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7F9DEBF" id="Straight Connector 3"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5pt,9.15pt" to="241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" strokecolor="#4472c4 [3204]" strokeweight=".5pt">
                <v:stroke joinstyle="miter"/>
              </v:line>
            </w:pict>
          </mc:Fallback>
        </mc:AlternateContent>
      </w:r>
      <w:r w:rsidRPr="00DA29B2">
        <w:rPr>
          <w:noProof/>
        </w:rPr>
        <w:drawing>
          <wp:inline distT="0" distB="0" distL="0" distR="0" wp14:anchorId="3A9F6DCE" wp14:editId="47582AB0">
            <wp:extent cx="2292824" cy="8598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2124" t="29386" r="2864" b="10609"/>
                    <a:stretch/>
                  </pic:blipFill>
                  <pic:spPr bwMode="auto">
                    <a:xfrm>
                      <a:off x="0" y="0"/>
                      <a:ext cx="2309969" cy="866237"/>
                    </a:xfrm>
                    <a:prstGeom prst="rect">
                      <a:avLst/>
                    </a:prstGeom>
                    <a:ln>
                      <a:noFill/>
                    </a:ln>
                    <a:extLst>
                      <a:ext uri="{53640926-AAD7-44D8-BBD7-CCE9431645EC}">
                        <a14:shadowObscured xmlns:a14="http://schemas.microsoft.com/office/drawing/2010/main"/>
                      </a:ext>
                    </a:extLst>
                  </pic:spPr>
                </pic:pic>
              </a:graphicData>
            </a:graphic>
          </wp:inline>
        </w:drawing>
      </w:r>
    </w:p>
    <w:p w14:paraId="070882BE" w14:textId="334A56DE" w:rsidR="00275675" w:rsidRPr="00DA29B2" w:rsidRDefault="00275675" w:rsidP="00466BD8">
      <w:pPr>
        <w:spacing w:after="0" w:line="240" w:lineRule="auto"/>
        <w:jc w:val="center"/>
      </w:pPr>
      <w:r w:rsidRPr="00DA29B2">
        <w:t xml:space="preserve">Figure 1: Chemical similarity between </w:t>
      </w:r>
      <w:r w:rsidR="00964864" w:rsidRPr="00DA29B2">
        <w:t xml:space="preserve">(A) </w:t>
      </w:r>
      <w:r w:rsidRPr="00DA29B2">
        <w:t xml:space="preserve">ubiquitin-target RGG^K isopeptide bond and </w:t>
      </w:r>
      <w:r w:rsidR="00964864" w:rsidRPr="00DA29B2">
        <w:t xml:space="preserve">(B) </w:t>
      </w:r>
      <w:r w:rsidRPr="00DA29B2">
        <w:t>RGG^G peptide bond.</w:t>
      </w:r>
    </w:p>
    <w:p w14:paraId="6C8C6047" w14:textId="493C61FA" w:rsidR="00275675" w:rsidRPr="00DA29B2" w:rsidRDefault="00A33504" w:rsidP="00466BD8">
      <w:pPr>
        <w:spacing w:after="0" w:line="240" w:lineRule="auto"/>
        <w:jc w:val="center"/>
      </w:pPr>
      <w:r w:rsidRPr="00DA29B2">
        <w:rPr>
          <w:noProof/>
        </w:rPr>
        <w:drawing>
          <wp:inline distT="0" distB="0" distL="0" distR="0" wp14:anchorId="57FD8ABA" wp14:editId="38A1ABFD">
            <wp:extent cx="2223605" cy="2999079"/>
            <wp:effectExtent l="0" t="0" r="5715" b="0"/>
            <wp:docPr id="4" name="Picture 4" descr="C:\Users\TEMP\Documents\TEMP_13Aug21\Human proteome\PLpro\7.2 Prescott_PLpro_02Oct21_fig2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MP\Documents\TEMP_13Aug21\Human proteome\PLpro\7.2 Prescott_PLpro_02Oct21_fig2a.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39831" cy="3020964"/>
                    </a:xfrm>
                    <a:prstGeom prst="rect">
                      <a:avLst/>
                    </a:prstGeom>
                    <a:noFill/>
                    <a:ln>
                      <a:noFill/>
                    </a:ln>
                  </pic:spPr>
                </pic:pic>
              </a:graphicData>
            </a:graphic>
          </wp:inline>
        </w:drawing>
      </w:r>
      <w:r w:rsidRPr="00DA29B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56077C" w:rsidRPr="00DA29B2">
        <w:rPr>
          <w:noProof/>
        </w:rPr>
        <w:drawing>
          <wp:inline distT="0" distB="0" distL="0" distR="0" wp14:anchorId="16994C38" wp14:editId="2980E721">
            <wp:extent cx="2077720" cy="301324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a:stretch>
                      <a:fillRect/>
                    </a:stretch>
                  </pic:blipFill>
                  <pic:spPr>
                    <a:xfrm>
                      <a:off x="0" y="0"/>
                      <a:ext cx="2083295" cy="3021325"/>
                    </a:xfrm>
                    <a:prstGeom prst="rect">
                      <a:avLst/>
                    </a:prstGeom>
                  </pic:spPr>
                </pic:pic>
              </a:graphicData>
            </a:graphic>
          </wp:inline>
        </w:drawing>
      </w:r>
    </w:p>
    <w:p w14:paraId="605678E7" w14:textId="2CC60FFC" w:rsidR="00275675" w:rsidRPr="00DA29B2" w:rsidRDefault="00275675" w:rsidP="00466BD8">
      <w:pPr>
        <w:spacing w:after="0" w:line="240" w:lineRule="auto"/>
        <w:jc w:val="center"/>
      </w:pPr>
      <w:r w:rsidRPr="00DA29B2">
        <w:t>Figure 2: (A) Sequence logos for the three cleavage sites in coronaviruses[</w:t>
      </w:r>
      <w:r w:rsidR="00FA59C5" w:rsidRPr="00DA29B2">
        <w:t>3</w:t>
      </w:r>
      <w:r w:rsidR="00CF76AF">
        <w:t>2</w:t>
      </w:r>
      <w:r w:rsidRPr="00DA29B2">
        <w:t>] and (B) one-hot encoded t-SNE colored by order and (C) by genus.[</w:t>
      </w:r>
      <w:r w:rsidR="00FA59C5" w:rsidRPr="00DA29B2">
        <w:t>3</w:t>
      </w:r>
      <w:r w:rsidR="00CF76AF">
        <w:t>3</w:t>
      </w:r>
      <w:r w:rsidRPr="00DA29B2">
        <w:t>]</w:t>
      </w:r>
    </w:p>
    <w:p w14:paraId="1E97FC5F" w14:textId="47B28551" w:rsidR="00715F99" w:rsidRPr="00DA29B2" w:rsidRDefault="00715F99" w:rsidP="00466BD8">
      <w:pPr>
        <w:spacing w:after="0" w:line="240" w:lineRule="auto"/>
      </w:pPr>
    </w:p>
    <w:p w14:paraId="0EC41B25" w14:textId="4F7B0CFE" w:rsidR="00275675" w:rsidRPr="00DA29B2" w:rsidRDefault="00275675" w:rsidP="00466BD8">
      <w:pPr>
        <w:spacing w:after="0" w:line="240" w:lineRule="auto"/>
        <w:ind w:firstLine="720"/>
      </w:pPr>
      <w:r w:rsidRPr="00DA29B2">
        <w:t xml:space="preserve">With no easy way to prove functionality or activity of divergent papain-like domains and therefore the suitability of distant cleavages to be included into a single, unweighted dataset, machine learning models were trained on three different taxonomic ranks of data (all </w:t>
      </w:r>
      <w:r w:rsidRPr="00DA29B2">
        <w:rPr>
          <w:i/>
          <w:iCs/>
        </w:rPr>
        <w:t>Coronaviridae</w:t>
      </w:r>
      <w:r w:rsidRPr="00DA29B2">
        <w:t xml:space="preserve">, only </w:t>
      </w:r>
      <w:r w:rsidRPr="00DA29B2">
        <w:rPr>
          <w:i/>
          <w:iCs/>
        </w:rPr>
        <w:t>Betacoronavirus</w:t>
      </w:r>
      <w:r w:rsidRPr="00DA29B2">
        <w:t xml:space="preserve">, and only </w:t>
      </w:r>
      <w:r w:rsidRPr="00DA29B2">
        <w:rPr>
          <w:i/>
          <w:iCs/>
        </w:rPr>
        <w:t>Sarbecovirus</w:t>
      </w:r>
      <w:r w:rsidRPr="00DA29B2">
        <w:t xml:space="preserve">). Predicting sequence-dependent kinetic rates would be even more difficult than this classification given that </w:t>
      </w:r>
      <w:r w:rsidR="006A2494" w:rsidRPr="00DA29B2">
        <w:t>swine acute diarrhea syndrome coronavirus (SADS-CoV) PLpro catalytic efficiency varies by two orders of magnitude depending of substrate</w:t>
      </w:r>
      <w:r w:rsidR="00DA3C4A" w:rsidRPr="00DA29B2">
        <w:t>[</w:t>
      </w:r>
      <w:r w:rsidR="00FA59C5" w:rsidRPr="00DA29B2">
        <w:t>3</w:t>
      </w:r>
      <w:r w:rsidR="00CF76AF">
        <w:t>4</w:t>
      </w:r>
      <w:r w:rsidR="00DA3C4A" w:rsidRPr="00DA29B2">
        <w:t>]</w:t>
      </w:r>
      <w:r w:rsidR="006A2494" w:rsidRPr="00DA29B2">
        <w:t xml:space="preserve"> </w:t>
      </w:r>
      <w:r w:rsidR="00DA3C4A" w:rsidRPr="00DA29B2">
        <w:t>and also given that</w:t>
      </w:r>
      <w:r w:rsidR="006A2494" w:rsidRPr="00DA29B2">
        <w:t xml:space="preserve"> </w:t>
      </w:r>
      <w:r w:rsidRPr="00DA29B2">
        <w:t>SARS-CoV-1 and -2 PLpro share 83% identity yet are known to preferentially cleave ubiquitin vs ISG15, respectively.[</w:t>
      </w:r>
      <w:r w:rsidR="00005E87" w:rsidRPr="00DA29B2">
        <w:t>3</w:t>
      </w:r>
      <w:r w:rsidR="00CF76AF">
        <w:t>5</w:t>
      </w:r>
      <w:r w:rsidRPr="00DA29B2">
        <w:t xml:space="preserve">] </w:t>
      </w:r>
      <w:r w:rsidR="00AB5FB7" w:rsidRPr="00DA29B2">
        <w:t>Preference</w:t>
      </w:r>
      <w:r w:rsidR="00A94254">
        <w:t>s</w:t>
      </w:r>
      <w:r w:rsidR="00AB5FB7" w:rsidRPr="00DA29B2">
        <w:t xml:space="preserve"> for</w:t>
      </w:r>
      <w:r w:rsidR="00257709" w:rsidRPr="00DA29B2">
        <w:t xml:space="preserve"> isopeptidase over peptidase activity,[</w:t>
      </w:r>
      <w:r w:rsidR="00FA59C5" w:rsidRPr="00DA29B2">
        <w:t>3</w:t>
      </w:r>
      <w:r w:rsidR="00CF76AF">
        <w:t>6</w:t>
      </w:r>
      <w:r w:rsidR="00257709" w:rsidRPr="00DA29B2">
        <w:t>]</w:t>
      </w:r>
      <w:r w:rsidR="00AB5FB7" w:rsidRPr="00DA29B2">
        <w:t xml:space="preserve"> polyubiquitin chains </w:t>
      </w:r>
      <w:r w:rsidR="00AB5FB7" w:rsidRPr="00DA29B2">
        <w:lastRenderedPageBreak/>
        <w:t>over ISG15 or monoubiquitin</w:t>
      </w:r>
      <w:r w:rsidR="00C94800" w:rsidRPr="00DA29B2">
        <w:t>,</w:t>
      </w:r>
      <w:r w:rsidR="00375C48" w:rsidRPr="00DA29B2">
        <w:t>[</w:t>
      </w:r>
      <w:r w:rsidR="00DA3C4A" w:rsidRPr="00DA29B2">
        <w:t>3</w:t>
      </w:r>
      <w:r w:rsidR="00CF76AF">
        <w:t>7</w:t>
      </w:r>
      <w:r w:rsidR="00375C48" w:rsidRPr="00DA29B2">
        <w:t>]</w:t>
      </w:r>
      <w:r w:rsidR="00257709" w:rsidRPr="00DA29B2">
        <w:t xml:space="preserve"> and </w:t>
      </w:r>
      <w:r w:rsidR="00375C48" w:rsidRPr="00DA29B2">
        <w:t xml:space="preserve">K48 over </w:t>
      </w:r>
      <w:r w:rsidR="006A2494" w:rsidRPr="00DA29B2">
        <w:t>K63 ubiquitin linkages[</w:t>
      </w:r>
      <w:r w:rsidR="00DA3C4A" w:rsidRPr="00DA29B2">
        <w:t>3</w:t>
      </w:r>
      <w:r w:rsidR="00CF76AF">
        <w:t>8</w:t>
      </w:r>
      <w:r w:rsidR="006A2494" w:rsidRPr="00DA29B2">
        <w:t>]</w:t>
      </w:r>
      <w:r w:rsidR="00257709" w:rsidRPr="00DA29B2">
        <w:t xml:space="preserve"> </w:t>
      </w:r>
      <w:r w:rsidR="00A94254">
        <w:t>also vary</w:t>
      </w:r>
      <w:r w:rsidR="00AB5FB7" w:rsidRPr="00DA29B2">
        <w:t xml:space="preserve"> between viral lineages.</w:t>
      </w:r>
      <w:r w:rsidR="00164541" w:rsidRPr="00DA29B2">
        <w:t>[</w:t>
      </w:r>
      <w:r w:rsidR="00FA59C5" w:rsidRPr="00DA29B2">
        <w:t>3</w:t>
      </w:r>
      <w:r w:rsidR="00CF76AF">
        <w:t>9</w:t>
      </w:r>
      <w:r w:rsidR="00FA59C5" w:rsidRPr="00DA29B2">
        <w:t xml:space="preserve">, </w:t>
      </w:r>
      <w:r w:rsidR="00CF76AF">
        <w:t>40</w:t>
      </w:r>
      <w:r w:rsidR="00A37E5E" w:rsidRPr="00DA29B2">
        <w:t>]</w:t>
      </w:r>
      <w:r w:rsidR="00AB5FB7" w:rsidRPr="00DA29B2">
        <w:t xml:space="preserve"> </w:t>
      </w:r>
      <w:r w:rsidR="00233CA4" w:rsidRPr="00DA29B2">
        <w:t xml:space="preserve">The distantly related foot-and-mouth disease virus (FMDV) leader protease even has </w:t>
      </w:r>
      <w:r w:rsidR="007277D5" w:rsidRPr="00DA29B2">
        <w:t>irreversible deISGylating activity by leaving ISG15’s C-terminal diglycine on its target lysine.[</w:t>
      </w:r>
      <w:r w:rsidR="00CF76AF">
        <w:t>41</w:t>
      </w:r>
      <w:r w:rsidR="007277D5" w:rsidRPr="00DA29B2">
        <w:t>]</w:t>
      </w:r>
      <w:r w:rsidR="00233CA4" w:rsidRPr="00DA29B2">
        <w:t xml:space="preserve"> </w:t>
      </w:r>
      <w:r w:rsidR="00364F92">
        <w:t>It i</w:t>
      </w:r>
      <w:r w:rsidR="00C5410D">
        <w:t>s fair to assume, however, that cleavages predicted by all</w:t>
      </w:r>
      <w:r w:rsidR="00364F92">
        <w:t xml:space="preserve"> three </w:t>
      </w:r>
      <w:r w:rsidR="00C5410D">
        <w:t xml:space="preserve">sets of </w:t>
      </w:r>
      <w:r w:rsidR="00364F92">
        <w:t>models</w:t>
      </w:r>
      <w:r w:rsidR="00C5410D">
        <w:t xml:space="preserve"> can occur in </w:t>
      </w:r>
      <w:r w:rsidR="00D31E1E">
        <w:t>many</w:t>
      </w:r>
      <w:r w:rsidR="00C5410D">
        <w:t xml:space="preserve"> infections no matter </w:t>
      </w:r>
      <w:r w:rsidR="00733169">
        <w:t xml:space="preserve">viral </w:t>
      </w:r>
      <w:r w:rsidR="00C5410D">
        <w:t>lineage</w:t>
      </w:r>
      <w:r w:rsidR="00364F92">
        <w:t xml:space="preserve">. </w:t>
      </w:r>
      <w:r w:rsidRPr="00DA29B2">
        <w:t xml:space="preserve">The size and imbalances of these final datasets </w:t>
      </w:r>
      <w:r w:rsidR="009C46F9" w:rsidRPr="00DA29B2">
        <w:t>are</w:t>
      </w:r>
      <w:r w:rsidRPr="00DA29B2">
        <w:t xml:space="preserve"> listed in Table 1. The greater diversity in the higher taxonomic datasets caused many more random sequences and human proteins to be predicted to be cleaved, however enrichment/depletion analysis proved robust against this.</w:t>
      </w:r>
    </w:p>
    <w:p w14:paraId="1452139D" w14:textId="77777777" w:rsidR="00275675" w:rsidRPr="00DA29B2" w:rsidRDefault="00275675" w:rsidP="00466BD8">
      <w:pPr>
        <w:spacing w:after="0" w:line="240" w:lineRule="auto"/>
      </w:pPr>
    </w:p>
    <w:p w14:paraId="2BC73837" w14:textId="622D8754" w:rsidR="00275675" w:rsidRPr="00DA29B2" w:rsidRDefault="00275675" w:rsidP="00466BD8">
      <w:pPr>
        <w:spacing w:after="0" w:line="240" w:lineRule="auto"/>
        <w:jc w:val="center"/>
      </w:pPr>
      <w:r w:rsidRPr="00DA29B2">
        <w:t xml:space="preserve">Table 1: Size and imbalance of the three datasets used to train machine learning models and the results of the final </w:t>
      </w:r>
      <w:r w:rsidR="007A65C2" w:rsidRPr="00DA29B2">
        <w:t>NN</w:t>
      </w:r>
      <w:r w:rsidRPr="00DA29B2">
        <w:t>.</w:t>
      </w:r>
    </w:p>
    <w:tbl>
      <w:tblPr>
        <w:tblStyle w:val="TableGrid"/>
        <w:tblW w:w="0" w:type="auto"/>
        <w:tblLook w:val="04A0" w:firstRow="1" w:lastRow="0" w:firstColumn="1" w:lastColumn="0" w:noHBand="0" w:noVBand="1"/>
      </w:tblPr>
      <w:tblGrid>
        <w:gridCol w:w="2875"/>
        <w:gridCol w:w="1980"/>
        <w:gridCol w:w="2157"/>
        <w:gridCol w:w="2338"/>
      </w:tblGrid>
      <w:tr w:rsidR="00275675" w:rsidRPr="00DA29B2" w14:paraId="5C656015" w14:textId="77777777" w:rsidTr="00164541">
        <w:tc>
          <w:tcPr>
            <w:tcW w:w="2875" w:type="dxa"/>
          </w:tcPr>
          <w:p w14:paraId="14C46914" w14:textId="77777777" w:rsidR="00275675" w:rsidRPr="00DA29B2" w:rsidRDefault="00275675" w:rsidP="00466BD8">
            <w:r w:rsidRPr="00DA29B2">
              <w:t>Rank</w:t>
            </w:r>
          </w:p>
        </w:tc>
        <w:tc>
          <w:tcPr>
            <w:tcW w:w="1980" w:type="dxa"/>
          </w:tcPr>
          <w:p w14:paraId="4DFFE89A" w14:textId="77777777" w:rsidR="00275675" w:rsidRPr="00DA29B2" w:rsidRDefault="00275675" w:rsidP="00466BD8">
            <w:pPr>
              <w:rPr>
                <w:i/>
                <w:iCs/>
              </w:rPr>
            </w:pPr>
            <w:r w:rsidRPr="00DA29B2">
              <w:rPr>
                <w:i/>
                <w:iCs/>
              </w:rPr>
              <w:t>Coronaviridae</w:t>
            </w:r>
          </w:p>
        </w:tc>
        <w:tc>
          <w:tcPr>
            <w:tcW w:w="2157" w:type="dxa"/>
          </w:tcPr>
          <w:p w14:paraId="6D8B2898" w14:textId="77777777" w:rsidR="00275675" w:rsidRPr="00DA29B2" w:rsidRDefault="00275675" w:rsidP="00466BD8">
            <w:pPr>
              <w:rPr>
                <w:i/>
                <w:iCs/>
              </w:rPr>
            </w:pPr>
            <w:r w:rsidRPr="00DA29B2">
              <w:rPr>
                <w:i/>
                <w:iCs/>
              </w:rPr>
              <w:t>Betacoronavirus</w:t>
            </w:r>
          </w:p>
        </w:tc>
        <w:tc>
          <w:tcPr>
            <w:tcW w:w="2338" w:type="dxa"/>
          </w:tcPr>
          <w:p w14:paraId="0EA14875" w14:textId="77777777" w:rsidR="00275675" w:rsidRPr="00DA29B2" w:rsidRDefault="00275675" w:rsidP="00466BD8">
            <w:pPr>
              <w:rPr>
                <w:i/>
                <w:iCs/>
              </w:rPr>
            </w:pPr>
            <w:r w:rsidRPr="00DA29B2">
              <w:rPr>
                <w:i/>
                <w:iCs/>
              </w:rPr>
              <w:t>Sarbecovirus</w:t>
            </w:r>
          </w:p>
        </w:tc>
      </w:tr>
      <w:tr w:rsidR="00275675" w:rsidRPr="00DA29B2" w14:paraId="577A413D" w14:textId="77777777" w:rsidTr="00164541">
        <w:tc>
          <w:tcPr>
            <w:tcW w:w="2875" w:type="dxa"/>
          </w:tcPr>
          <w:p w14:paraId="3823EC95" w14:textId="679DB878" w:rsidR="00275675" w:rsidRPr="00DA29B2" w:rsidRDefault="00181669" w:rsidP="00466BD8">
            <w:r w:rsidRPr="00DA29B2">
              <w:t>nsp1/2 cleavages</w:t>
            </w:r>
          </w:p>
        </w:tc>
        <w:tc>
          <w:tcPr>
            <w:tcW w:w="1980" w:type="dxa"/>
          </w:tcPr>
          <w:p w14:paraId="5537D9A2" w14:textId="77777777" w:rsidR="00275675" w:rsidRPr="00DA29B2" w:rsidRDefault="00275675" w:rsidP="00466BD8">
            <w:r w:rsidRPr="00DA29B2">
              <w:t>133</w:t>
            </w:r>
          </w:p>
        </w:tc>
        <w:tc>
          <w:tcPr>
            <w:tcW w:w="2157" w:type="dxa"/>
          </w:tcPr>
          <w:p w14:paraId="5AA4FCF5" w14:textId="77777777" w:rsidR="00275675" w:rsidRPr="00DA29B2" w:rsidRDefault="00275675" w:rsidP="00466BD8">
            <w:r w:rsidRPr="00DA29B2">
              <w:t>49</w:t>
            </w:r>
          </w:p>
        </w:tc>
        <w:tc>
          <w:tcPr>
            <w:tcW w:w="2338" w:type="dxa"/>
          </w:tcPr>
          <w:p w14:paraId="06892C6F" w14:textId="77777777" w:rsidR="00275675" w:rsidRPr="00DA29B2" w:rsidRDefault="00275675" w:rsidP="00466BD8">
            <w:r w:rsidRPr="00DA29B2">
              <w:t>16</w:t>
            </w:r>
          </w:p>
        </w:tc>
      </w:tr>
      <w:tr w:rsidR="00275675" w:rsidRPr="00DA29B2" w14:paraId="53BA7977" w14:textId="77777777" w:rsidTr="00164541">
        <w:tc>
          <w:tcPr>
            <w:tcW w:w="2875" w:type="dxa"/>
          </w:tcPr>
          <w:p w14:paraId="0825B3BB" w14:textId="0BA4605D" w:rsidR="00275675" w:rsidRPr="00DA29B2" w:rsidRDefault="00181669" w:rsidP="00466BD8">
            <w:r w:rsidRPr="00DA29B2">
              <w:t>nsp2/3 cleavages</w:t>
            </w:r>
          </w:p>
        </w:tc>
        <w:tc>
          <w:tcPr>
            <w:tcW w:w="1980" w:type="dxa"/>
          </w:tcPr>
          <w:p w14:paraId="296CB5FF" w14:textId="77777777" w:rsidR="00275675" w:rsidRPr="00DA29B2" w:rsidRDefault="00275675" w:rsidP="00466BD8">
            <w:r w:rsidRPr="00DA29B2">
              <w:t>153</w:t>
            </w:r>
          </w:p>
        </w:tc>
        <w:tc>
          <w:tcPr>
            <w:tcW w:w="2157" w:type="dxa"/>
          </w:tcPr>
          <w:p w14:paraId="4A8EBFCB" w14:textId="77777777" w:rsidR="00275675" w:rsidRPr="00DA29B2" w:rsidRDefault="00275675" w:rsidP="00466BD8">
            <w:r w:rsidRPr="00DA29B2">
              <w:t>60</w:t>
            </w:r>
          </w:p>
        </w:tc>
        <w:tc>
          <w:tcPr>
            <w:tcW w:w="2338" w:type="dxa"/>
          </w:tcPr>
          <w:p w14:paraId="6160A583" w14:textId="77777777" w:rsidR="00275675" w:rsidRPr="00DA29B2" w:rsidRDefault="00275675" w:rsidP="00466BD8">
            <w:r w:rsidRPr="00DA29B2">
              <w:t>23</w:t>
            </w:r>
          </w:p>
        </w:tc>
      </w:tr>
      <w:tr w:rsidR="00275675" w:rsidRPr="00DA29B2" w14:paraId="1ED89890" w14:textId="77777777" w:rsidTr="00164541">
        <w:tc>
          <w:tcPr>
            <w:tcW w:w="2875" w:type="dxa"/>
          </w:tcPr>
          <w:p w14:paraId="33D2B322" w14:textId="13ECB413" w:rsidR="00275675" w:rsidRPr="00DA29B2" w:rsidRDefault="00181669" w:rsidP="00466BD8">
            <w:r w:rsidRPr="00DA29B2">
              <w:t>nsp3/4 cleavages</w:t>
            </w:r>
          </w:p>
        </w:tc>
        <w:tc>
          <w:tcPr>
            <w:tcW w:w="1980" w:type="dxa"/>
          </w:tcPr>
          <w:p w14:paraId="352EDE38" w14:textId="77777777" w:rsidR="00275675" w:rsidRPr="00DA29B2" w:rsidRDefault="00275675" w:rsidP="00466BD8">
            <w:r w:rsidRPr="00DA29B2">
              <w:t>177</w:t>
            </w:r>
          </w:p>
        </w:tc>
        <w:tc>
          <w:tcPr>
            <w:tcW w:w="2157" w:type="dxa"/>
          </w:tcPr>
          <w:p w14:paraId="620FCD07" w14:textId="77777777" w:rsidR="00275675" w:rsidRPr="00DA29B2" w:rsidRDefault="00275675" w:rsidP="00466BD8">
            <w:r w:rsidRPr="00DA29B2">
              <w:t>46</w:t>
            </w:r>
          </w:p>
        </w:tc>
        <w:tc>
          <w:tcPr>
            <w:tcW w:w="2338" w:type="dxa"/>
          </w:tcPr>
          <w:p w14:paraId="133978B6" w14:textId="77777777" w:rsidR="00275675" w:rsidRPr="00DA29B2" w:rsidRDefault="00275675" w:rsidP="00466BD8">
            <w:r w:rsidRPr="00DA29B2">
              <w:t>13</w:t>
            </w:r>
          </w:p>
        </w:tc>
      </w:tr>
      <w:tr w:rsidR="00275675" w:rsidRPr="00DA29B2" w14:paraId="2DC980F4" w14:textId="77777777" w:rsidTr="00164541">
        <w:tc>
          <w:tcPr>
            <w:tcW w:w="2875" w:type="dxa"/>
          </w:tcPr>
          <w:p w14:paraId="766199DC" w14:textId="77777777" w:rsidR="00275675" w:rsidRPr="00DA29B2" w:rsidRDefault="00275675" w:rsidP="00466BD8">
            <w:r w:rsidRPr="00DA29B2">
              <w:t>Total cleaved</w:t>
            </w:r>
          </w:p>
        </w:tc>
        <w:tc>
          <w:tcPr>
            <w:tcW w:w="1980" w:type="dxa"/>
          </w:tcPr>
          <w:p w14:paraId="19588D0D" w14:textId="77777777" w:rsidR="00275675" w:rsidRPr="00DA29B2" w:rsidRDefault="00275675" w:rsidP="00466BD8">
            <w:r w:rsidRPr="00DA29B2">
              <w:t>463</w:t>
            </w:r>
          </w:p>
        </w:tc>
        <w:tc>
          <w:tcPr>
            <w:tcW w:w="2157" w:type="dxa"/>
          </w:tcPr>
          <w:p w14:paraId="7527F693" w14:textId="77777777" w:rsidR="00275675" w:rsidRPr="00DA29B2" w:rsidRDefault="00275675" w:rsidP="00466BD8">
            <w:r w:rsidRPr="00DA29B2">
              <w:t>155</w:t>
            </w:r>
          </w:p>
        </w:tc>
        <w:tc>
          <w:tcPr>
            <w:tcW w:w="2338" w:type="dxa"/>
          </w:tcPr>
          <w:p w14:paraId="192B50DA" w14:textId="77777777" w:rsidR="00275675" w:rsidRPr="00DA29B2" w:rsidRDefault="00275675" w:rsidP="00466BD8">
            <w:r w:rsidRPr="00DA29B2">
              <w:t>52</w:t>
            </w:r>
          </w:p>
        </w:tc>
      </w:tr>
      <w:tr w:rsidR="00275675" w:rsidRPr="00DA29B2" w14:paraId="147D7F6A" w14:textId="77777777" w:rsidTr="00164541">
        <w:tc>
          <w:tcPr>
            <w:tcW w:w="2875" w:type="dxa"/>
          </w:tcPr>
          <w:p w14:paraId="2664EE9A" w14:textId="77777777" w:rsidR="00275675" w:rsidRPr="00DA29B2" w:rsidRDefault="00275675" w:rsidP="00466BD8">
            <w:r w:rsidRPr="00DA29B2">
              <w:t>Total uncleaved</w:t>
            </w:r>
          </w:p>
        </w:tc>
        <w:tc>
          <w:tcPr>
            <w:tcW w:w="1980" w:type="dxa"/>
          </w:tcPr>
          <w:p w14:paraId="09225B3F" w14:textId="77777777" w:rsidR="00275675" w:rsidRPr="00DA29B2" w:rsidRDefault="00275675" w:rsidP="00466BD8">
            <w:r w:rsidRPr="00DA29B2">
              <w:t>33185</w:t>
            </w:r>
          </w:p>
        </w:tc>
        <w:tc>
          <w:tcPr>
            <w:tcW w:w="2157" w:type="dxa"/>
          </w:tcPr>
          <w:p w14:paraId="06133670" w14:textId="77777777" w:rsidR="00275675" w:rsidRPr="00DA29B2" w:rsidRDefault="00275675" w:rsidP="00466BD8">
            <w:r w:rsidRPr="00DA29B2">
              <w:t>10013</w:t>
            </w:r>
          </w:p>
        </w:tc>
        <w:tc>
          <w:tcPr>
            <w:tcW w:w="2338" w:type="dxa"/>
          </w:tcPr>
          <w:p w14:paraId="2A1C2328" w14:textId="77777777" w:rsidR="00275675" w:rsidRPr="00DA29B2" w:rsidRDefault="00275675" w:rsidP="00466BD8">
            <w:r w:rsidRPr="00DA29B2">
              <w:t>2742</w:t>
            </w:r>
          </w:p>
        </w:tc>
      </w:tr>
      <w:tr w:rsidR="00275675" w:rsidRPr="00DA29B2" w14:paraId="5F5FC8E1" w14:textId="77777777" w:rsidTr="00164541">
        <w:tc>
          <w:tcPr>
            <w:tcW w:w="2875" w:type="dxa"/>
          </w:tcPr>
          <w:p w14:paraId="2D8DBCBB" w14:textId="77777777" w:rsidR="00275675" w:rsidRPr="00DA29B2" w:rsidRDefault="00275675" w:rsidP="00466BD8">
            <w:r w:rsidRPr="00DA29B2">
              <w:t>% Cleaved</w:t>
            </w:r>
          </w:p>
        </w:tc>
        <w:tc>
          <w:tcPr>
            <w:tcW w:w="1980" w:type="dxa"/>
          </w:tcPr>
          <w:p w14:paraId="318E26C1" w14:textId="77777777" w:rsidR="00275675" w:rsidRPr="00DA29B2" w:rsidRDefault="00275675" w:rsidP="00466BD8">
            <w:r w:rsidRPr="00DA29B2">
              <w:t>1.38%</w:t>
            </w:r>
          </w:p>
        </w:tc>
        <w:tc>
          <w:tcPr>
            <w:tcW w:w="2157" w:type="dxa"/>
          </w:tcPr>
          <w:p w14:paraId="35718544" w14:textId="77777777" w:rsidR="00275675" w:rsidRPr="00DA29B2" w:rsidRDefault="00275675" w:rsidP="00466BD8">
            <w:r w:rsidRPr="00DA29B2">
              <w:t>1.52%</w:t>
            </w:r>
          </w:p>
        </w:tc>
        <w:tc>
          <w:tcPr>
            <w:tcW w:w="2338" w:type="dxa"/>
          </w:tcPr>
          <w:p w14:paraId="5F1262A9" w14:textId="77777777" w:rsidR="00275675" w:rsidRPr="00DA29B2" w:rsidRDefault="00275675" w:rsidP="00466BD8">
            <w:r w:rsidRPr="00DA29B2">
              <w:t>1.86%</w:t>
            </w:r>
          </w:p>
        </w:tc>
      </w:tr>
      <w:tr w:rsidR="00275675" w:rsidRPr="00DA29B2" w14:paraId="4D2FA162" w14:textId="77777777" w:rsidTr="00164541">
        <w:tc>
          <w:tcPr>
            <w:tcW w:w="2875" w:type="dxa"/>
          </w:tcPr>
          <w:p w14:paraId="78AA579F" w14:textId="77777777" w:rsidR="00275675" w:rsidRPr="00DA29B2" w:rsidRDefault="00275675" w:rsidP="00466BD8">
            <w:r w:rsidRPr="00DA29B2">
              <w:t>Single network 20% test MCC</w:t>
            </w:r>
          </w:p>
        </w:tc>
        <w:tc>
          <w:tcPr>
            <w:tcW w:w="1980" w:type="dxa"/>
          </w:tcPr>
          <w:p w14:paraId="39F06094" w14:textId="77777777" w:rsidR="00275675" w:rsidRPr="00DA29B2" w:rsidRDefault="00275675" w:rsidP="00466BD8">
            <w:r w:rsidRPr="00DA29B2">
              <w:t>0.895</w:t>
            </w:r>
          </w:p>
        </w:tc>
        <w:tc>
          <w:tcPr>
            <w:tcW w:w="2157" w:type="dxa"/>
          </w:tcPr>
          <w:p w14:paraId="55B5E44F" w14:textId="77777777" w:rsidR="00275675" w:rsidRPr="00DA29B2" w:rsidRDefault="00275675" w:rsidP="00466BD8">
            <w:r w:rsidRPr="00DA29B2">
              <w:t>0.934</w:t>
            </w:r>
          </w:p>
        </w:tc>
        <w:tc>
          <w:tcPr>
            <w:tcW w:w="2338" w:type="dxa"/>
          </w:tcPr>
          <w:p w14:paraId="3E047CAC" w14:textId="77777777" w:rsidR="00275675" w:rsidRPr="00DA29B2" w:rsidRDefault="00275675" w:rsidP="00466BD8">
            <w:r w:rsidRPr="00DA29B2">
              <w:t>0.988</w:t>
            </w:r>
          </w:p>
        </w:tc>
      </w:tr>
      <w:tr w:rsidR="00275675" w:rsidRPr="00DA29B2" w14:paraId="3E29093F" w14:textId="77777777" w:rsidTr="00164541">
        <w:tc>
          <w:tcPr>
            <w:tcW w:w="2875" w:type="dxa"/>
          </w:tcPr>
          <w:p w14:paraId="374F10B5" w14:textId="77777777" w:rsidR="00275675" w:rsidRPr="00DA29B2" w:rsidRDefault="00275675" w:rsidP="00466BD8">
            <w:r w:rsidRPr="00DA29B2">
              <w:t>Ensemble 20% test MCC</w:t>
            </w:r>
          </w:p>
        </w:tc>
        <w:tc>
          <w:tcPr>
            <w:tcW w:w="1980" w:type="dxa"/>
          </w:tcPr>
          <w:p w14:paraId="6F40BD01" w14:textId="77777777" w:rsidR="00275675" w:rsidRPr="00DA29B2" w:rsidRDefault="00275675" w:rsidP="00466BD8">
            <w:r w:rsidRPr="00DA29B2">
              <w:t>0.900</w:t>
            </w:r>
          </w:p>
        </w:tc>
        <w:tc>
          <w:tcPr>
            <w:tcW w:w="2157" w:type="dxa"/>
          </w:tcPr>
          <w:p w14:paraId="219FB39F" w14:textId="77777777" w:rsidR="00275675" w:rsidRPr="00DA29B2" w:rsidRDefault="00275675" w:rsidP="00466BD8">
            <w:r w:rsidRPr="00DA29B2">
              <w:t>0.948</w:t>
            </w:r>
          </w:p>
        </w:tc>
        <w:tc>
          <w:tcPr>
            <w:tcW w:w="2338" w:type="dxa"/>
          </w:tcPr>
          <w:p w14:paraId="06BA8FBD" w14:textId="77777777" w:rsidR="00275675" w:rsidRPr="00DA29B2" w:rsidRDefault="00275675" w:rsidP="00466BD8">
            <w:r w:rsidRPr="00DA29B2">
              <w:t>0.966</w:t>
            </w:r>
          </w:p>
        </w:tc>
      </w:tr>
      <w:tr w:rsidR="00275675" w:rsidRPr="00DA29B2" w14:paraId="06EC7F4C" w14:textId="77777777" w:rsidTr="00164541">
        <w:tc>
          <w:tcPr>
            <w:tcW w:w="2875" w:type="dxa"/>
          </w:tcPr>
          <w:p w14:paraId="47548995" w14:textId="59034F83" w:rsidR="00275675" w:rsidRPr="00DA29B2" w:rsidRDefault="00275675" w:rsidP="00466BD8">
            <w:r w:rsidRPr="00DA29B2">
              <w:t xml:space="preserve">Random cleavage frequency </w:t>
            </w:r>
            <w:r w:rsidR="001569CC" w:rsidRPr="00DA29B2">
              <w:t>between</w:t>
            </w:r>
            <w:r w:rsidRPr="00DA29B2">
              <w:t xml:space="preserve"> 3 Gs or As</w:t>
            </w:r>
          </w:p>
        </w:tc>
        <w:tc>
          <w:tcPr>
            <w:tcW w:w="1980" w:type="dxa"/>
          </w:tcPr>
          <w:p w14:paraId="112EEEDA" w14:textId="77777777" w:rsidR="00275675" w:rsidRPr="00DA29B2" w:rsidRDefault="00275675" w:rsidP="00466BD8">
            <w:r w:rsidRPr="00DA29B2">
              <w:t>2.00%</w:t>
            </w:r>
          </w:p>
        </w:tc>
        <w:tc>
          <w:tcPr>
            <w:tcW w:w="2157" w:type="dxa"/>
          </w:tcPr>
          <w:p w14:paraId="508DCCE1" w14:textId="77777777" w:rsidR="00275675" w:rsidRPr="00DA29B2" w:rsidRDefault="00275675" w:rsidP="00466BD8">
            <w:r w:rsidRPr="00DA29B2">
              <w:t>0.54%</w:t>
            </w:r>
          </w:p>
        </w:tc>
        <w:tc>
          <w:tcPr>
            <w:tcW w:w="2338" w:type="dxa"/>
          </w:tcPr>
          <w:p w14:paraId="6AF9A99B" w14:textId="77777777" w:rsidR="00275675" w:rsidRPr="00DA29B2" w:rsidRDefault="00275675" w:rsidP="00466BD8">
            <w:r w:rsidRPr="00DA29B2">
              <w:t>0.07%</w:t>
            </w:r>
          </w:p>
        </w:tc>
      </w:tr>
      <w:tr w:rsidR="00275675" w:rsidRPr="00DA29B2" w14:paraId="24764AE2" w14:textId="77777777" w:rsidTr="00164541">
        <w:tc>
          <w:tcPr>
            <w:tcW w:w="2875" w:type="dxa"/>
          </w:tcPr>
          <w:p w14:paraId="39DC2DF3" w14:textId="7050B050" w:rsidR="00275675" w:rsidRPr="00DA29B2" w:rsidRDefault="00275675" w:rsidP="00466BD8">
            <w:r w:rsidRPr="00DA29B2">
              <w:t xml:space="preserve">Random cleavage frequency </w:t>
            </w:r>
            <w:r w:rsidR="001569CC" w:rsidRPr="00DA29B2">
              <w:t>between</w:t>
            </w:r>
            <w:r w:rsidRPr="00DA29B2">
              <w:t xml:space="preserve"> </w:t>
            </w:r>
            <w:r w:rsidRPr="00DA29B2">
              <w:rPr>
                <w:rFonts w:cstheme="minorHAnsi"/>
              </w:rPr>
              <w:t>≥</w:t>
            </w:r>
            <w:r w:rsidRPr="00DA29B2">
              <w:t>2 Gs or As</w:t>
            </w:r>
          </w:p>
        </w:tc>
        <w:tc>
          <w:tcPr>
            <w:tcW w:w="1980" w:type="dxa"/>
          </w:tcPr>
          <w:p w14:paraId="4EDB849D" w14:textId="77777777" w:rsidR="00275675" w:rsidRPr="00DA29B2" w:rsidRDefault="00275675" w:rsidP="00466BD8">
            <w:r w:rsidRPr="00DA29B2">
              <w:t>0.38%</w:t>
            </w:r>
          </w:p>
        </w:tc>
        <w:tc>
          <w:tcPr>
            <w:tcW w:w="2157" w:type="dxa"/>
          </w:tcPr>
          <w:p w14:paraId="567B63DC" w14:textId="77777777" w:rsidR="00275675" w:rsidRPr="00DA29B2" w:rsidRDefault="00275675" w:rsidP="00466BD8">
            <w:r w:rsidRPr="00DA29B2">
              <w:t>0.23%</w:t>
            </w:r>
          </w:p>
        </w:tc>
        <w:tc>
          <w:tcPr>
            <w:tcW w:w="2338" w:type="dxa"/>
          </w:tcPr>
          <w:p w14:paraId="56B2CD2E" w14:textId="77777777" w:rsidR="00275675" w:rsidRPr="00DA29B2" w:rsidRDefault="00275675" w:rsidP="00466BD8">
            <w:r w:rsidRPr="00DA29B2">
              <w:t>0.05%</w:t>
            </w:r>
          </w:p>
        </w:tc>
      </w:tr>
      <w:tr w:rsidR="00275675" w:rsidRPr="00DA29B2" w14:paraId="757E5C66" w14:textId="77777777" w:rsidTr="00164541">
        <w:tc>
          <w:tcPr>
            <w:tcW w:w="2875" w:type="dxa"/>
          </w:tcPr>
          <w:p w14:paraId="69238C87" w14:textId="77777777" w:rsidR="00275675" w:rsidRPr="00DA29B2" w:rsidRDefault="00275675" w:rsidP="00466BD8">
            <w:r w:rsidRPr="00DA29B2">
              <w:t>Random cleavage frequency</w:t>
            </w:r>
          </w:p>
        </w:tc>
        <w:tc>
          <w:tcPr>
            <w:tcW w:w="1980" w:type="dxa"/>
          </w:tcPr>
          <w:p w14:paraId="13D2FB60" w14:textId="77777777" w:rsidR="00275675" w:rsidRPr="00DA29B2" w:rsidRDefault="00275675" w:rsidP="00466BD8">
            <w:r w:rsidRPr="00DA29B2">
              <w:t>0.019%</w:t>
            </w:r>
          </w:p>
        </w:tc>
        <w:tc>
          <w:tcPr>
            <w:tcW w:w="2157" w:type="dxa"/>
          </w:tcPr>
          <w:p w14:paraId="20024DAC" w14:textId="77777777" w:rsidR="00275675" w:rsidRPr="00DA29B2" w:rsidRDefault="00275675" w:rsidP="00466BD8">
            <w:r w:rsidRPr="00DA29B2">
              <w:t>0.012%</w:t>
            </w:r>
          </w:p>
        </w:tc>
        <w:tc>
          <w:tcPr>
            <w:tcW w:w="2338" w:type="dxa"/>
          </w:tcPr>
          <w:p w14:paraId="136A7104" w14:textId="77777777" w:rsidR="00275675" w:rsidRPr="00DA29B2" w:rsidRDefault="00275675" w:rsidP="00466BD8">
            <w:r w:rsidRPr="00DA29B2">
              <w:t>0.003%</w:t>
            </w:r>
          </w:p>
        </w:tc>
      </w:tr>
      <w:tr w:rsidR="00275675" w:rsidRPr="00DA29B2" w14:paraId="539EEE74" w14:textId="77777777" w:rsidTr="00164541">
        <w:tc>
          <w:tcPr>
            <w:tcW w:w="2875" w:type="dxa"/>
          </w:tcPr>
          <w:p w14:paraId="0BABACDE" w14:textId="77777777" w:rsidR="00275675" w:rsidRPr="00DA29B2" w:rsidRDefault="00275675" w:rsidP="00466BD8">
            <w:r w:rsidRPr="00DA29B2">
              <w:t>Average residues between random cleavages</w:t>
            </w:r>
          </w:p>
        </w:tc>
        <w:tc>
          <w:tcPr>
            <w:tcW w:w="1980" w:type="dxa"/>
          </w:tcPr>
          <w:p w14:paraId="54138535" w14:textId="77777777" w:rsidR="00275675" w:rsidRPr="00DA29B2" w:rsidRDefault="00275675" w:rsidP="00466BD8">
            <w:r w:rsidRPr="00DA29B2">
              <w:t>5300</w:t>
            </w:r>
          </w:p>
        </w:tc>
        <w:tc>
          <w:tcPr>
            <w:tcW w:w="2157" w:type="dxa"/>
          </w:tcPr>
          <w:p w14:paraId="0BEA23D0" w14:textId="77777777" w:rsidR="00275675" w:rsidRPr="00DA29B2" w:rsidRDefault="00275675" w:rsidP="00466BD8">
            <w:r w:rsidRPr="00DA29B2">
              <w:t>8300</w:t>
            </w:r>
          </w:p>
        </w:tc>
        <w:tc>
          <w:tcPr>
            <w:tcW w:w="2338" w:type="dxa"/>
          </w:tcPr>
          <w:p w14:paraId="306CA912" w14:textId="77777777" w:rsidR="00275675" w:rsidRPr="00DA29B2" w:rsidRDefault="00275675" w:rsidP="00466BD8">
            <w:r w:rsidRPr="00DA29B2">
              <w:t>33000</w:t>
            </w:r>
          </w:p>
        </w:tc>
      </w:tr>
      <w:tr w:rsidR="00275675" w:rsidRPr="00DA29B2" w14:paraId="2A1E7675" w14:textId="77777777" w:rsidTr="00164541">
        <w:tc>
          <w:tcPr>
            <w:tcW w:w="2875" w:type="dxa"/>
          </w:tcPr>
          <w:p w14:paraId="132ECCF5" w14:textId="77777777" w:rsidR="00275675" w:rsidRPr="00DA29B2" w:rsidRDefault="00275675" w:rsidP="00466BD8">
            <w:r w:rsidRPr="00DA29B2">
              <w:t>Human proteins cleaved</w:t>
            </w:r>
          </w:p>
        </w:tc>
        <w:tc>
          <w:tcPr>
            <w:tcW w:w="1980" w:type="dxa"/>
          </w:tcPr>
          <w:p w14:paraId="05798D4D" w14:textId="77777777" w:rsidR="00275675" w:rsidRPr="00DA29B2" w:rsidRDefault="00275675" w:rsidP="00466BD8">
            <w:r w:rsidRPr="00DA29B2">
              <w:t>1381</w:t>
            </w:r>
          </w:p>
        </w:tc>
        <w:tc>
          <w:tcPr>
            <w:tcW w:w="2157" w:type="dxa"/>
          </w:tcPr>
          <w:p w14:paraId="232E8297" w14:textId="77777777" w:rsidR="00275675" w:rsidRPr="00DA29B2" w:rsidRDefault="00275675" w:rsidP="00466BD8">
            <w:r w:rsidRPr="00DA29B2">
              <w:t>980</w:t>
            </w:r>
          </w:p>
        </w:tc>
        <w:tc>
          <w:tcPr>
            <w:tcW w:w="2338" w:type="dxa"/>
          </w:tcPr>
          <w:p w14:paraId="4A549680" w14:textId="77777777" w:rsidR="00275675" w:rsidRPr="00DA29B2" w:rsidRDefault="00275675" w:rsidP="00466BD8">
            <w:r w:rsidRPr="00DA29B2">
              <w:t>154</w:t>
            </w:r>
          </w:p>
        </w:tc>
      </w:tr>
    </w:tbl>
    <w:p w14:paraId="6DB324B1" w14:textId="77777777" w:rsidR="00275675" w:rsidRPr="00DA29B2" w:rsidRDefault="00275675" w:rsidP="00466BD8">
      <w:pPr>
        <w:spacing w:after="0" w:line="240" w:lineRule="auto"/>
      </w:pPr>
    </w:p>
    <w:p w14:paraId="0C93915E" w14:textId="30E19635" w:rsidR="00275675" w:rsidRPr="00DA29B2" w:rsidRDefault="00275675" w:rsidP="00466BD8">
      <w:pPr>
        <w:spacing w:after="0" w:line="240" w:lineRule="auto"/>
        <w:ind w:firstLine="720"/>
      </w:pPr>
      <w:r w:rsidRPr="00DA29B2">
        <w:t xml:space="preserve">As with 3CLpro predictions, </w:t>
      </w:r>
      <w:r w:rsidR="007A65C2" w:rsidRPr="00DA29B2">
        <w:t>NNs</w:t>
      </w:r>
      <w:r w:rsidRPr="00DA29B2">
        <w:t xml:space="preserve"> outperformed all other classifiers no matter taxonomic rank (Figure 3). This performance difference was most noticeable for the </w:t>
      </w:r>
      <w:r w:rsidR="000A791C" w:rsidRPr="00DA29B2">
        <w:t xml:space="preserve">whole </w:t>
      </w:r>
      <w:r w:rsidR="000A791C" w:rsidRPr="00DA29B2">
        <w:rPr>
          <w:i/>
        </w:rPr>
        <w:t>Coronaviridae</w:t>
      </w:r>
      <w:r w:rsidRPr="00DA29B2">
        <w:t xml:space="preserve"> dataset where single sequence logos </w:t>
      </w:r>
      <w:r w:rsidR="00941F3F" w:rsidRPr="00DA29B2">
        <w:t>cannot</w:t>
      </w:r>
      <w:r w:rsidRPr="00DA29B2">
        <w:t xml:space="preserve"> learn</w:t>
      </w:r>
      <w:r w:rsidR="009B3A8B" w:rsidRPr="00DA29B2">
        <w:t xml:space="preserve"> its</w:t>
      </w:r>
      <w:r w:rsidRPr="00DA29B2">
        <w:t xml:space="preserve"> multiple population</w:t>
      </w:r>
      <w:r w:rsidR="009B3A8B" w:rsidRPr="00DA29B2">
        <w:t>s</w:t>
      </w:r>
      <w:r w:rsidRPr="00DA29B2">
        <w:t xml:space="preserve">. Interestingly, physiochemical encoding also proved </w:t>
      </w:r>
      <w:r w:rsidR="00E95613" w:rsidRPr="00DA29B2">
        <w:t xml:space="preserve">to </w:t>
      </w:r>
      <w:r w:rsidRPr="00DA29B2">
        <w:t>describ</w:t>
      </w:r>
      <w:r w:rsidR="00E95613" w:rsidRPr="00DA29B2">
        <w:t>e</w:t>
      </w:r>
      <w:r w:rsidRPr="00DA29B2">
        <w:t xml:space="preserve"> sequences </w:t>
      </w:r>
      <w:r w:rsidR="000A791C" w:rsidRPr="00DA29B2">
        <w:t xml:space="preserve">less efficiently </w:t>
      </w:r>
      <w:r w:rsidR="00E95613" w:rsidRPr="00DA29B2">
        <w:t>than</w:t>
      </w:r>
      <w:r w:rsidR="000557A1" w:rsidRPr="00DA29B2">
        <w:t xml:space="preserve"> one-hot encoding and </w:t>
      </w:r>
      <w:r w:rsidRPr="00DA29B2">
        <w:t xml:space="preserve">sequence logos for the </w:t>
      </w:r>
      <w:r w:rsidR="000A791C" w:rsidRPr="00DA29B2">
        <w:rPr>
          <w:i/>
        </w:rPr>
        <w:t>Sarbecovirus</w:t>
      </w:r>
      <w:r w:rsidR="000A791C" w:rsidRPr="00DA29B2">
        <w:t>-only</w:t>
      </w:r>
      <w:r w:rsidRPr="00DA29B2">
        <w:t xml:space="preserve"> dataset. The </w:t>
      </w:r>
      <w:r w:rsidR="00E95613" w:rsidRPr="00DA29B2">
        <w:t>optimized</w:t>
      </w:r>
      <w:r w:rsidRPr="00DA29B2">
        <w:t xml:space="preserve"> hyperparameters for </w:t>
      </w:r>
      <w:r w:rsidR="007A65C2" w:rsidRPr="00DA29B2">
        <w:t>NNs</w:t>
      </w:r>
      <w:r w:rsidRPr="00DA29B2">
        <w:t xml:space="preserve"> with one-hot encoding were</w:t>
      </w:r>
      <w:r w:rsidR="00E95613" w:rsidRPr="00DA29B2">
        <w:t xml:space="preserve"> </w:t>
      </w:r>
      <w:r w:rsidRPr="00DA29B2">
        <w:t xml:space="preserve">Adam solver, rectifier (ReLU) activation, 0.000001 regularization, </w:t>
      </w:r>
      <w:r w:rsidR="00E95613" w:rsidRPr="00DA29B2">
        <w:t xml:space="preserve">no oversampling, </w:t>
      </w:r>
      <w:r w:rsidRPr="00DA29B2">
        <w:t xml:space="preserve">and 1 hidden layer with 100 neurons. Combining networks into ensembles again improved accuracy and stability, so the final results were generated with triplicate 10-fold cross-validated networks with average 20% test Matthews correlation coefficients (MCC) of 0.900, 0.948, and 0.966 for </w:t>
      </w:r>
      <w:r w:rsidRPr="00DA29B2">
        <w:rPr>
          <w:i/>
          <w:iCs/>
        </w:rPr>
        <w:t>Coronaviridae</w:t>
      </w:r>
      <w:r w:rsidRPr="00DA29B2">
        <w:t xml:space="preserve">, </w:t>
      </w:r>
      <w:r w:rsidRPr="00DA29B2">
        <w:rPr>
          <w:i/>
          <w:iCs/>
        </w:rPr>
        <w:t>Betacoronavirus</w:t>
      </w:r>
      <w:r w:rsidRPr="00DA29B2">
        <w:t xml:space="preserve">, </w:t>
      </w:r>
      <w:r w:rsidRPr="00DA29B2">
        <w:rPr>
          <w:i/>
          <w:iCs/>
        </w:rPr>
        <w:t>and Sarbecovirus</w:t>
      </w:r>
      <w:r w:rsidRPr="00DA29B2">
        <w:t>, respectively. These accuracies, frequency cleaving random amino acid sequences, and number of human proteins with predicted cleavages are also listed in Table 1.</w:t>
      </w:r>
    </w:p>
    <w:p w14:paraId="143C6864" w14:textId="77777777" w:rsidR="00275675" w:rsidRPr="00DA29B2" w:rsidRDefault="00275675" w:rsidP="00466BD8">
      <w:pPr>
        <w:spacing w:after="0" w:line="240" w:lineRule="auto"/>
      </w:pPr>
    </w:p>
    <w:p w14:paraId="6C7D825E" w14:textId="3437963D" w:rsidR="00275675" w:rsidRPr="00DA29B2" w:rsidRDefault="002650DF" w:rsidP="00466BD8">
      <w:pPr>
        <w:spacing w:after="0" w:line="240" w:lineRule="auto"/>
        <w:jc w:val="center"/>
      </w:pPr>
      <w:r w:rsidRPr="00DA29B2">
        <w:rPr>
          <w:noProof/>
        </w:rPr>
        <w:lastRenderedPageBreak/>
        <w:drawing>
          <wp:inline distT="0" distB="0" distL="0" distR="0" wp14:anchorId="4F25F267" wp14:editId="0657A454">
            <wp:extent cx="3494960" cy="2502877"/>
            <wp:effectExtent l="0" t="0" r="0" b="0"/>
            <wp:docPr id="7" name="Picture 7" descr="C:\Users\TEMP\Documents\TEMP_13Aug21\Human proteome\PLpro\7.5 Prescott_PLpro_02Oct21_fig3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EMP\Documents\TEMP_13Aug21\Human proteome\PLpro\7.5 Prescott_PLpro_02Oct21_fig3a.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00057" cy="2506527"/>
                    </a:xfrm>
                    <a:prstGeom prst="rect">
                      <a:avLst/>
                    </a:prstGeom>
                    <a:noFill/>
                    <a:ln>
                      <a:noFill/>
                    </a:ln>
                  </pic:spPr>
                </pic:pic>
              </a:graphicData>
            </a:graphic>
          </wp:inline>
        </w:drawing>
      </w:r>
      <w:r w:rsidRPr="00DA29B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DA29B2">
        <w:rPr>
          <w:noProof/>
        </w:rPr>
        <w:drawing>
          <wp:inline distT="0" distB="0" distL="0" distR="0" wp14:anchorId="0E51F5B5" wp14:editId="262CA19B">
            <wp:extent cx="3475795" cy="2513281"/>
            <wp:effectExtent l="0" t="0" r="0" b="1905"/>
            <wp:docPr id="8" name="Picture 8" descr="C:\Users\TEMP\Documents\TEMP_13Aug21\Human proteome\PLpro\7.6 Prescott_PLpro_02Oct21_fig3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MP\Documents\TEMP_13Aug21\Human proteome\PLpro\7.6 Prescott_PLpro_02Oct21_fig3b.t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81588" cy="2517470"/>
                    </a:xfrm>
                    <a:prstGeom prst="rect">
                      <a:avLst/>
                    </a:prstGeom>
                    <a:noFill/>
                    <a:ln>
                      <a:noFill/>
                    </a:ln>
                  </pic:spPr>
                </pic:pic>
              </a:graphicData>
            </a:graphic>
          </wp:inline>
        </w:drawing>
      </w:r>
      <w:r w:rsidRPr="00DA29B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DA29B2">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627AF212" wp14:editId="40094BFC">
            <wp:extent cx="3528852" cy="2547620"/>
            <wp:effectExtent l="0" t="0" r="0" b="5080"/>
            <wp:docPr id="9" name="Picture 9" descr="C:\Users\TEMP\Documents\TEMP_13Aug21\Human proteome\PLpro\7.7 Prescott_PLpro_02Oct21_fig3c.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MP\Documents\TEMP_13Aug21\Human proteome\PLpro\7.7 Prescott_PLpro_02Oct21_fig3c.tif"/>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3528852" cy="2547620"/>
                    </a:xfrm>
                    <a:prstGeom prst="rect">
                      <a:avLst/>
                    </a:prstGeom>
                    <a:noFill/>
                    <a:ln>
                      <a:noFill/>
                    </a:ln>
                    <a:extLst>
                      <a:ext uri="{53640926-AAD7-44D8-BBD7-CCE9431645EC}">
                        <a14:shadowObscured xmlns:a14="http://schemas.microsoft.com/office/drawing/2010/main"/>
                      </a:ext>
                    </a:extLst>
                  </pic:spPr>
                </pic:pic>
              </a:graphicData>
            </a:graphic>
          </wp:inline>
        </w:drawing>
      </w:r>
    </w:p>
    <w:p w14:paraId="25FF3946" w14:textId="77777777" w:rsidR="00275675" w:rsidRPr="00DA29B2" w:rsidRDefault="00275675" w:rsidP="00466BD8">
      <w:pPr>
        <w:spacing w:after="0" w:line="240" w:lineRule="auto"/>
        <w:jc w:val="center"/>
      </w:pPr>
      <w:r w:rsidRPr="00DA29B2">
        <w:t xml:space="preserve">Figure 3: Train/test split fraction vs MCC demonstrating that performance quickly approaches a limit for all classifiers no matter taxonomic rank ((A) </w:t>
      </w:r>
      <w:r w:rsidRPr="00DA29B2">
        <w:rPr>
          <w:i/>
          <w:iCs/>
        </w:rPr>
        <w:t>Coronaviridae</w:t>
      </w:r>
      <w:r w:rsidRPr="00DA29B2">
        <w:t xml:space="preserve">, (B) </w:t>
      </w:r>
      <w:r w:rsidRPr="00DA29B2">
        <w:rPr>
          <w:i/>
          <w:iCs/>
        </w:rPr>
        <w:t>Betacoronavirus</w:t>
      </w:r>
      <w:r w:rsidRPr="00DA29B2">
        <w:t xml:space="preserve">, (C) </w:t>
      </w:r>
      <w:r w:rsidRPr="00DA29B2">
        <w:rPr>
          <w:i/>
          <w:iCs/>
        </w:rPr>
        <w:t>Sarbecovirus)</w:t>
      </w:r>
      <w:r w:rsidRPr="00DA29B2">
        <w:t>.</w:t>
      </w:r>
    </w:p>
    <w:p w14:paraId="276991F1" w14:textId="77777777" w:rsidR="0071330D" w:rsidRPr="00DA29B2" w:rsidRDefault="0071330D" w:rsidP="00466BD8">
      <w:pPr>
        <w:spacing w:after="0" w:line="240" w:lineRule="auto"/>
        <w:rPr>
          <w:b/>
          <w:bCs/>
        </w:rPr>
      </w:pPr>
    </w:p>
    <w:p w14:paraId="112250BB" w14:textId="2A9EC147" w:rsidR="00275675" w:rsidRPr="00DA29B2" w:rsidRDefault="00275675" w:rsidP="00466BD8">
      <w:pPr>
        <w:spacing w:after="0" w:line="240" w:lineRule="auto"/>
        <w:rPr>
          <w:b/>
          <w:bCs/>
        </w:rPr>
      </w:pPr>
      <w:r w:rsidRPr="00DA29B2">
        <w:rPr>
          <w:b/>
          <w:bCs/>
        </w:rPr>
        <w:lastRenderedPageBreak/>
        <w:t>Discussion</w:t>
      </w:r>
    </w:p>
    <w:p w14:paraId="43FB172E" w14:textId="1AB9BE0A" w:rsidR="006D706B" w:rsidRPr="00DA29B2" w:rsidRDefault="00275675" w:rsidP="00466BD8">
      <w:pPr>
        <w:spacing w:after="0" w:line="240" w:lineRule="auto"/>
      </w:pPr>
      <w:r w:rsidRPr="00DA29B2">
        <w:tab/>
        <w:t xml:space="preserve">Enrichments and depletions were surprisingly shared between </w:t>
      </w:r>
      <w:r w:rsidR="007A65C2" w:rsidRPr="00DA29B2">
        <w:t>NN</w:t>
      </w:r>
      <w:r w:rsidRPr="00DA29B2">
        <w:t xml:space="preserve"> replicates, resampled training data, and between the three taxonomic ranks of training data, although the </w:t>
      </w:r>
      <w:r w:rsidRPr="00DA29B2">
        <w:rPr>
          <w:i/>
          <w:iCs/>
        </w:rPr>
        <w:t>Sarbecovirus</w:t>
      </w:r>
      <w:r w:rsidRPr="00DA29B2">
        <w:t>-specific list returned fewer statistically significant annotations due to its smaller size. As expected from SARS-CoV-2 pathogenesis and from previous 3CLpro results,</w:t>
      </w:r>
      <w:r w:rsidR="006B5AC3" w:rsidRPr="00DA29B2">
        <w:t>[1]</w:t>
      </w:r>
      <w:r w:rsidRPr="00DA29B2">
        <w:t xml:space="preserve"> epithelium (tongue, larynx, pharynx, trachea) and brain were enriched, and olfactory receptors were depleted. As expected from the sequence logo, glycine- and alanine-rich proteins</w:t>
      </w:r>
      <w:r w:rsidR="00E95613" w:rsidRPr="00DA29B2">
        <w:t>,</w:t>
      </w:r>
      <w:r w:rsidRPr="00DA29B2">
        <w:t xml:space="preserve"> such as collagens</w:t>
      </w:r>
      <w:r w:rsidR="00E95613" w:rsidRPr="00DA29B2">
        <w:t>,</w:t>
      </w:r>
      <w:r w:rsidRPr="00DA29B2">
        <w:t xml:space="preserve"> were also enriched. Cytoskeletal and motor proteins were enriched as with 3CLpro due to their longer lengths, although their cleavage is </w:t>
      </w:r>
      <w:r w:rsidR="00C91C35" w:rsidRPr="00DA29B2">
        <w:t xml:space="preserve">likely </w:t>
      </w:r>
      <w:r w:rsidRPr="00DA29B2">
        <w:t>still biologically relevant.</w:t>
      </w:r>
      <w:r w:rsidR="006D706B" w:rsidRPr="00DA29B2">
        <w:t xml:space="preserve"> In fact, this length bias is even larger in Reynolds et al.’s sequence identity method,[</w:t>
      </w:r>
      <w:r w:rsidR="00996E97" w:rsidRPr="00DA29B2">
        <w:t>17</w:t>
      </w:r>
      <w:r w:rsidR="006D706B" w:rsidRPr="00DA29B2">
        <w:t>] and surprisingly few of their predictions were shared in this PLpro prediction dataset</w:t>
      </w:r>
      <w:r w:rsidR="0009110C">
        <w:t xml:space="preserve">, namely protection of </w:t>
      </w:r>
      <w:r w:rsidR="003D7F8F" w:rsidRPr="00DA29B2">
        <w:t>telomeres 1 (</w:t>
      </w:r>
      <w:r w:rsidR="00CB3B42" w:rsidRPr="00DA29B2">
        <w:t>POT1</w:t>
      </w:r>
      <w:r w:rsidR="003D7F8F" w:rsidRPr="00DA29B2">
        <w:t>)</w:t>
      </w:r>
      <w:r w:rsidR="00CB3B42" w:rsidRPr="00DA29B2">
        <w:t>,</w:t>
      </w:r>
      <w:r w:rsidR="003D7F8F" w:rsidRPr="00DA29B2">
        <w:t xml:space="preserve"> membrane-associated guanylate kinase inverted 2</w:t>
      </w:r>
      <w:r w:rsidR="00CB3B42" w:rsidRPr="00DA29B2">
        <w:t xml:space="preserve"> </w:t>
      </w:r>
      <w:r w:rsidR="003D7F8F" w:rsidRPr="00DA29B2">
        <w:t>(</w:t>
      </w:r>
      <w:r w:rsidR="00CB3B42" w:rsidRPr="00DA29B2">
        <w:t>MAGI2</w:t>
      </w:r>
      <w:r w:rsidR="003D7F8F" w:rsidRPr="00DA29B2">
        <w:t>)</w:t>
      </w:r>
      <w:r w:rsidR="00CB3B42" w:rsidRPr="00DA29B2">
        <w:t xml:space="preserve">, </w:t>
      </w:r>
      <w:r w:rsidR="003D7F8F" w:rsidRPr="00DA29B2">
        <w:t>multiple EGF-like domains 10 (M</w:t>
      </w:r>
      <w:r w:rsidR="00CB3B42" w:rsidRPr="00DA29B2">
        <w:t>EGF10</w:t>
      </w:r>
      <w:r w:rsidR="003D7F8F" w:rsidRPr="00DA29B2">
        <w:t>)</w:t>
      </w:r>
      <w:r w:rsidR="00CB3B42" w:rsidRPr="00DA29B2">
        <w:t xml:space="preserve">, myocardin, </w:t>
      </w:r>
      <w:r w:rsidR="003D7F8F" w:rsidRPr="00DA29B2">
        <w:t xml:space="preserve">inactive </w:t>
      </w:r>
      <w:r w:rsidR="00CB3B42" w:rsidRPr="00DA29B2">
        <w:t xml:space="preserve">RNASE10, </w:t>
      </w:r>
      <w:r w:rsidR="003D7F8F" w:rsidRPr="00DA29B2">
        <w:t>amyloid beta A4 precursor protein-binding (</w:t>
      </w:r>
      <w:r w:rsidR="00CB3B42" w:rsidRPr="00DA29B2">
        <w:t>APBB2</w:t>
      </w:r>
      <w:r w:rsidR="003D7F8F" w:rsidRPr="00DA29B2">
        <w:t>)</w:t>
      </w:r>
      <w:r w:rsidR="00CB3B42" w:rsidRPr="00DA29B2">
        <w:t xml:space="preserve">, and </w:t>
      </w:r>
      <w:r w:rsidR="00CB3B42" w:rsidRPr="00CF76AF">
        <w:t>myomesin-1</w:t>
      </w:r>
      <w:r w:rsidR="0009110C" w:rsidRPr="00CF76AF">
        <w:t xml:space="preserve">. </w:t>
      </w:r>
      <w:r w:rsidR="005842C8" w:rsidRPr="00CF76AF">
        <w:t>FOXP3 was</w:t>
      </w:r>
      <w:r w:rsidR="0009110C" w:rsidRPr="00CF76AF">
        <w:t xml:space="preserve"> also</w:t>
      </w:r>
      <w:r w:rsidR="005842C8" w:rsidRPr="00CF76AF">
        <w:t xml:space="preserve"> the only experimentally validated protein to be successfully predicted here.[18</w:t>
      </w:r>
      <w:r w:rsidR="005842C8" w:rsidRPr="00CF76AF">
        <w:rPr>
          <w:rFonts w:eastAsiaTheme="minorEastAsia" w:cstheme="minorHAnsi"/>
        </w:rPr>
        <w:t>–</w:t>
      </w:r>
      <w:r w:rsidR="005842C8" w:rsidRPr="00CF76AF">
        <w:t>20]</w:t>
      </w:r>
      <w:r w:rsidR="00CB3B42" w:rsidRPr="00CF76AF">
        <w:t xml:space="preserve"> This indicates that, as with 3CLpro prediction, any inaccuracies in prediction methods are amplified when applied to the entire human and must be experimentally verified, however enrichment analyses </w:t>
      </w:r>
      <w:r w:rsidR="00AB5C2E" w:rsidRPr="00CF76AF">
        <w:t>are</w:t>
      </w:r>
      <w:r w:rsidR="00CB3B42" w:rsidRPr="00CF76AF">
        <w:t xml:space="preserve"> robust</w:t>
      </w:r>
      <w:r w:rsidR="00CB3B42" w:rsidRPr="00DA29B2">
        <w:t xml:space="preserve"> against this variability.[1]</w:t>
      </w:r>
    </w:p>
    <w:p w14:paraId="5C472B5E" w14:textId="2F8B7F05" w:rsidR="0052003E" w:rsidRPr="00DA29B2" w:rsidRDefault="00C91C35" w:rsidP="00466BD8">
      <w:pPr>
        <w:spacing w:after="0" w:line="240" w:lineRule="auto"/>
        <w:ind w:firstLine="720"/>
      </w:pPr>
      <w:r w:rsidRPr="00DA29B2">
        <w:t>The ubiquitination pathway was expectedly enriched given o</w:t>
      </w:r>
      <w:r w:rsidR="00275675" w:rsidRPr="00DA29B2">
        <w:t>ne of PLpro’s main functions is to deubiquitinate host proteins</w:t>
      </w:r>
      <w:r w:rsidRPr="00DA29B2">
        <w:t xml:space="preserve">. </w:t>
      </w:r>
      <w:r w:rsidR="00423F74" w:rsidRPr="00DA29B2">
        <w:t xml:space="preserve">Global effects of </w:t>
      </w:r>
      <w:r w:rsidRPr="00DA29B2">
        <w:t>PLpro’s</w:t>
      </w:r>
      <w:r w:rsidR="00275675" w:rsidRPr="00DA29B2">
        <w:t xml:space="preserve"> preference for particular ubiquitin chains or branchings </w:t>
      </w:r>
      <w:r w:rsidR="00423F74" w:rsidRPr="00DA29B2">
        <w:t>are</w:t>
      </w:r>
      <w:r w:rsidR="00275675" w:rsidRPr="00DA29B2">
        <w:t xml:space="preserve"> poorly characterized</w:t>
      </w:r>
      <w:r w:rsidRPr="00DA29B2">
        <w:t xml:space="preserve">, </w:t>
      </w:r>
      <w:r w:rsidR="00275675" w:rsidRPr="00DA29B2">
        <w:t>and</w:t>
      </w:r>
      <w:r w:rsidRPr="00DA29B2">
        <w:t xml:space="preserve"> no</w:t>
      </w:r>
      <w:r w:rsidR="00275675" w:rsidRPr="00DA29B2">
        <w:t xml:space="preserve"> peptide bond cleavage</w:t>
      </w:r>
      <w:r w:rsidRPr="00DA29B2">
        <w:t>s</w:t>
      </w:r>
      <w:r w:rsidR="00275675" w:rsidRPr="00DA29B2">
        <w:t xml:space="preserve"> </w:t>
      </w:r>
      <w:r w:rsidRPr="00DA29B2">
        <w:t>within</w:t>
      </w:r>
      <w:r w:rsidR="00275675" w:rsidRPr="00DA29B2">
        <w:t xml:space="preserve"> E1, E2, or E3 enzymes </w:t>
      </w:r>
      <w:r w:rsidRPr="00DA29B2">
        <w:t>are known</w:t>
      </w:r>
      <w:r w:rsidR="00275675" w:rsidRPr="00DA29B2">
        <w:t>. Combining these PLpro predictions with my previous 3CLpro dataset,</w:t>
      </w:r>
      <w:r w:rsidR="00056A25" w:rsidRPr="00DA29B2">
        <w:t>[1]</w:t>
      </w:r>
      <w:r w:rsidR="00275675" w:rsidRPr="00DA29B2">
        <w:t xml:space="preserve"> global effects on these pathways become clearer. Of the ten E1 enzymes,</w:t>
      </w:r>
      <w:r w:rsidR="00CF76AF">
        <w:t>[42</w:t>
      </w:r>
      <w:r w:rsidR="000604D2">
        <w:t>]</w:t>
      </w:r>
      <w:r w:rsidR="00275675" w:rsidRPr="00DA29B2">
        <w:t xml:space="preserve"> two are cl</w:t>
      </w:r>
      <w:r w:rsidR="000604D2">
        <w:t xml:space="preserve">eaved by 3CLpro: UBA2 and UBA5. </w:t>
      </w:r>
      <w:r w:rsidR="00275675" w:rsidRPr="00DA29B2">
        <w:t>UBA2 is half of the only heterodimer required for SUMOylation and is cleaved in its C-terminal ubiquitin-like domain required for transfer to the only SUMO E2 conjugating protein, UBC9,[</w:t>
      </w:r>
      <w:r w:rsidR="00FA59C5" w:rsidRPr="00DA29B2">
        <w:t>4</w:t>
      </w:r>
      <w:r w:rsidR="00CF76AF">
        <w:t>3</w:t>
      </w:r>
      <w:r w:rsidR="00275675" w:rsidRPr="00DA29B2">
        <w:t xml:space="preserve">] which is not cleaved by either protease. Interestingly, coronavirus nucleocapsid proteins are intentionally SUMOylated to promote </w:t>
      </w:r>
      <w:r w:rsidR="000D2639">
        <w:t>their</w:t>
      </w:r>
      <w:r w:rsidR="00275675" w:rsidRPr="00DA29B2">
        <w:t xml:space="preserve"> homo-oligomerization, interfere with cell division, and/or localize to the nucleus or nucleolus to alter viral vs host transcription or ribosomal biogenesis.[</w:t>
      </w:r>
      <w:r w:rsidR="00FA59C5" w:rsidRPr="00DA29B2">
        <w:t>4</w:t>
      </w:r>
      <w:r w:rsidR="00CF76AF">
        <w:t>4</w:t>
      </w:r>
      <w:r w:rsidR="00451C0A" w:rsidRPr="00DA29B2">
        <w:rPr>
          <w:rFonts w:eastAsiaTheme="minorEastAsia" w:cstheme="minorHAnsi"/>
        </w:rPr>
        <w:t>–</w:t>
      </w:r>
      <w:r w:rsidR="00FA59C5" w:rsidRPr="00DA29B2">
        <w:t>4</w:t>
      </w:r>
      <w:r w:rsidR="00CF76AF">
        <w:t>6</w:t>
      </w:r>
      <w:r w:rsidR="00275675" w:rsidRPr="00DA29B2">
        <w:t>] One downstream consequence of disrupted SUMOylation is reduced stability of STING,[</w:t>
      </w:r>
      <w:r w:rsidR="00005E87" w:rsidRPr="00DA29B2">
        <w:t>4</w:t>
      </w:r>
      <w:r w:rsidR="00CF76AF">
        <w:t>7</w:t>
      </w:r>
      <w:r w:rsidR="00275675" w:rsidRPr="00DA29B2">
        <w:t>] which is already disrupted by PLpro deubiquitination.[</w:t>
      </w:r>
      <w:r w:rsidR="00DA3C4A" w:rsidRPr="00DA29B2">
        <w:t>4</w:t>
      </w:r>
      <w:r w:rsidR="00CF76AF">
        <w:t>8</w:t>
      </w:r>
      <w:r w:rsidR="0071330D" w:rsidRPr="00DA29B2">
        <w:t xml:space="preserve">, </w:t>
      </w:r>
      <w:r w:rsidR="00DA3C4A" w:rsidRPr="00DA29B2">
        <w:t>4</w:t>
      </w:r>
      <w:r w:rsidR="00CF76AF">
        <w:t>9</w:t>
      </w:r>
      <w:r w:rsidR="001510ED" w:rsidRPr="00DA29B2">
        <w:t>]</w:t>
      </w:r>
      <w:r w:rsidR="00275675" w:rsidRPr="00DA29B2">
        <w:t xml:space="preserve"> TRIM38 (SUMOylating) is not</w:t>
      </w:r>
      <w:r w:rsidR="0095100A" w:rsidRPr="00DA29B2">
        <w:t>,</w:t>
      </w:r>
      <w:r w:rsidR="00275675" w:rsidRPr="00DA29B2">
        <w:t xml:space="preserve"> but SENP2 (deSUMOylating)</w:t>
      </w:r>
      <w:r w:rsidR="001510ED" w:rsidRPr="00DA29B2">
        <w:t xml:space="preserve"> </w:t>
      </w:r>
      <w:r w:rsidR="0095100A" w:rsidRPr="00DA29B2">
        <w:t>is</w:t>
      </w:r>
      <w:r w:rsidR="00275675" w:rsidRPr="00DA29B2">
        <w:t xml:space="preserve"> cleaved</w:t>
      </w:r>
      <w:r w:rsidR="0095100A" w:rsidRPr="00DA29B2">
        <w:t xml:space="preserve">, </w:t>
      </w:r>
      <w:r w:rsidR="00275675" w:rsidRPr="00DA29B2">
        <w:t xml:space="preserve">indicating that </w:t>
      </w:r>
      <w:r w:rsidR="001510ED" w:rsidRPr="00DA29B2">
        <w:t>STING regulation probably</w:t>
      </w:r>
      <w:r w:rsidR="00275675" w:rsidRPr="00DA29B2">
        <w:t xml:space="preserve"> differs between early and late phase infection. PLpro’s additional </w:t>
      </w:r>
      <w:r w:rsidR="00E0077C">
        <w:t>deubiquitinating</w:t>
      </w:r>
      <w:r w:rsidR="00275675" w:rsidRPr="00DA29B2">
        <w:t xml:space="preserve"> activity or cleavage of related enzymes may also change the period of SUMOylation and ubiquitination oscillations, impacting global proteasomal degradation kinetics.[</w:t>
      </w:r>
      <w:r w:rsidR="00CF76AF">
        <w:t>50</w:t>
      </w:r>
      <w:r w:rsidR="00275675" w:rsidRPr="00DA29B2">
        <w:t>] Lastly, depletion of E2-conjugated SUMO stores may lead to preferential ubiquitination and degradation of p53[</w:t>
      </w:r>
      <w:r w:rsidR="00FA59C5" w:rsidRPr="00DA29B2">
        <w:t>5</w:t>
      </w:r>
      <w:r w:rsidR="00CF76AF">
        <w:t>1</w:t>
      </w:r>
      <w:r w:rsidR="00275675" w:rsidRPr="00DA29B2">
        <w:t>] by RCHY1</w:t>
      </w:r>
      <w:r w:rsidR="00257709" w:rsidRPr="00DA29B2">
        <w:t xml:space="preserve"> later in infection</w:t>
      </w:r>
      <w:r w:rsidR="00275675" w:rsidRPr="00DA29B2">
        <w:t>,</w:t>
      </w:r>
      <w:r w:rsidR="00257709" w:rsidRPr="00DA29B2">
        <w:t>[</w:t>
      </w:r>
      <w:r w:rsidR="00996E97" w:rsidRPr="00DA29B2">
        <w:t>3</w:t>
      </w:r>
      <w:r w:rsidR="00CF76AF">
        <w:t>6</w:t>
      </w:r>
      <w:r w:rsidR="00257709" w:rsidRPr="00DA29B2">
        <w:t>]</w:t>
      </w:r>
      <w:r w:rsidR="00275675" w:rsidRPr="00DA29B2">
        <w:t xml:space="preserve"> which is already directly enhanced by PLpro SARS-unique domain,[</w:t>
      </w:r>
      <w:r w:rsidR="00FA59C5" w:rsidRPr="00DA29B2">
        <w:t>5</w:t>
      </w:r>
      <w:r w:rsidR="00CF76AF">
        <w:t>2</w:t>
      </w:r>
      <w:r w:rsidR="00275675" w:rsidRPr="00DA29B2">
        <w:t xml:space="preserve">] and </w:t>
      </w:r>
      <w:r w:rsidR="00423F74" w:rsidRPr="00DA29B2">
        <w:t>IκBα</w:t>
      </w:r>
      <w:r w:rsidR="00C94800" w:rsidRPr="00DA29B2">
        <w:t>,</w:t>
      </w:r>
      <w:r w:rsidR="00275675" w:rsidRPr="00DA29B2">
        <w:t>[</w:t>
      </w:r>
      <w:r w:rsidR="00FA59C5" w:rsidRPr="00DA29B2">
        <w:t>5</w:t>
      </w:r>
      <w:r w:rsidR="00CF76AF">
        <w:t>3</w:t>
      </w:r>
      <w:r w:rsidR="00C94800" w:rsidRPr="00DA29B2">
        <w:t>]</w:t>
      </w:r>
      <w:r w:rsidR="00275675" w:rsidRPr="00DA29B2">
        <w:t xml:space="preserve"> which activates NF-</w:t>
      </w:r>
      <w:r w:rsidR="005A49EC" w:rsidRPr="00DA29B2">
        <w:rPr>
          <w:rFonts w:cstheme="minorHAnsi"/>
        </w:rPr>
        <w:t>κ</w:t>
      </w:r>
      <w:r w:rsidR="00275675" w:rsidRPr="00DA29B2">
        <w:t>B and worsens SARS-related mortality in mice.[</w:t>
      </w:r>
      <w:r w:rsidR="00FA59C5" w:rsidRPr="00DA29B2">
        <w:t>5</w:t>
      </w:r>
      <w:r w:rsidR="00CF76AF">
        <w:t>4</w:t>
      </w:r>
      <w:r w:rsidR="00275675" w:rsidRPr="00DA29B2">
        <w:t>] UBA5, however</w:t>
      </w:r>
      <w:r w:rsidR="00E95613" w:rsidRPr="00DA29B2">
        <w:t>,</w:t>
      </w:r>
      <w:r w:rsidR="00275675" w:rsidRPr="00DA29B2">
        <w:t xml:space="preserve"> is the only UFMylation-specific E1 enzyme with implications in reticulophagy and hematopoiesis</w:t>
      </w:r>
      <w:r w:rsidR="00560356" w:rsidRPr="00DA29B2">
        <w:t>, and its only E2 conjugating protein, UFC1, is not cleaved by either protease.</w:t>
      </w:r>
      <w:r w:rsidR="00275675" w:rsidRPr="00DA29B2">
        <w:t>[</w:t>
      </w:r>
      <w:r w:rsidR="00FA59C5" w:rsidRPr="00DA29B2">
        <w:t>5</w:t>
      </w:r>
      <w:r w:rsidR="00CF76AF">
        <w:t>5</w:t>
      </w:r>
      <w:r w:rsidR="00275675" w:rsidRPr="00DA29B2">
        <w:t>] First, UFMylation of DDRGK1, a reticulophagy protein activated by ribosome stalling,[</w:t>
      </w:r>
      <w:r w:rsidR="00FA59C5" w:rsidRPr="00DA29B2">
        <w:t>5</w:t>
      </w:r>
      <w:r w:rsidR="00CF76AF">
        <w:t>6</w:t>
      </w:r>
      <w:r w:rsidR="00275675" w:rsidRPr="00DA29B2">
        <w:t>] may play a role in en</w:t>
      </w:r>
      <w:r w:rsidR="00EE7EE8" w:rsidRPr="00DA29B2">
        <w:t>couraging ribosomal frameshifts</w:t>
      </w:r>
      <w:r w:rsidR="00275675" w:rsidRPr="00DA29B2">
        <w:t xml:space="preserve"> by forming double-membrane vesicles (DMVs) utilized b</w:t>
      </w:r>
      <w:r w:rsidR="00EE7EE8" w:rsidRPr="00DA29B2">
        <w:t>y coronaviruses for replication</w:t>
      </w:r>
      <w:r w:rsidR="00275675" w:rsidRPr="00DA29B2">
        <w:t>[</w:t>
      </w:r>
      <w:r w:rsidR="00005E87" w:rsidRPr="00DA29B2">
        <w:t>5</w:t>
      </w:r>
      <w:r w:rsidR="00CF76AF">
        <w:t>7</w:t>
      </w:r>
      <w:r w:rsidR="00275675" w:rsidRPr="00DA29B2">
        <w:t>] or by compartmentalizing ribosomes with viral RNA inside DMVs as with influenza A virus.[</w:t>
      </w:r>
      <w:r w:rsidR="00DA3C4A" w:rsidRPr="00DA29B2">
        <w:t>5</w:t>
      </w:r>
      <w:r w:rsidR="00CF76AF">
        <w:t>8</w:t>
      </w:r>
      <w:r w:rsidR="00275675" w:rsidRPr="00DA29B2">
        <w:t xml:space="preserve">] Second, </w:t>
      </w:r>
      <w:r w:rsidR="00560356" w:rsidRPr="00DA29B2">
        <w:t xml:space="preserve">like SUMOylation, </w:t>
      </w:r>
      <w:r w:rsidR="00275675" w:rsidRPr="00DA29B2">
        <w:t>UFMylation of p53 antagonizes ubiquitination and subsequent degradation</w:t>
      </w:r>
      <w:r w:rsidR="00560356" w:rsidRPr="00DA29B2">
        <w:t>.</w:t>
      </w:r>
      <w:r w:rsidR="00275675" w:rsidRPr="00DA29B2">
        <w:t>[</w:t>
      </w:r>
      <w:r w:rsidR="00DA3C4A" w:rsidRPr="00DA29B2">
        <w:t>5</w:t>
      </w:r>
      <w:r w:rsidR="00CF76AF">
        <w:t>9</w:t>
      </w:r>
      <w:r w:rsidR="00275675" w:rsidRPr="00DA29B2">
        <w:t>] Lastly, UFM</w:t>
      </w:r>
      <w:r w:rsidR="00560356" w:rsidRPr="00DA29B2">
        <w:t>1</w:t>
      </w:r>
      <w:r w:rsidR="00275675" w:rsidRPr="00DA29B2">
        <w:t xml:space="preserve"> depletion may encourage macrophage responses to interferon gamma,[</w:t>
      </w:r>
      <w:r w:rsidR="00CF76AF">
        <w:t>60</w:t>
      </w:r>
      <w:r w:rsidR="00275675" w:rsidRPr="00DA29B2">
        <w:t>] contributing to the positive feedback with T cells in COVID-19-associated alveolar inflammation.[</w:t>
      </w:r>
      <w:r w:rsidR="00FA59C5" w:rsidRPr="00DA29B2">
        <w:t>6</w:t>
      </w:r>
      <w:r w:rsidR="00CF76AF">
        <w:t>1</w:t>
      </w:r>
      <w:r w:rsidR="00275675" w:rsidRPr="00DA29B2">
        <w:t>]</w:t>
      </w:r>
      <w:r w:rsidR="007277D5" w:rsidRPr="00DA29B2">
        <w:t xml:space="preserve"> Although none of the few ISG15 enzymes are cleaved by either coronavirus protease, </w:t>
      </w:r>
      <w:r w:rsidR="00DC6062" w:rsidRPr="00DA29B2">
        <w:t xml:space="preserve">NEDD4, which is likely eventually inhibited by free ISG15 released by PLpro’s </w:t>
      </w:r>
      <w:r w:rsidR="00803C07" w:rsidRPr="00DA29B2">
        <w:t xml:space="preserve">deISGylating </w:t>
      </w:r>
      <w:r w:rsidR="00DC6062" w:rsidRPr="00DA29B2">
        <w:t>activity</w:t>
      </w:r>
      <w:r w:rsidR="00803C07" w:rsidRPr="00DA29B2">
        <w:t>,[</w:t>
      </w:r>
      <w:r w:rsidR="00FA59C5" w:rsidRPr="00DA29B2">
        <w:t>6</w:t>
      </w:r>
      <w:r w:rsidR="00CF76AF">
        <w:t>2</w:t>
      </w:r>
      <w:r w:rsidR="00803C07" w:rsidRPr="00DA29B2">
        <w:t xml:space="preserve">] is predicted to be cleaved by 3CLpro[1] </w:t>
      </w:r>
      <w:r w:rsidR="001F4CDC" w:rsidRPr="00DA29B2">
        <w:t xml:space="preserve">and has been suggested as a therapeutic target for COVID-19 </w:t>
      </w:r>
      <w:r w:rsidR="00DC6062" w:rsidRPr="00DA29B2">
        <w:t>due to its upregulation in infected cells and probable</w:t>
      </w:r>
      <w:r w:rsidR="001F4CDC" w:rsidRPr="00DA29B2">
        <w:t xml:space="preserve"> involvement in </w:t>
      </w:r>
      <w:r w:rsidR="00DC6062" w:rsidRPr="00DA29B2">
        <w:t>egress via</w:t>
      </w:r>
      <w:r w:rsidR="00803C07" w:rsidRPr="00DA29B2">
        <w:t xml:space="preserve"> non-degradative </w:t>
      </w:r>
      <w:r w:rsidR="001F4CDC" w:rsidRPr="00DA29B2">
        <w:t>ubiquitination of viral proteins.[</w:t>
      </w:r>
      <w:r w:rsidR="00FA59C5" w:rsidRPr="00DA29B2">
        <w:t>6</w:t>
      </w:r>
      <w:r w:rsidR="00CF76AF">
        <w:t>3</w:t>
      </w:r>
      <w:r w:rsidR="001F4CDC" w:rsidRPr="00DA29B2">
        <w:t>]</w:t>
      </w:r>
      <w:r w:rsidR="00803C07" w:rsidRPr="00DA29B2">
        <w:t xml:space="preserve"> The counterintuitive proviral activity of NEDD4 yet potential </w:t>
      </w:r>
      <w:r w:rsidR="00803C07" w:rsidRPr="00DA29B2">
        <w:lastRenderedPageBreak/>
        <w:t xml:space="preserve">inhibition directly by 3CLpro and indirectly by PLpro </w:t>
      </w:r>
      <w:r w:rsidR="003C3F66">
        <w:t>hints</w:t>
      </w:r>
      <w:r w:rsidR="00803C07" w:rsidRPr="00DA29B2">
        <w:t xml:space="preserve"> that its regulation </w:t>
      </w:r>
      <w:r w:rsidR="003C3F66">
        <w:t>may be</w:t>
      </w:r>
      <w:r w:rsidR="00803C07" w:rsidRPr="00DA29B2">
        <w:t xml:space="preserve"> infection time dependent.</w:t>
      </w:r>
    </w:p>
    <w:p w14:paraId="61397332" w14:textId="17DB25D0" w:rsidR="0071330D" w:rsidRPr="00DA29B2" w:rsidRDefault="0095100A" w:rsidP="00466BD8">
      <w:pPr>
        <w:spacing w:after="0" w:line="240" w:lineRule="auto"/>
        <w:ind w:firstLine="720"/>
      </w:pPr>
      <w:r w:rsidRPr="00DA29B2">
        <w:t xml:space="preserve">Interpreting viral intent behind E2 and E3 enzyme cleavages is </w:t>
      </w:r>
      <w:r w:rsidR="00061B09" w:rsidRPr="00DA29B2">
        <w:t xml:space="preserve">much more </w:t>
      </w:r>
      <w:r w:rsidRPr="00DA29B2">
        <w:t xml:space="preserve">difficult, however similar enrichment analysis can be performed on the substrates specific to cleaved E3 ligases. Combining all predicted cleavages from the three PLpro </w:t>
      </w:r>
      <w:r w:rsidR="00F77D76" w:rsidRPr="00DA29B2">
        <w:t>datasets</w:t>
      </w:r>
      <w:r w:rsidRPr="00DA29B2">
        <w:t xml:space="preserve"> and the one 3CLpro dataset</w:t>
      </w:r>
      <w:r w:rsidR="00DC5B92" w:rsidRPr="00DA29B2">
        <w:t>[1]</w:t>
      </w:r>
      <w:r w:rsidR="00F77D76" w:rsidRPr="00DA29B2">
        <w:t xml:space="preserve"> and applying to UbiNet 2.0 E3-substrate interactions</w:t>
      </w:r>
      <w:r w:rsidRPr="00DA29B2">
        <w:t>,</w:t>
      </w:r>
      <w:r w:rsidR="00F77D76" w:rsidRPr="00DA29B2">
        <w:t>[</w:t>
      </w:r>
      <w:r w:rsidR="00CF76AF">
        <w:t>31</w:t>
      </w:r>
      <w:r w:rsidR="00F77D76" w:rsidRPr="00DA29B2">
        <w:t>]</w:t>
      </w:r>
      <w:r w:rsidRPr="00DA29B2">
        <w:t xml:space="preserve"> </w:t>
      </w:r>
      <w:r w:rsidR="00F77D76" w:rsidRPr="00DA29B2">
        <w:t>38% of substrates were directly cleaved by the viral proteases, and 47% of substrates had E3 ligases cleave</w:t>
      </w:r>
      <w:r w:rsidR="00975504" w:rsidRPr="00DA29B2">
        <w:t>d</w:t>
      </w:r>
      <w:r w:rsidR="00F77D76" w:rsidRPr="00DA29B2">
        <w:t xml:space="preserve"> by viral proteases. </w:t>
      </w:r>
      <w:r w:rsidR="00270D10">
        <w:t xml:space="preserve">Because </w:t>
      </w:r>
      <w:r w:rsidR="00270D10" w:rsidRPr="00DA29B2">
        <w:t xml:space="preserve">most </w:t>
      </w:r>
      <w:r w:rsidR="00270D10">
        <w:t>ubiquitination</w:t>
      </w:r>
      <w:r w:rsidR="00270D10" w:rsidRPr="00DA29B2">
        <w:t xml:space="preserve"> </w:t>
      </w:r>
      <w:r w:rsidR="00270D10">
        <w:t xml:space="preserve">tags substrates </w:t>
      </w:r>
      <w:r w:rsidR="00270D10" w:rsidRPr="00DA29B2">
        <w:t>for proteasomal degradation</w:t>
      </w:r>
      <w:r w:rsidR="00270D10">
        <w:t xml:space="preserve">, </w:t>
      </w:r>
      <w:r w:rsidR="00270D10" w:rsidRPr="00DA29B2">
        <w:t xml:space="preserve">E3 ligase cleavage </w:t>
      </w:r>
      <w:r w:rsidR="00270D10">
        <w:t xml:space="preserve">would </w:t>
      </w:r>
      <w:r w:rsidR="00270D10" w:rsidRPr="00DA29B2">
        <w:t>effectively upregulate affected pathways.</w:t>
      </w:r>
      <w:r w:rsidR="00270D10">
        <w:t xml:space="preserve"> Although 19% of these cleavages were</w:t>
      </w:r>
      <w:r w:rsidR="00975504" w:rsidRPr="00DA29B2">
        <w:t xml:space="preserve"> </w:t>
      </w:r>
      <w:r w:rsidR="00F77D76" w:rsidRPr="00DA29B2">
        <w:t xml:space="preserve">overlapping </w:t>
      </w:r>
      <w:r w:rsidR="00270D10">
        <w:t>and therefore had</w:t>
      </w:r>
      <w:r w:rsidR="00975504" w:rsidRPr="00DA29B2">
        <w:t xml:space="preserve"> unknown up- vs downregulation, most noteworthy enrichmen</w:t>
      </w:r>
      <w:r w:rsidR="003632B4" w:rsidRPr="00DA29B2">
        <w:t>ts were preserved after removal of</w:t>
      </w:r>
      <w:r w:rsidR="00975504" w:rsidRPr="00DA29B2">
        <w:t xml:space="preserve"> this overlap from the list of substrates with cleaved E3 ligases. </w:t>
      </w:r>
      <w:r w:rsidR="00064A85" w:rsidRPr="00DA29B2">
        <w:t xml:space="preserve">Noteworthy </w:t>
      </w:r>
      <w:r w:rsidR="00FB7FB9" w:rsidRPr="00DA29B2">
        <w:t xml:space="preserve">affected </w:t>
      </w:r>
      <w:r w:rsidR="00064A85" w:rsidRPr="00DA29B2">
        <w:t xml:space="preserve">pathways include RAP1 related to cell adhesion and junction formation, PI3K/AKT related to cell survival and proliferation, p53 related to apoptosis, clathrin-dependent and -independent endocytosis, </w:t>
      </w:r>
      <w:r w:rsidR="003406B3" w:rsidRPr="00DA29B2">
        <w:t>Fc</w:t>
      </w:r>
      <w:r w:rsidR="00996E97" w:rsidRPr="00DA29B2">
        <w:rPr>
          <w:rFonts w:cstheme="minorHAnsi"/>
        </w:rPr>
        <w:t>γ and Fcε</w:t>
      </w:r>
      <w:r w:rsidR="003406B3" w:rsidRPr="00DA29B2">
        <w:t xml:space="preserve"> receptor signaling, and viral RNA-sensing RIG-I and TLR3 signaling to IRF3/7 and NF-</w:t>
      </w:r>
      <w:r w:rsidR="00DE5521" w:rsidRPr="00DA29B2">
        <w:rPr>
          <w:rFonts w:cstheme="minorHAnsi"/>
        </w:rPr>
        <w:t>κ</w:t>
      </w:r>
      <w:r w:rsidR="003406B3" w:rsidRPr="00DA29B2">
        <w:t xml:space="preserve">B and downstream interferon-stimulated STAT1/3. </w:t>
      </w:r>
      <w:r w:rsidR="00061B09" w:rsidRPr="00DA29B2">
        <w:t xml:space="preserve">Given these pathways, particularly viral RNA sensing, are affected more directly by many other viral proteins early in infection, pathway activation via cleavage of E3 ligases </w:t>
      </w:r>
      <w:r w:rsidR="00182F69" w:rsidRPr="00DA29B2">
        <w:t xml:space="preserve">independent of direct PLpro deubiquitination </w:t>
      </w:r>
      <w:r w:rsidR="00061B09" w:rsidRPr="00DA29B2">
        <w:t>followed by reduced substrate turnover rate is likely only relevant late</w:t>
      </w:r>
      <w:r w:rsidR="00574C0A" w:rsidRPr="00DA29B2">
        <w:t xml:space="preserve">r in </w:t>
      </w:r>
      <w:r w:rsidR="00061B09" w:rsidRPr="00DA29B2">
        <w:t>infection</w:t>
      </w:r>
      <w:r w:rsidR="00574C0A" w:rsidRPr="00DA29B2">
        <w:t xml:space="preserve"> once responses to interferon have begun</w:t>
      </w:r>
      <w:r w:rsidR="00061B09" w:rsidRPr="00DA29B2">
        <w:t>.</w:t>
      </w:r>
    </w:p>
    <w:p w14:paraId="51E0B575" w14:textId="19E451DB" w:rsidR="005E3453" w:rsidRPr="00DA29B2" w:rsidRDefault="005E3453" w:rsidP="00466BD8">
      <w:pPr>
        <w:spacing w:after="0" w:line="240" w:lineRule="auto"/>
        <w:ind w:firstLine="720"/>
      </w:pPr>
      <w:r w:rsidRPr="00DA29B2">
        <w:t>In addition to directly deubiquitinating host proteins, PLpro cleavage of lysyl oxidases (LOXL2/3) may disrupt the balance of lysine/acetyllysine/allysine on histones or non-histone proteins[</w:t>
      </w:r>
      <w:r w:rsidR="00CF76AF">
        <w:t>64</w:t>
      </w:r>
      <w:r w:rsidRPr="00DA29B2">
        <w:t>] to prevent crosslinking or monoubiquitination or disrupt acetylation of ubiquitin itself to prevent polyubiquitination.[</w:t>
      </w:r>
      <w:r w:rsidR="00FA59C5" w:rsidRPr="00DA29B2">
        <w:t>6</w:t>
      </w:r>
      <w:r w:rsidR="00CF76AF">
        <w:t>5</w:t>
      </w:r>
      <w:r w:rsidRPr="00DA29B2">
        <w:t xml:space="preserve">] For example, preventing LOXL3 deacetylation of STAT3 or relatedly cleaving </w:t>
      </w:r>
      <w:r w:rsidR="00DE5521" w:rsidRPr="00DA29B2">
        <w:t>chromodomain-helicase-DNA-binding protein 8 (</w:t>
      </w:r>
      <w:r w:rsidRPr="00DA29B2">
        <w:t>CHD8</w:t>
      </w:r>
      <w:r w:rsidR="00DE5521" w:rsidRPr="00DA29B2">
        <w:t>)</w:t>
      </w:r>
      <w:r w:rsidRPr="00DA29B2">
        <w:t>, a STAT3 transcriptional repressor, could be part of how SARS-CoV-2 modulates immune cell differentiation[</w:t>
      </w:r>
      <w:r w:rsidR="00FA59C5" w:rsidRPr="00DA29B2">
        <w:t>6</w:t>
      </w:r>
      <w:r w:rsidR="00CF76AF">
        <w:t>6</w:t>
      </w:r>
      <w:r w:rsidRPr="00DA29B2">
        <w:t>] or the STAT1/STAT3 ratio.[</w:t>
      </w:r>
      <w:r w:rsidR="00FA59C5" w:rsidRPr="00DA29B2">
        <w:t>6</w:t>
      </w:r>
      <w:r w:rsidR="00CF76AF">
        <w:t>7</w:t>
      </w:r>
      <w:r w:rsidRPr="00DA29B2">
        <w:t>]</w:t>
      </w:r>
    </w:p>
    <w:p w14:paraId="139B6CCE" w14:textId="1EC9C707" w:rsidR="00165CB6" w:rsidRPr="00DA29B2" w:rsidRDefault="00165CB6" w:rsidP="00466BD8">
      <w:pPr>
        <w:spacing w:after="0" w:line="240" w:lineRule="auto"/>
        <w:ind w:firstLine="720"/>
      </w:pPr>
      <w:r w:rsidRPr="00DA29B2">
        <w:t>Outside ubiquitination, RNA binding also stood out as a relevant enrichment because many antiviral pathways attempt to directly degrade viral RNA. Interestingly, the RGG/RG motif present in many RNA-binding proteins</w:t>
      </w:r>
      <w:r w:rsidR="00CF76AF">
        <w:t>[68</w:t>
      </w:r>
      <w:r w:rsidR="00611A6F">
        <w:t>]</w:t>
      </w:r>
      <w:r w:rsidRPr="00DA29B2">
        <w:t xml:space="preserve"> </w:t>
      </w:r>
      <w:r w:rsidR="00611A6F">
        <w:t>is</w:t>
      </w:r>
      <w:r w:rsidRPr="00DA29B2">
        <w:t xml:space="preserve"> likely enriched in cleavages due to their similarity to PLpr</w:t>
      </w:r>
      <w:r w:rsidR="00611A6F">
        <w:t>o’s sequence logo.</w:t>
      </w:r>
      <w:r w:rsidRPr="00DA29B2">
        <w:t xml:space="preserve"> Noteworthy </w:t>
      </w:r>
      <w:r w:rsidR="00FB7FB9" w:rsidRPr="00DA29B2">
        <w:t xml:space="preserve">cleaved </w:t>
      </w:r>
      <w:r w:rsidRPr="00DA29B2">
        <w:t xml:space="preserve">proteins with RNA binding ability include poly(A) tail-associated </w:t>
      </w:r>
      <w:r w:rsidR="00941F3F" w:rsidRPr="00DA29B2">
        <w:t>Ras GTPase-activating protein-binding protein 2</w:t>
      </w:r>
      <w:r w:rsidR="00611A6F">
        <w:t xml:space="preserve"> </w:t>
      </w:r>
      <w:r w:rsidR="00941F3F" w:rsidRPr="00DA29B2">
        <w:t>(</w:t>
      </w:r>
      <w:r w:rsidRPr="00DA29B2">
        <w:t>G3BP2</w:t>
      </w:r>
      <w:r w:rsidR="00941F3F" w:rsidRPr="00DA29B2">
        <w:t>)</w:t>
      </w:r>
      <w:r w:rsidRPr="00DA29B2">
        <w:t xml:space="preserve">, </w:t>
      </w:r>
      <w:r w:rsidR="00941F3F" w:rsidRPr="00DA29B2">
        <w:t>cleavage and polyadenylation specificity factors (</w:t>
      </w:r>
      <w:r w:rsidRPr="00DA29B2">
        <w:t>CPSF5/7</w:t>
      </w:r>
      <w:r w:rsidR="00941F3F" w:rsidRPr="00DA29B2">
        <w:t>)</w:t>
      </w:r>
      <w:r w:rsidRPr="00DA29B2">
        <w:t xml:space="preserve">, </w:t>
      </w:r>
      <w:r w:rsidR="00941F3F" w:rsidRPr="00DA29B2">
        <w:t>zinc finger C3H1 domain-containing protein (</w:t>
      </w:r>
      <w:r w:rsidRPr="00DA29B2">
        <w:t>ZFC3H1</w:t>
      </w:r>
      <w:r w:rsidR="00941F3F" w:rsidRPr="00DA29B2">
        <w:t>)</w:t>
      </w:r>
      <w:r w:rsidRPr="00DA29B2">
        <w:t xml:space="preserve">, and </w:t>
      </w:r>
      <w:r w:rsidR="00941F3F" w:rsidRPr="00DA29B2">
        <w:t>zinc finger CCHC domain-containing protein 14 (</w:t>
      </w:r>
      <w:r w:rsidRPr="00DA29B2">
        <w:t>ZCCHC14</w:t>
      </w:r>
      <w:r w:rsidR="00941F3F" w:rsidRPr="00DA29B2">
        <w:t>)</w:t>
      </w:r>
      <w:r w:rsidRPr="00DA29B2">
        <w:t xml:space="preserve"> and 5’ cap-associated </w:t>
      </w:r>
      <w:r w:rsidR="00941F3F" w:rsidRPr="00DA29B2">
        <w:t>interferon-induced protein with tetratricopeptide repeats 2 (</w:t>
      </w:r>
      <w:r w:rsidRPr="00DA29B2">
        <w:t>IFIT2</w:t>
      </w:r>
      <w:r w:rsidR="00941F3F" w:rsidRPr="00DA29B2">
        <w:t>)</w:t>
      </w:r>
      <w:r w:rsidRPr="00DA29B2">
        <w:t xml:space="preserve"> and </w:t>
      </w:r>
      <w:r w:rsidR="00941F3F" w:rsidRPr="00DA29B2">
        <w:t>dual specificity phosphatase 11 (</w:t>
      </w:r>
      <w:r w:rsidRPr="00DA29B2">
        <w:t>DUSP11</w:t>
      </w:r>
      <w:r w:rsidR="00941F3F" w:rsidRPr="00DA29B2">
        <w:t>)</w:t>
      </w:r>
      <w:r w:rsidRPr="00DA29B2">
        <w:t>. G3BP2 is involved in stress granule formation and documented to be inhibited by SARS-CoV-2 nucleocapsid protein</w:t>
      </w:r>
      <w:r w:rsidR="00824B2D" w:rsidRPr="00DA29B2">
        <w:t>.</w:t>
      </w:r>
      <w:r w:rsidRPr="00DA29B2">
        <w:t>[</w:t>
      </w:r>
      <w:r w:rsidR="00CF76AF">
        <w:t>69</w:t>
      </w:r>
      <w:r w:rsidR="0071330D" w:rsidRPr="00DA29B2">
        <w:t xml:space="preserve">, </w:t>
      </w:r>
      <w:r w:rsidR="00CF76AF">
        <w:t>70</w:t>
      </w:r>
      <w:r w:rsidRPr="00DA29B2">
        <w:t>] Cleavage of RNA cleavage factor Im subunits CPSF5/7 likely contributes to enhanced viral RNA translation by trapping host pre-mRNA in the nucleus as with influenza virus.[</w:t>
      </w:r>
      <w:r w:rsidR="00FA59C5" w:rsidRPr="00DA29B2">
        <w:t>7</w:t>
      </w:r>
      <w:r w:rsidR="00CF76AF">
        <w:t>1</w:t>
      </w:r>
      <w:r w:rsidRPr="00DA29B2">
        <w:t>] ZFC3H1 is a subunit of the poly(A) tail exosome targeting (PAXT) complex which targets longer and more polyadenylated RNAs than the traditional nuclear exosome targeting (NEXT) complex[</w:t>
      </w:r>
      <w:r w:rsidR="00FA59C5" w:rsidRPr="00DA29B2">
        <w:t>7</w:t>
      </w:r>
      <w:r w:rsidR="00CF76AF">
        <w:t>2</w:t>
      </w:r>
      <w:r w:rsidRPr="00DA29B2">
        <w:t>] with subunit ZCCHC14 also cleaved by PLpro and others cleaved by 3CLpro.</w:t>
      </w:r>
      <w:r w:rsidR="00FB7FB9" w:rsidRPr="00DA29B2">
        <w:t>[1]</w:t>
      </w:r>
      <w:r w:rsidRPr="00DA29B2">
        <w:t xml:space="preserve"> In addition to variable length polyadenylation over infection and between whole genomes and subgenomic mRNAs,[</w:t>
      </w:r>
      <w:r w:rsidR="00CF76AF">
        <w:t>73</w:t>
      </w:r>
      <w:r w:rsidR="00FA59C5" w:rsidRPr="00DA29B2">
        <w:t>, 7</w:t>
      </w:r>
      <w:r w:rsidR="00CF76AF">
        <w:t>4</w:t>
      </w:r>
      <w:r w:rsidRPr="00DA29B2">
        <w:t xml:space="preserve">] time-dependent antagonism of these two complexes by PLpro and 3CLpro may be another method coronaviruses control their relative rates of replication vs translation, the ratios of their subgenomic mRNAs, or the ratio of orf1a to orf1ab and resulting proteins. Given </w:t>
      </w:r>
      <w:r w:rsidR="00DE5521" w:rsidRPr="00DA29B2">
        <w:t>hepatitis B virus (</w:t>
      </w:r>
      <w:r w:rsidRPr="00DA29B2">
        <w:t>HBV</w:t>
      </w:r>
      <w:r w:rsidR="00DE5521" w:rsidRPr="00DA29B2">
        <w:t>)</w:t>
      </w:r>
      <w:r w:rsidRPr="00DA29B2">
        <w:t xml:space="preserve"> and </w:t>
      </w:r>
      <w:r w:rsidR="00DE5521" w:rsidRPr="00DA29B2">
        <w:t>human cytomegalovirus (</w:t>
      </w:r>
      <w:r w:rsidRPr="00DA29B2">
        <w:t>HCMV</w:t>
      </w:r>
      <w:r w:rsidR="00DE5521" w:rsidRPr="00DA29B2">
        <w:t>)</w:t>
      </w:r>
      <w:r w:rsidRPr="00DA29B2">
        <w:t xml:space="preserve"> exploit ZCCHC14 to elongate their poly(A) tails with errors to enhance stability against CCR4-NOT, coronaviruses should also be </w:t>
      </w:r>
      <w:r w:rsidR="00574C0A" w:rsidRPr="00DA29B2">
        <w:t xml:space="preserve">experimentally </w:t>
      </w:r>
      <w:r w:rsidR="00DC5B92" w:rsidRPr="00DA29B2">
        <w:t>surveyed</w:t>
      </w:r>
      <w:r w:rsidRPr="00DA29B2">
        <w:t xml:space="preserve"> for </w:t>
      </w:r>
      <w:r w:rsidR="00574C0A" w:rsidRPr="00DA29B2">
        <w:t>similar</w:t>
      </w:r>
      <w:r w:rsidRPr="00DA29B2">
        <w:t xml:space="preserve"> not-so-pure poly(A) tails.[</w:t>
      </w:r>
      <w:r w:rsidR="00FA59C5" w:rsidRPr="00DA29B2">
        <w:t>7</w:t>
      </w:r>
      <w:r w:rsidR="00CF76AF">
        <w:t>5</w:t>
      </w:r>
      <w:r w:rsidRPr="00DA29B2">
        <w:t xml:space="preserve">] </w:t>
      </w:r>
      <w:r w:rsidR="005A49EC" w:rsidRPr="00DA29B2">
        <w:t xml:space="preserve">In fact, </w:t>
      </w:r>
      <w:r w:rsidR="007948F2" w:rsidRPr="00DA29B2">
        <w:t>CCR4-NOT</w:t>
      </w:r>
      <w:r w:rsidR="005A49EC" w:rsidRPr="00DA29B2">
        <w:t xml:space="preserve"> subunits </w:t>
      </w:r>
      <w:r w:rsidR="007948F2" w:rsidRPr="00DA29B2">
        <w:t xml:space="preserve">1 and 4, the latter with E3 ubiquitin ligase activity, </w:t>
      </w:r>
      <w:r w:rsidR="005A49EC" w:rsidRPr="00DA29B2">
        <w:t>are cleaved by 3CLpro</w:t>
      </w:r>
      <w:r w:rsidR="00D4353F" w:rsidRPr="00DA29B2">
        <w:t>.</w:t>
      </w:r>
      <w:r w:rsidR="00DC5B92" w:rsidRPr="00DA29B2">
        <w:t>[1]</w:t>
      </w:r>
      <w:r w:rsidR="00D4353F" w:rsidRPr="00DA29B2">
        <w:t xml:space="preserve"> In the cytoplasm</w:t>
      </w:r>
      <w:r w:rsidR="00824B2D" w:rsidRPr="00DA29B2">
        <w:t>,</w:t>
      </w:r>
      <w:r w:rsidR="00D4353F" w:rsidRPr="00DA29B2">
        <w:t xml:space="preserve"> this cleavage probably stabilizes viral RNA and viral translation, but disrupting E3 ligase activity</w:t>
      </w:r>
      <w:r w:rsidR="00824B2D" w:rsidRPr="00DA29B2">
        <w:t xml:space="preserve"> in the nucleus</w:t>
      </w:r>
      <w:r w:rsidR="00D4353F" w:rsidRPr="00DA29B2">
        <w:t xml:space="preserve"> would stabilize its target JARID1C, a histone H3 K4 demethylase, </w:t>
      </w:r>
      <w:r w:rsidR="00743EBC" w:rsidRPr="00DA29B2">
        <w:t>globally repressing host tra</w:t>
      </w:r>
      <w:r w:rsidR="00CD700E">
        <w:t>nscription so that ribosomes can</w:t>
      </w:r>
      <w:r w:rsidR="00743EBC" w:rsidRPr="00DA29B2">
        <w:t xml:space="preserve"> be directed more toward viral transcripts.[</w:t>
      </w:r>
      <w:r w:rsidR="00FA59C5" w:rsidRPr="00DA29B2">
        <w:t>7</w:t>
      </w:r>
      <w:r w:rsidR="00CF76AF">
        <w:t>6</w:t>
      </w:r>
      <w:r w:rsidR="00743EBC" w:rsidRPr="00DA29B2">
        <w:t>]</w:t>
      </w:r>
      <w:r w:rsidR="007948F2" w:rsidRPr="00DA29B2">
        <w:t xml:space="preserve"> </w:t>
      </w:r>
      <w:r w:rsidRPr="00DA29B2">
        <w:t>As for the two 5’ cap-associated proteins, interferon-</w:t>
      </w:r>
      <w:r w:rsidRPr="00DA29B2">
        <w:lastRenderedPageBreak/>
        <w:t xml:space="preserve">stimulated IFIT2 inhibits </w:t>
      </w:r>
      <w:r w:rsidR="00DE5521" w:rsidRPr="00DA29B2">
        <w:t>eukaryotic initiation factor 3 (</w:t>
      </w:r>
      <w:r w:rsidRPr="00DA29B2">
        <w:t>eIF3</w:t>
      </w:r>
      <w:r w:rsidR="00DE5521" w:rsidRPr="00DA29B2">
        <w:t>)</w:t>
      </w:r>
      <w:r w:rsidRPr="00DA29B2">
        <w:t>-mediated translation of viral RNAs without cap 2’-O-ribose methylation, a pathway coronaviruses are sensitized to by inhibiting nsp16’s 2’-O-ri</w:t>
      </w:r>
      <w:r w:rsidR="00C94800" w:rsidRPr="00DA29B2">
        <w:t>bose methyltransferase activity,</w:t>
      </w:r>
      <w:r w:rsidRPr="00DA29B2">
        <w:t>[</w:t>
      </w:r>
      <w:r w:rsidR="00CF76AF">
        <w:t>77</w:t>
      </w:r>
      <w:r w:rsidR="0071330D" w:rsidRPr="00DA29B2">
        <w:t xml:space="preserve">, </w:t>
      </w:r>
      <w:r w:rsidR="00005E87" w:rsidRPr="00DA29B2">
        <w:t>7</w:t>
      </w:r>
      <w:r w:rsidR="00CF76AF">
        <w:t>8</w:t>
      </w:r>
      <w:r w:rsidR="00C94800" w:rsidRPr="00DA29B2">
        <w:t>]</w:t>
      </w:r>
      <w:r w:rsidR="009F5152">
        <w:t xml:space="preserve"> and DUSP11 with 5’-triphos</w:t>
      </w:r>
      <w:r w:rsidRPr="00DA29B2">
        <w:t xml:space="preserve">phatase and diphosphatase activity can either directly sensitize viral RNA to exoribonucleases as with </w:t>
      </w:r>
      <w:r w:rsidR="00DE5521" w:rsidRPr="00DA29B2">
        <w:t>hepatitis C virus (</w:t>
      </w:r>
      <w:r w:rsidRPr="00DA29B2">
        <w:t>HCV</w:t>
      </w:r>
      <w:r w:rsidR="00DE5521" w:rsidRPr="00DA29B2">
        <w:t>)</w:t>
      </w:r>
      <w:r w:rsidRPr="00DA29B2">
        <w:t>[</w:t>
      </w:r>
      <w:r w:rsidR="00CF76AF">
        <w:t>79</w:t>
      </w:r>
      <w:r w:rsidRPr="00DA29B2">
        <w:t>] or control RIG-I responses by altering viral or host triphosphate RNA balances.[</w:t>
      </w:r>
      <w:r w:rsidR="00CF76AF">
        <w:t>80</w:t>
      </w:r>
      <w:r w:rsidR="0071330D" w:rsidRPr="00DA29B2">
        <w:t xml:space="preserve">, </w:t>
      </w:r>
      <w:r w:rsidR="00CF76AF">
        <w:t>81</w:t>
      </w:r>
      <w:r w:rsidRPr="00DA29B2">
        <w:t>]</w:t>
      </w:r>
      <w:r w:rsidR="007465DC" w:rsidRPr="00DA29B2">
        <w:t xml:space="preserve"> RNA h</w:t>
      </w:r>
      <w:r w:rsidRPr="00DA29B2">
        <w:t xml:space="preserve">elicases are </w:t>
      </w:r>
      <w:r w:rsidR="00574C0A" w:rsidRPr="00DA29B2">
        <w:t xml:space="preserve">relatedly </w:t>
      </w:r>
      <w:r w:rsidRPr="00DA29B2">
        <w:t xml:space="preserve">enriched yet </w:t>
      </w:r>
      <w:r w:rsidR="008460A9">
        <w:t>as with</w:t>
      </w:r>
      <w:r w:rsidRPr="00DA29B2">
        <w:t xml:space="preserve"> 3CLpro</w:t>
      </w:r>
      <w:r w:rsidR="008460A9">
        <w:t xml:space="preserve"> cleavages</w:t>
      </w:r>
      <w:r w:rsidRPr="00DA29B2">
        <w:t xml:space="preserve"> have varying proviral and antiviral effects. Novel </w:t>
      </w:r>
      <w:r w:rsidR="00DC5B92" w:rsidRPr="00DA29B2">
        <w:t xml:space="preserve">PLpro </w:t>
      </w:r>
      <w:r w:rsidRPr="00DA29B2">
        <w:t>cleavage</w:t>
      </w:r>
      <w:r w:rsidR="007465DC" w:rsidRPr="00DA29B2">
        <w:t>s</w:t>
      </w:r>
      <w:r w:rsidRPr="00DA29B2">
        <w:t xml:space="preserve"> include neuron navigator 2, which possesses both helicase and exoribonuclease activity and is expressed </w:t>
      </w:r>
      <w:r w:rsidR="00DC5B92" w:rsidRPr="00DA29B2">
        <w:t xml:space="preserve">in </w:t>
      </w:r>
      <w:r w:rsidRPr="00DA29B2">
        <w:t xml:space="preserve">sensory nervous tissue </w:t>
      </w:r>
      <w:r w:rsidR="00DC5B92" w:rsidRPr="00DA29B2">
        <w:t>susceptible to coronavirus infection,</w:t>
      </w:r>
      <w:r w:rsidRPr="00DA29B2">
        <w:t xml:space="preserve"> and </w:t>
      </w:r>
      <w:r w:rsidR="00DE5521" w:rsidRPr="00DA29B2">
        <w:t xml:space="preserve">DEAD box protein </w:t>
      </w:r>
      <w:r w:rsidRPr="00DA29B2">
        <w:t>DDX42, which was recently shown to have broad antiviral activity including SARS-CoV-2 inhibition.[</w:t>
      </w:r>
      <w:r w:rsidR="00FA59C5" w:rsidRPr="00DA29B2">
        <w:t>8</w:t>
      </w:r>
      <w:r w:rsidR="00CF76AF">
        <w:t>2</w:t>
      </w:r>
      <w:r w:rsidRPr="00DA29B2">
        <w:t>]</w:t>
      </w:r>
    </w:p>
    <w:p w14:paraId="491C8F37" w14:textId="256248CF" w:rsidR="00165CB6" w:rsidRPr="00DA29B2" w:rsidRDefault="00574C0A" w:rsidP="00466BD8">
      <w:pPr>
        <w:spacing w:after="0" w:line="240" w:lineRule="auto"/>
        <w:ind w:firstLine="720"/>
      </w:pPr>
      <w:r w:rsidRPr="00DA29B2">
        <w:t>Lastly, a</w:t>
      </w:r>
      <w:r w:rsidR="00275675" w:rsidRPr="00DA29B2">
        <w:t>s with 3CLpro,</w:t>
      </w:r>
      <w:r w:rsidR="0060657E" w:rsidRPr="00DA29B2">
        <w:t>[1]</w:t>
      </w:r>
      <w:r w:rsidR="00275675" w:rsidRPr="00DA29B2">
        <w:t xml:space="preserve"> endogenous retroviral proteins were enriched in cleavages, yet HERV-K genes were recently found to be more expressed in tracheal aspirates of patients with severe COVID-19 compared to uninfected and mildly infected patients.[</w:t>
      </w:r>
      <w:r w:rsidR="00FA59C5" w:rsidRPr="00DA29B2">
        <w:t>8</w:t>
      </w:r>
      <w:r w:rsidR="00CF76AF">
        <w:t>3</w:t>
      </w:r>
      <w:r w:rsidR="00275675" w:rsidRPr="00DA29B2">
        <w:t>] Because this expression correlates with mortality, it is worth investigating inhibiting this mechanism with antiretroviral drugs commonly used against HIV.[</w:t>
      </w:r>
      <w:r w:rsidR="00FA59C5" w:rsidRPr="00DA29B2">
        <w:t>8</w:t>
      </w:r>
      <w:r w:rsidR="00CF76AF">
        <w:t>4</w:t>
      </w:r>
      <w:r w:rsidR="00275675" w:rsidRPr="00DA29B2">
        <w:t xml:space="preserve">] HIV protease inhibitors cannot </w:t>
      </w:r>
      <w:r w:rsidR="006B5AC3" w:rsidRPr="00DA29B2">
        <w:t xml:space="preserve">directly </w:t>
      </w:r>
      <w:r w:rsidR="00275675" w:rsidRPr="00DA29B2">
        <w:t>inhibit coronavirus proteases at reasonable concentrations due to their difference in mechanism,[</w:t>
      </w:r>
      <w:r w:rsidR="00FA59C5" w:rsidRPr="00DA29B2">
        <w:t>8</w:t>
      </w:r>
      <w:r w:rsidR="00CF76AF">
        <w:t>5</w:t>
      </w:r>
      <w:r w:rsidR="00275675" w:rsidRPr="00DA29B2">
        <w:t>] and lopinavir-ritonavir did not improve outcomes of patients hospitalized with COVID-19,[</w:t>
      </w:r>
      <w:r w:rsidR="00FA59C5" w:rsidRPr="00DA29B2">
        <w:t>8</w:t>
      </w:r>
      <w:r w:rsidR="00CF76AF">
        <w:t>6</w:t>
      </w:r>
      <w:r w:rsidR="00275675" w:rsidRPr="00DA29B2">
        <w:t>] indicating that targeting HERVs in COVID-19 may be difficult</w:t>
      </w:r>
      <w:r w:rsidR="008460A9">
        <w:t xml:space="preserve"> or too indirect for therapeutic efficacy</w:t>
      </w:r>
      <w:r w:rsidR="00275675" w:rsidRPr="00DA29B2">
        <w:t>.</w:t>
      </w:r>
    </w:p>
    <w:p w14:paraId="10FAFCD7" w14:textId="77777777" w:rsidR="00165CB6" w:rsidRPr="00DA29B2" w:rsidRDefault="00165CB6" w:rsidP="00466BD8">
      <w:pPr>
        <w:spacing w:after="0" w:line="240" w:lineRule="auto"/>
      </w:pPr>
    </w:p>
    <w:p w14:paraId="06823910" w14:textId="40F65E39" w:rsidR="00574C0A" w:rsidRPr="00DA29B2" w:rsidRDefault="00275675" w:rsidP="00466BD8">
      <w:pPr>
        <w:spacing w:after="0" w:line="240" w:lineRule="auto"/>
        <w:rPr>
          <w:b/>
          <w:bCs/>
        </w:rPr>
      </w:pPr>
      <w:r w:rsidRPr="00DA29B2">
        <w:rPr>
          <w:b/>
          <w:bCs/>
        </w:rPr>
        <w:t>Conclusion</w:t>
      </w:r>
    </w:p>
    <w:p w14:paraId="60D3AF2F" w14:textId="7D19736F" w:rsidR="00083012" w:rsidRPr="00DA29B2" w:rsidRDefault="007465DC" w:rsidP="00466BD8">
      <w:pPr>
        <w:spacing w:after="0" w:line="240" w:lineRule="auto"/>
      </w:pPr>
      <w:r w:rsidRPr="00DA29B2">
        <w:tab/>
        <w:t xml:space="preserve">Many </w:t>
      </w:r>
      <w:r w:rsidR="00083012" w:rsidRPr="00DA29B2">
        <w:t>results</w:t>
      </w:r>
      <w:r w:rsidRPr="00DA29B2">
        <w:t xml:space="preserve"> from my previous work on 3CLpro cleavages</w:t>
      </w:r>
      <w:r w:rsidR="00083012" w:rsidRPr="00DA29B2">
        <w:t xml:space="preserve"> including enrichment of epithelium and brain, depletion of olfactory receptors, and enrichment of ubiquitination, viral RNA stabilizing and degrading mechanisms, and endogenous viral proteins</w:t>
      </w:r>
      <w:r w:rsidRPr="00DA29B2">
        <w:t xml:space="preserve"> are preserved in PLpro predictions</w:t>
      </w:r>
      <w:r w:rsidR="00083012" w:rsidRPr="00DA29B2">
        <w:t>.</w:t>
      </w:r>
      <w:r w:rsidR="00927951" w:rsidRPr="00DA29B2">
        <w:t xml:space="preserve">[1] </w:t>
      </w:r>
      <w:r w:rsidR="00083012" w:rsidRPr="00DA29B2">
        <w:t>C</w:t>
      </w:r>
      <w:r w:rsidRPr="00DA29B2">
        <w:t xml:space="preserve">ombination of the two </w:t>
      </w:r>
      <w:r w:rsidR="00083012" w:rsidRPr="00DA29B2">
        <w:t xml:space="preserve">cleavage </w:t>
      </w:r>
      <w:r w:rsidRPr="00DA29B2">
        <w:t xml:space="preserve">datasets allowed for </w:t>
      </w:r>
      <w:r w:rsidR="00083012" w:rsidRPr="00DA29B2">
        <w:t>additional enrichment analysis of known substrates of cleaved E3 ubiquitin ligases, revealing that coronaviruses can regulate ubiquitination in host pathways independent of direct PLpro deubiquitinating activity. Experimental verification of these cleavages and characterizat</w:t>
      </w:r>
      <w:r w:rsidR="00CF6DEF" w:rsidRPr="00DA29B2">
        <w:t>ion of the</w:t>
      </w:r>
      <w:r w:rsidR="00083012" w:rsidRPr="00DA29B2">
        <w:t xml:space="preserve"> time</w:t>
      </w:r>
      <w:r w:rsidR="00CF6DEF" w:rsidRPr="00DA29B2">
        <w:t xml:space="preserve"> </w:t>
      </w:r>
      <w:r w:rsidR="00083012" w:rsidRPr="00DA29B2">
        <w:t>depende</w:t>
      </w:r>
      <w:r w:rsidR="00CF6DEF" w:rsidRPr="00DA29B2">
        <w:t xml:space="preserve">nce of these </w:t>
      </w:r>
      <w:r w:rsidR="00083012" w:rsidRPr="00DA29B2">
        <w:t xml:space="preserve">ubiquitination effects </w:t>
      </w:r>
      <w:r w:rsidR="00CF6DEF" w:rsidRPr="00DA29B2">
        <w:t>may reveal novel drug targets against COVID-19 or future human coronaviruses. Lastly, expansion of the training dataset to more divergent PLpro-containing Nidoviruses may be helpful in developing methods to phylogenetically weight aligned cleavage datasets to maximize accuracy for viral lineages or hosts of interest.</w:t>
      </w:r>
    </w:p>
    <w:p w14:paraId="0DF08806" w14:textId="77777777" w:rsidR="009C511E" w:rsidRPr="00DA29B2" w:rsidRDefault="009C511E" w:rsidP="00466BD8">
      <w:pPr>
        <w:spacing w:after="0" w:line="240" w:lineRule="auto"/>
      </w:pPr>
    </w:p>
    <w:p w14:paraId="36788087" w14:textId="77777777" w:rsidR="00275675" w:rsidRPr="00DA29B2" w:rsidRDefault="00275675" w:rsidP="00466BD8">
      <w:pPr>
        <w:spacing w:after="0" w:line="240" w:lineRule="auto"/>
        <w:rPr>
          <w:b/>
          <w:bCs/>
        </w:rPr>
      </w:pPr>
      <w:r w:rsidRPr="00DA29B2">
        <w:rPr>
          <w:b/>
          <w:bCs/>
        </w:rPr>
        <w:t>Acknowledgements</w:t>
      </w:r>
    </w:p>
    <w:p w14:paraId="47E79430" w14:textId="77777777" w:rsidR="00275675" w:rsidRPr="00DA29B2" w:rsidRDefault="00275675" w:rsidP="00466BD8">
      <w:pPr>
        <w:spacing w:after="0" w:line="240" w:lineRule="auto"/>
        <w:ind w:firstLine="720"/>
        <w:rPr>
          <w:rFonts w:eastAsiaTheme="minorEastAsia" w:cstheme="minorHAnsi"/>
        </w:rPr>
      </w:pPr>
      <w:r w:rsidRPr="00DA29B2">
        <w:rPr>
          <w:rFonts w:eastAsiaTheme="minorEastAsia" w:cstheme="minorHAnsi"/>
        </w:rPr>
        <w:t>I am very grateful for my mother, Victoria Prescott, Esq., and friends who have given me invaluable help and advice throughout my work on this project.</w:t>
      </w:r>
    </w:p>
    <w:p w14:paraId="1A2CDCFE" w14:textId="77777777" w:rsidR="00275675" w:rsidRPr="00DA29B2" w:rsidRDefault="00275675" w:rsidP="00466BD8">
      <w:pPr>
        <w:spacing w:after="0" w:line="240" w:lineRule="auto"/>
        <w:rPr>
          <w:rFonts w:eastAsiaTheme="minorEastAsia" w:cstheme="minorHAnsi"/>
        </w:rPr>
      </w:pPr>
    </w:p>
    <w:p w14:paraId="5AAF6F84" w14:textId="52D88E7C" w:rsidR="0071330D" w:rsidRPr="00DA29B2" w:rsidRDefault="00275675" w:rsidP="00466BD8">
      <w:pPr>
        <w:spacing w:after="0" w:line="240" w:lineRule="auto"/>
        <w:rPr>
          <w:b/>
          <w:bCs/>
        </w:rPr>
      </w:pPr>
      <w:r w:rsidRPr="00DA29B2">
        <w:rPr>
          <w:b/>
          <w:bCs/>
        </w:rPr>
        <w:t>References</w:t>
      </w:r>
    </w:p>
    <w:p w14:paraId="0B94E0AB" w14:textId="77CF44D4" w:rsidR="00005E87" w:rsidRPr="00DA29B2" w:rsidRDefault="00005E87" w:rsidP="00466BD8">
      <w:pPr>
        <w:pStyle w:val="ListParagraph"/>
        <w:numPr>
          <w:ilvl w:val="0"/>
          <w:numId w:val="2"/>
        </w:numPr>
        <w:spacing w:after="0" w:line="240" w:lineRule="auto"/>
      </w:pPr>
      <w:r w:rsidRPr="00DA29B2">
        <w:t xml:space="preserve">Prescott L. SARS-CoV-2 3CLpro whole human proteome cleavage prediction and enrichment/depletion analysis. bioRxiv [Preprint]. 2020 Aug. doi: </w:t>
      </w:r>
      <w:hyperlink r:id="rId16" w:history="1">
        <w:r w:rsidRPr="00DA29B2">
          <w:rPr>
            <w:rStyle w:val="Hyperlink"/>
          </w:rPr>
          <w:t>10.1101/2020.08.24.265645</w:t>
        </w:r>
      </w:hyperlink>
    </w:p>
    <w:p w14:paraId="5DB13350" w14:textId="58D6640E" w:rsidR="00DA3C4A" w:rsidRPr="00DA29B2" w:rsidRDefault="00DA3C4A" w:rsidP="00466BD8">
      <w:pPr>
        <w:pStyle w:val="ListParagraph"/>
        <w:numPr>
          <w:ilvl w:val="0"/>
          <w:numId w:val="2"/>
        </w:numPr>
        <w:spacing w:after="0" w:line="240" w:lineRule="auto"/>
        <w:rPr>
          <w:rFonts w:eastAsiaTheme="minorEastAsia" w:cstheme="minorHAnsi"/>
        </w:rPr>
      </w:pPr>
      <w:r w:rsidRPr="00DA29B2">
        <w:t>Lei J, Kusov Y, Hilgenfeld R. Nsp3 of coronaviruses: Structures and functions of a large multi-domain protein.</w:t>
      </w:r>
      <w:r w:rsidR="007F606B" w:rsidRPr="00DA29B2">
        <w:t xml:space="preserve"> Antiviral Res. 2018 Jan;149:58</w:t>
      </w:r>
      <w:r w:rsidR="007F606B" w:rsidRPr="00DA29B2">
        <w:rPr>
          <w:rFonts w:eastAsiaTheme="minorEastAsia" w:cstheme="minorHAnsi"/>
        </w:rPr>
        <w:t>–</w:t>
      </w:r>
      <w:r w:rsidRPr="00DA29B2">
        <w:t xml:space="preserve">74. doi: </w:t>
      </w:r>
      <w:hyperlink r:id="rId17" w:history="1">
        <w:r w:rsidRPr="00DA29B2">
          <w:rPr>
            <w:rStyle w:val="Hyperlink"/>
          </w:rPr>
          <w:t>10.1016/j.antiviral.2017.11.001</w:t>
        </w:r>
      </w:hyperlink>
      <w:r w:rsidRPr="00DA29B2">
        <w:t xml:space="preserve"> PMID: 29128390</w:t>
      </w:r>
    </w:p>
    <w:p w14:paraId="1755F432" w14:textId="166E37F5" w:rsidR="0071330D" w:rsidRPr="00DA29B2" w:rsidRDefault="0071330D" w:rsidP="00466BD8">
      <w:pPr>
        <w:pStyle w:val="ListParagraph"/>
        <w:numPr>
          <w:ilvl w:val="0"/>
          <w:numId w:val="2"/>
        </w:numPr>
        <w:spacing w:after="0" w:line="240" w:lineRule="auto"/>
        <w:rPr>
          <w:rFonts w:eastAsiaTheme="minorEastAsia" w:cstheme="minorHAnsi"/>
        </w:rPr>
      </w:pPr>
      <w:r w:rsidRPr="00DA29B2">
        <w:rPr>
          <w:rFonts w:cstheme="minorHAnsi"/>
        </w:rPr>
        <w:t xml:space="preserve">Neimeyer D, Mosbauer K, Klein EM, Sieberg A, Mettelman RC, Mielech AM, et al. The papain-like protease determines a virulence trait that varies among members of the SARS-coronavirus species. PLOS Pathog. 2018 Sep;14(9):e1007296. doi: </w:t>
      </w:r>
      <w:hyperlink r:id="rId18" w:history="1">
        <w:r w:rsidRPr="00DA29B2">
          <w:rPr>
            <w:rStyle w:val="Hyperlink"/>
            <w:rFonts w:cstheme="minorHAnsi"/>
          </w:rPr>
          <w:t>10.1371/journal.ppat.1007296</w:t>
        </w:r>
      </w:hyperlink>
      <w:r w:rsidRPr="00DA29B2">
        <w:rPr>
          <w:rFonts w:eastAsiaTheme="minorEastAsia" w:cstheme="minorHAnsi"/>
        </w:rPr>
        <w:t xml:space="preserve"> PMID: 30248143</w:t>
      </w:r>
    </w:p>
    <w:p w14:paraId="1452E038" w14:textId="649D7FBC" w:rsidR="009A37AC" w:rsidRPr="00DA29B2" w:rsidRDefault="009A37AC" w:rsidP="00466BD8">
      <w:pPr>
        <w:pStyle w:val="ListParagraph"/>
        <w:numPr>
          <w:ilvl w:val="0"/>
          <w:numId w:val="2"/>
        </w:numPr>
        <w:spacing w:after="0" w:line="240" w:lineRule="auto"/>
        <w:rPr>
          <w:rFonts w:eastAsiaTheme="minorEastAsia" w:cstheme="minorHAnsi"/>
        </w:rPr>
      </w:pPr>
      <w:r w:rsidRPr="00DA29B2">
        <w:t>Ratia K, Saikatendu KS, Santarsiero BD, Barretto N, Baker SC, Stevens RC, et al. Severe acute respiratory syndrome coronavirus papain-like protease: structure of a viral deubiquitinating enzy</w:t>
      </w:r>
      <w:r w:rsidR="007F606B" w:rsidRPr="00DA29B2">
        <w:t>me. PNAS. 2006 Apr;103(15):5717</w:t>
      </w:r>
      <w:r w:rsidR="007F606B" w:rsidRPr="00DA29B2">
        <w:rPr>
          <w:rFonts w:eastAsiaTheme="minorEastAsia" w:cstheme="minorHAnsi"/>
        </w:rPr>
        <w:t>–</w:t>
      </w:r>
      <w:r w:rsidRPr="00DA29B2">
        <w:t xml:space="preserve">22. doi: </w:t>
      </w:r>
      <w:hyperlink r:id="rId19" w:history="1">
        <w:r w:rsidRPr="00DA29B2">
          <w:rPr>
            <w:rStyle w:val="Hyperlink"/>
          </w:rPr>
          <w:t>10.1073/pnas.0510851103</w:t>
        </w:r>
      </w:hyperlink>
      <w:r w:rsidRPr="00DA29B2">
        <w:t xml:space="preserve"> PMID: 16581910</w:t>
      </w:r>
    </w:p>
    <w:p w14:paraId="1D656DE0" w14:textId="013E80E0" w:rsidR="00DA3C4A" w:rsidRPr="00DA29B2" w:rsidRDefault="00DA3C4A" w:rsidP="00466BD8">
      <w:pPr>
        <w:pStyle w:val="ListParagraph"/>
        <w:numPr>
          <w:ilvl w:val="0"/>
          <w:numId w:val="2"/>
        </w:numPr>
        <w:spacing w:after="0" w:line="240" w:lineRule="auto"/>
        <w:rPr>
          <w:rFonts w:eastAsiaTheme="minorEastAsia" w:cstheme="minorHAnsi"/>
        </w:rPr>
      </w:pPr>
      <w:r w:rsidRPr="00DA29B2">
        <w:t xml:space="preserve">Masucci MG. Viral ubiquitin and ubiquitin-like deconjugases—Swiss Army knives for infection. Biomolecules. 2020 Aug;10(8):1337. doi: </w:t>
      </w:r>
      <w:hyperlink r:id="rId20" w:history="1">
        <w:r w:rsidRPr="00DA29B2">
          <w:rPr>
            <w:rStyle w:val="Hyperlink"/>
          </w:rPr>
          <w:t>10.3390/biom10081137</w:t>
        </w:r>
      </w:hyperlink>
      <w:r w:rsidRPr="00DA29B2">
        <w:t xml:space="preserve"> PMID: 32752270</w:t>
      </w:r>
    </w:p>
    <w:p w14:paraId="55E2CBF8" w14:textId="3F75525A" w:rsidR="00DA3C4A" w:rsidRPr="00DA29B2" w:rsidRDefault="00DA3C4A" w:rsidP="00466BD8">
      <w:pPr>
        <w:pStyle w:val="ListParagraph"/>
        <w:numPr>
          <w:ilvl w:val="0"/>
          <w:numId w:val="2"/>
        </w:numPr>
        <w:spacing w:after="0" w:line="240" w:lineRule="auto"/>
        <w:rPr>
          <w:rFonts w:eastAsiaTheme="minorEastAsia" w:cstheme="minorHAnsi"/>
        </w:rPr>
      </w:pPr>
      <w:r w:rsidRPr="00DA29B2">
        <w:lastRenderedPageBreak/>
        <w:t>Baez-Santos YM, St John SE, Mesecar AD. The SARS-coronavirus papain-like protease: structure, function and inhibition by designed antiviral compounds.</w:t>
      </w:r>
      <w:r w:rsidR="007F606B" w:rsidRPr="00DA29B2">
        <w:t xml:space="preserve"> Antiviral Res. 2015 Mar;115:21</w:t>
      </w:r>
      <w:r w:rsidR="007F606B" w:rsidRPr="00DA29B2">
        <w:rPr>
          <w:rFonts w:eastAsiaTheme="minorEastAsia" w:cstheme="minorHAnsi"/>
        </w:rPr>
        <w:t>–</w:t>
      </w:r>
      <w:r w:rsidRPr="00DA29B2">
        <w:t xml:space="preserve">38. doi: </w:t>
      </w:r>
      <w:hyperlink r:id="rId21" w:history="1">
        <w:r w:rsidRPr="00DA29B2">
          <w:rPr>
            <w:rStyle w:val="Hyperlink"/>
          </w:rPr>
          <w:t>10.1016/j.antiviral.2014.12.015</w:t>
        </w:r>
      </w:hyperlink>
      <w:r w:rsidRPr="00DA29B2">
        <w:t xml:space="preserve"> PMID: 25554382</w:t>
      </w:r>
    </w:p>
    <w:p w14:paraId="2D0CADC9" w14:textId="615A562C" w:rsidR="00DA3C4A" w:rsidRPr="00DA29B2" w:rsidRDefault="00DA3C4A" w:rsidP="00466BD8">
      <w:pPr>
        <w:pStyle w:val="ListParagraph"/>
        <w:numPr>
          <w:ilvl w:val="0"/>
          <w:numId w:val="2"/>
        </w:numPr>
        <w:spacing w:after="0" w:line="240" w:lineRule="auto"/>
        <w:rPr>
          <w:rFonts w:eastAsiaTheme="minorEastAsia" w:cstheme="minorHAnsi"/>
        </w:rPr>
      </w:pPr>
      <w:r w:rsidRPr="00DA29B2">
        <w:t>Frieman M, Ratia K, Johnston RE, Mesecar AD, Baric RS. Severe acute respiratory coronavirus papain-like protease ubiquitin-like domain and catalytic domain regulate antagonism of IRF3 and NF-κB signaling.</w:t>
      </w:r>
      <w:r w:rsidR="007F606B" w:rsidRPr="00DA29B2">
        <w:t xml:space="preserve"> J Virol. 2009 Jul;83(13):6689</w:t>
      </w:r>
      <w:r w:rsidR="007F606B" w:rsidRPr="00DA29B2">
        <w:rPr>
          <w:rFonts w:eastAsiaTheme="minorEastAsia" w:cstheme="minorHAnsi"/>
        </w:rPr>
        <w:t>–</w:t>
      </w:r>
      <w:r w:rsidRPr="00DA29B2">
        <w:t xml:space="preserve">705. doi: </w:t>
      </w:r>
      <w:hyperlink r:id="rId22" w:history="1">
        <w:r w:rsidRPr="00DA29B2">
          <w:rPr>
            <w:rStyle w:val="Hyperlink"/>
          </w:rPr>
          <w:t>10.1128/JVI.02220-08</w:t>
        </w:r>
      </w:hyperlink>
      <w:r w:rsidRPr="00DA29B2">
        <w:t xml:space="preserve"> PMID: 19369340</w:t>
      </w:r>
    </w:p>
    <w:p w14:paraId="5785E274" w14:textId="6BC2E941" w:rsidR="0071330D" w:rsidRPr="00DA29B2" w:rsidRDefault="0071330D" w:rsidP="00466BD8">
      <w:pPr>
        <w:pStyle w:val="ListParagraph"/>
        <w:numPr>
          <w:ilvl w:val="0"/>
          <w:numId w:val="2"/>
        </w:numPr>
        <w:spacing w:after="0" w:line="240" w:lineRule="auto"/>
        <w:rPr>
          <w:rFonts w:eastAsiaTheme="minorEastAsia" w:cstheme="minorHAnsi"/>
        </w:rPr>
      </w:pPr>
      <w:r w:rsidRPr="00DA29B2">
        <w:rPr>
          <w:rFonts w:eastAsiaTheme="minorEastAsia" w:cstheme="minorHAnsi"/>
        </w:rPr>
        <w:t>Barretto N, Jukneliene D, Ratia K, Chen Z, Mesecar AD, Baker SC. The papain-like protease of severe acute respiratory syndrome coronavirus has deubiqui</w:t>
      </w:r>
      <w:r w:rsidR="00423F74" w:rsidRPr="00DA29B2">
        <w:rPr>
          <w:rFonts w:eastAsiaTheme="minorEastAsia" w:cstheme="minorHAnsi"/>
        </w:rPr>
        <w:t>ti</w:t>
      </w:r>
      <w:r w:rsidRPr="00DA29B2">
        <w:rPr>
          <w:rFonts w:eastAsiaTheme="minorEastAsia" w:cstheme="minorHAnsi"/>
        </w:rPr>
        <w:t>nating activity.</w:t>
      </w:r>
      <w:r w:rsidR="007F606B" w:rsidRPr="00DA29B2">
        <w:rPr>
          <w:rFonts w:eastAsiaTheme="minorEastAsia" w:cstheme="minorHAnsi"/>
        </w:rPr>
        <w:t xml:space="preserve"> J Virol. 2005 Dec;79(24):15189–</w:t>
      </w:r>
      <w:r w:rsidRPr="00DA29B2">
        <w:rPr>
          <w:rFonts w:eastAsiaTheme="minorEastAsia" w:cstheme="minorHAnsi"/>
        </w:rPr>
        <w:t xml:space="preserve">98. </w:t>
      </w:r>
      <w:r w:rsidRPr="00DA29B2">
        <w:rPr>
          <w:rFonts w:cstheme="minorHAnsi"/>
        </w:rPr>
        <w:t xml:space="preserve">doi: </w:t>
      </w:r>
      <w:hyperlink r:id="rId23" w:history="1">
        <w:r w:rsidRPr="00DA29B2">
          <w:rPr>
            <w:rStyle w:val="Hyperlink"/>
            <w:rFonts w:eastAsiaTheme="minorEastAsia" w:cstheme="minorHAnsi"/>
          </w:rPr>
          <w:t>10.1128/JVI.79.24.15189-15198.2005</w:t>
        </w:r>
      </w:hyperlink>
      <w:r w:rsidRPr="00DA29B2">
        <w:rPr>
          <w:rFonts w:eastAsiaTheme="minorEastAsia" w:cstheme="minorHAnsi"/>
        </w:rPr>
        <w:t xml:space="preserve"> PMID: 16306590</w:t>
      </w:r>
    </w:p>
    <w:p w14:paraId="464D5023" w14:textId="763A9786" w:rsidR="0071330D" w:rsidRPr="00DA29B2" w:rsidRDefault="0071330D" w:rsidP="00466BD8">
      <w:pPr>
        <w:pStyle w:val="ListParagraph"/>
        <w:numPr>
          <w:ilvl w:val="0"/>
          <w:numId w:val="2"/>
        </w:numPr>
        <w:spacing w:after="0" w:line="240" w:lineRule="auto"/>
        <w:rPr>
          <w:rFonts w:eastAsiaTheme="minorEastAsia" w:cstheme="minorHAnsi"/>
        </w:rPr>
      </w:pPr>
      <w:r w:rsidRPr="00DA29B2">
        <w:rPr>
          <w:rFonts w:eastAsiaTheme="minorEastAsia" w:cstheme="minorHAnsi"/>
        </w:rPr>
        <w:t xml:space="preserve">Yang X, Chen X, Bian G, Tu J, Xing Y, Wang Y, et al. Proteolytic processing, deubiquitinase and interferon antagonist activities of Middle East respiratory syndrome coronavirus papain-like protease. </w:t>
      </w:r>
      <w:r w:rsidR="007F606B" w:rsidRPr="00DA29B2">
        <w:rPr>
          <w:rFonts w:eastAsiaTheme="minorEastAsia" w:cstheme="minorHAnsi"/>
        </w:rPr>
        <w:t>J Gen Virol. 2014 Mar;95(3):614–</w:t>
      </w:r>
      <w:r w:rsidRPr="00DA29B2">
        <w:rPr>
          <w:rFonts w:eastAsiaTheme="minorEastAsia" w:cstheme="minorHAnsi"/>
        </w:rPr>
        <w:t xml:space="preserve">26. </w:t>
      </w:r>
      <w:r w:rsidRPr="00DA29B2">
        <w:rPr>
          <w:rFonts w:cstheme="minorHAnsi"/>
        </w:rPr>
        <w:t xml:space="preserve">doi: </w:t>
      </w:r>
      <w:hyperlink r:id="rId24" w:history="1">
        <w:r w:rsidRPr="00DA29B2">
          <w:rPr>
            <w:rStyle w:val="Hyperlink"/>
            <w:rFonts w:eastAsiaTheme="minorEastAsia" w:cstheme="minorHAnsi"/>
          </w:rPr>
          <w:t>10.1099/vir.0.059014-0</w:t>
        </w:r>
      </w:hyperlink>
      <w:r w:rsidRPr="00DA29B2">
        <w:rPr>
          <w:rFonts w:eastAsiaTheme="minorEastAsia" w:cstheme="minorHAnsi"/>
        </w:rPr>
        <w:t xml:space="preserve"> PMID: 24362959</w:t>
      </w:r>
    </w:p>
    <w:p w14:paraId="1F0819F2" w14:textId="735F1311" w:rsidR="0071330D" w:rsidRPr="00DA29B2" w:rsidRDefault="0071330D" w:rsidP="00466BD8">
      <w:pPr>
        <w:pStyle w:val="ListParagraph"/>
        <w:numPr>
          <w:ilvl w:val="0"/>
          <w:numId w:val="2"/>
        </w:numPr>
        <w:spacing w:after="0" w:line="240" w:lineRule="auto"/>
      </w:pPr>
      <w:r w:rsidRPr="00DA29B2">
        <w:t>Bailey-Elkin BA, Knaap RCM, Johnson GG, Dalebout TJ, Ninaber DK, van Kasteren PB, et al. Crystal structure of the Middle East respiratory syndrome coronavirus (MERS-CoV) papain-like protease bound to ubiquitin facilitates targeted disruption of deubiqui</w:t>
      </w:r>
      <w:r w:rsidR="00423F74" w:rsidRPr="00DA29B2">
        <w:t>ti</w:t>
      </w:r>
      <w:r w:rsidRPr="00DA29B2">
        <w:t xml:space="preserve">nating activity to demonstrate its role in innate immune suppression. J Biol Chem. 2014 Dec;289:34667–82. doi: </w:t>
      </w:r>
      <w:hyperlink r:id="rId25" w:history="1">
        <w:r w:rsidRPr="00DA29B2">
          <w:rPr>
            <w:rStyle w:val="Hyperlink"/>
          </w:rPr>
          <w:t>10.1074/jbc.M114.609644</w:t>
        </w:r>
      </w:hyperlink>
      <w:r w:rsidRPr="00DA29B2">
        <w:t xml:space="preserve"> PMID: 25320088</w:t>
      </w:r>
    </w:p>
    <w:p w14:paraId="14D81A7B" w14:textId="77777777" w:rsidR="0071330D" w:rsidRPr="00DA29B2" w:rsidRDefault="0071330D" w:rsidP="00466BD8">
      <w:pPr>
        <w:pStyle w:val="ListParagraph"/>
        <w:numPr>
          <w:ilvl w:val="0"/>
          <w:numId w:val="2"/>
        </w:numPr>
        <w:spacing w:after="0" w:line="240" w:lineRule="auto"/>
      </w:pPr>
      <w:r w:rsidRPr="00DA29B2">
        <w:t xml:space="preserve">Li SW, Lai CC, Ping JF, Tsai FJ, Wan L, Lin YJ, et al. Severe acute respiratory syndrome coronavirus papain-like protease suppressed alpha interferon-induced responses through downregulation of extracellular signal-regulated kinase 1-mediated signalling pathways. J Gen Virol. 2011 May;92(5):1127–40. doi: </w:t>
      </w:r>
      <w:hyperlink r:id="rId26" w:history="1">
        <w:r w:rsidRPr="00DA29B2">
          <w:rPr>
            <w:rStyle w:val="Hyperlink"/>
          </w:rPr>
          <w:t>10.1099/vir.0.028936-0</w:t>
        </w:r>
      </w:hyperlink>
      <w:r w:rsidRPr="00DA29B2">
        <w:t xml:space="preserve"> PMID: 21270289</w:t>
      </w:r>
    </w:p>
    <w:p w14:paraId="417C91B0" w14:textId="77777777" w:rsidR="0071330D" w:rsidRPr="00DA29B2" w:rsidRDefault="0071330D" w:rsidP="00466BD8">
      <w:pPr>
        <w:pStyle w:val="ListParagraph"/>
        <w:numPr>
          <w:ilvl w:val="0"/>
          <w:numId w:val="2"/>
        </w:numPr>
        <w:spacing w:after="0" w:line="240" w:lineRule="auto"/>
        <w:rPr>
          <w:rFonts w:eastAsiaTheme="minorEastAsia" w:cstheme="minorHAnsi"/>
        </w:rPr>
      </w:pPr>
      <w:r w:rsidRPr="00DA29B2">
        <w:rPr>
          <w:rFonts w:eastAsiaTheme="minorEastAsia" w:cstheme="minorHAnsi"/>
        </w:rPr>
        <w:t xml:space="preserve">Xing Y, Chen J, Tu J, Zhang B, Chen X, Shi H, et al. The papain-like protease of porcine epidemic diarrhea virus negatively regulates type I interferon pathway by acting as a viral deubiquitinase. J Gen Virol. 2013 Jul;94(7):1554–67. </w:t>
      </w:r>
      <w:r w:rsidRPr="00DA29B2">
        <w:rPr>
          <w:rFonts w:cstheme="minorHAnsi"/>
        </w:rPr>
        <w:t xml:space="preserve">doi: </w:t>
      </w:r>
      <w:hyperlink r:id="rId27" w:history="1">
        <w:r w:rsidRPr="00DA29B2">
          <w:rPr>
            <w:rStyle w:val="Hyperlink"/>
            <w:rFonts w:eastAsiaTheme="minorEastAsia" w:cstheme="minorHAnsi"/>
          </w:rPr>
          <w:t>10.1099/vir.0.051169-0</w:t>
        </w:r>
      </w:hyperlink>
      <w:r w:rsidRPr="00DA29B2">
        <w:rPr>
          <w:rFonts w:eastAsiaTheme="minorEastAsia" w:cstheme="minorHAnsi"/>
        </w:rPr>
        <w:t xml:space="preserve"> PMID: 23596270</w:t>
      </w:r>
    </w:p>
    <w:p w14:paraId="62EDDED5" w14:textId="4FD6C8F4" w:rsidR="0071330D" w:rsidRPr="00DA29B2" w:rsidRDefault="0071330D" w:rsidP="00466BD8">
      <w:pPr>
        <w:pStyle w:val="ListParagraph"/>
        <w:numPr>
          <w:ilvl w:val="0"/>
          <w:numId w:val="2"/>
        </w:numPr>
        <w:spacing w:after="0" w:line="240" w:lineRule="auto"/>
        <w:rPr>
          <w:rFonts w:eastAsiaTheme="minorEastAsia" w:cstheme="minorHAnsi"/>
        </w:rPr>
      </w:pPr>
      <w:r w:rsidRPr="00DA29B2">
        <w:rPr>
          <w:rFonts w:eastAsiaTheme="minorEastAsia" w:cstheme="minorHAnsi"/>
        </w:rPr>
        <w:t>Matthews K, Schafer A, Pham A, Frieman M. The SARS coronavirus papain like protease can inhibit IRF3 at a post activation step that requires deubiqui</w:t>
      </w:r>
      <w:r w:rsidR="00A65F56" w:rsidRPr="00DA29B2">
        <w:rPr>
          <w:rFonts w:eastAsiaTheme="minorEastAsia" w:cstheme="minorHAnsi"/>
        </w:rPr>
        <w:t>ti</w:t>
      </w:r>
      <w:r w:rsidRPr="00DA29B2">
        <w:rPr>
          <w:rFonts w:eastAsiaTheme="minorEastAsia" w:cstheme="minorHAnsi"/>
        </w:rPr>
        <w:t xml:space="preserve">nation activity. Virol J. 2014 Dec;11:209. </w:t>
      </w:r>
      <w:r w:rsidRPr="00DA29B2">
        <w:rPr>
          <w:rFonts w:cstheme="minorHAnsi"/>
        </w:rPr>
        <w:t xml:space="preserve">doi: </w:t>
      </w:r>
      <w:hyperlink r:id="rId28" w:history="1">
        <w:r w:rsidRPr="00DA29B2">
          <w:rPr>
            <w:rStyle w:val="Hyperlink"/>
            <w:rFonts w:eastAsiaTheme="minorEastAsia" w:cstheme="minorHAnsi"/>
          </w:rPr>
          <w:t>10.1186/s12985-014-0209-9</w:t>
        </w:r>
      </w:hyperlink>
      <w:r w:rsidRPr="00DA29B2">
        <w:rPr>
          <w:rFonts w:eastAsiaTheme="minorEastAsia" w:cstheme="minorHAnsi"/>
        </w:rPr>
        <w:t xml:space="preserve"> PMID: 25481026</w:t>
      </w:r>
    </w:p>
    <w:p w14:paraId="5A8A7FAC" w14:textId="7F4364F9" w:rsidR="0071330D" w:rsidRPr="00DA29B2" w:rsidRDefault="0071330D" w:rsidP="00466BD8">
      <w:pPr>
        <w:pStyle w:val="ListParagraph"/>
        <w:numPr>
          <w:ilvl w:val="0"/>
          <w:numId w:val="2"/>
        </w:numPr>
        <w:spacing w:after="0" w:line="240" w:lineRule="auto"/>
        <w:rPr>
          <w:rFonts w:eastAsiaTheme="minorEastAsia" w:cstheme="minorHAnsi"/>
        </w:rPr>
      </w:pPr>
      <w:r w:rsidRPr="00DA29B2">
        <w:rPr>
          <w:rFonts w:cstheme="minorHAnsi"/>
        </w:rPr>
        <w:t>Devaraj SG, Wang N, Chen Z, Chen Z, Tseng M, Barretto N, et al. Regulation of IRF-3-dependent innate immunity by the papain-like protease domain of the severe acute respiratory syndrome coronavirus. J Biol Chem. 2007 Nov;282:32208</w:t>
      </w:r>
      <w:r w:rsidRPr="00DA29B2">
        <w:rPr>
          <w:rFonts w:eastAsiaTheme="minorEastAsia" w:cstheme="minorHAnsi"/>
        </w:rPr>
        <w:t>–</w:t>
      </w:r>
      <w:r w:rsidRPr="00DA29B2">
        <w:rPr>
          <w:rFonts w:cstheme="minorHAnsi"/>
        </w:rPr>
        <w:t xml:space="preserve">21. doi: </w:t>
      </w:r>
      <w:hyperlink r:id="rId29" w:history="1">
        <w:r w:rsidRPr="00DA29B2">
          <w:rPr>
            <w:rStyle w:val="Hyperlink"/>
            <w:rFonts w:cstheme="minorHAnsi"/>
          </w:rPr>
          <w:t>10.1074/jbc.M704870200</w:t>
        </w:r>
      </w:hyperlink>
      <w:r w:rsidRPr="00DA29B2">
        <w:rPr>
          <w:rFonts w:eastAsiaTheme="minorEastAsia" w:cstheme="minorHAnsi"/>
        </w:rPr>
        <w:t xml:space="preserve"> PMID: 17761676</w:t>
      </w:r>
    </w:p>
    <w:p w14:paraId="5785A050" w14:textId="7514943F" w:rsidR="00DA3C4A" w:rsidRPr="00DA29B2" w:rsidRDefault="00DA3C4A" w:rsidP="00466BD8">
      <w:pPr>
        <w:pStyle w:val="ListParagraph"/>
        <w:numPr>
          <w:ilvl w:val="0"/>
          <w:numId w:val="2"/>
        </w:numPr>
        <w:spacing w:after="0" w:line="240" w:lineRule="auto"/>
        <w:rPr>
          <w:rFonts w:eastAsiaTheme="minorEastAsia" w:cstheme="minorHAnsi"/>
        </w:rPr>
      </w:pPr>
      <w:r w:rsidRPr="00DA29B2">
        <w:t>Wang CY, Lu CY, Li SW, Lai CC, Hua CH, Huang SH, et al. SARS coronavirus papain-like protease up-regulates the collagen expression through non-Samd TGF-β1 signal</w:t>
      </w:r>
      <w:r w:rsidR="007F606B" w:rsidRPr="00DA29B2">
        <w:t>ing. Virus Res. 2017 May;235:58</w:t>
      </w:r>
      <w:r w:rsidR="007F606B" w:rsidRPr="00DA29B2">
        <w:rPr>
          <w:rFonts w:eastAsiaTheme="minorEastAsia" w:cstheme="minorHAnsi"/>
        </w:rPr>
        <w:t>–</w:t>
      </w:r>
      <w:r w:rsidRPr="00DA29B2">
        <w:t xml:space="preserve">66. doi: </w:t>
      </w:r>
      <w:hyperlink r:id="rId30" w:history="1">
        <w:r w:rsidRPr="00DA29B2">
          <w:rPr>
            <w:rStyle w:val="Hyperlink"/>
          </w:rPr>
          <w:t>10.1016/j.virusres.2017.04.008</w:t>
        </w:r>
      </w:hyperlink>
      <w:r w:rsidRPr="00DA29B2">
        <w:t xml:space="preserve"> PMID: 28414040</w:t>
      </w:r>
    </w:p>
    <w:p w14:paraId="6DF1EF65" w14:textId="3B68C2B8" w:rsidR="00FA59C5" w:rsidRPr="00DA29B2" w:rsidRDefault="00FA59C5" w:rsidP="00466BD8">
      <w:pPr>
        <w:pStyle w:val="ListParagraph"/>
        <w:numPr>
          <w:ilvl w:val="0"/>
          <w:numId w:val="2"/>
        </w:numPr>
        <w:spacing w:after="0" w:line="240" w:lineRule="auto"/>
        <w:rPr>
          <w:rFonts w:eastAsiaTheme="minorEastAsia" w:cstheme="minorHAnsi"/>
        </w:rPr>
      </w:pPr>
      <w:r w:rsidRPr="00DA29B2">
        <w:t>Liu G, Lee JH, Parker ZM, Acharya D, Chiang JJ, van Gent M, et al. ISG15-dependent activation of the sensor MDA5 is antagonized by the SARS-CoV-2 papain-like protease to evade host innate immunity. N</w:t>
      </w:r>
      <w:r w:rsidR="007F606B" w:rsidRPr="00DA29B2">
        <w:t>at Microbiol. 2021 Apr;6(4):467</w:t>
      </w:r>
      <w:r w:rsidR="007F606B" w:rsidRPr="00DA29B2">
        <w:rPr>
          <w:rFonts w:eastAsiaTheme="minorEastAsia" w:cstheme="minorHAnsi"/>
        </w:rPr>
        <w:t>–</w:t>
      </w:r>
      <w:r w:rsidRPr="00DA29B2">
        <w:t xml:space="preserve">78. doi: </w:t>
      </w:r>
      <w:hyperlink r:id="rId31" w:history="1">
        <w:r w:rsidRPr="00DA29B2">
          <w:rPr>
            <w:rStyle w:val="Hyperlink"/>
          </w:rPr>
          <w:t>10.1038/s41564-021-00884-1</w:t>
        </w:r>
      </w:hyperlink>
      <w:r w:rsidRPr="00DA29B2">
        <w:t xml:space="preserve"> PMID: 33727702</w:t>
      </w:r>
    </w:p>
    <w:p w14:paraId="7FB81270" w14:textId="02D74C5A" w:rsidR="00FA59C5" w:rsidRPr="00DA29B2" w:rsidRDefault="00FA59C5" w:rsidP="00466BD8">
      <w:pPr>
        <w:pStyle w:val="ListParagraph"/>
        <w:numPr>
          <w:ilvl w:val="0"/>
          <w:numId w:val="2"/>
        </w:numPr>
        <w:spacing w:after="0" w:line="240" w:lineRule="auto"/>
        <w:rPr>
          <w:rFonts w:eastAsiaTheme="minorEastAsia" w:cstheme="minorHAnsi"/>
        </w:rPr>
      </w:pPr>
      <w:r w:rsidRPr="00DA29B2">
        <w:t>Reynolds ND, Aceves NM, Liu JL, Compto</w:t>
      </w:r>
      <w:r w:rsidR="00996E97" w:rsidRPr="00DA29B2">
        <w:t xml:space="preserve">n </w:t>
      </w:r>
      <w:r w:rsidRPr="00DA29B2">
        <w:t>JR, Leary DH, Freitas BT, et al. The SARS-CoV-2 SSHHPS recognized by the papain-like protease. ACS</w:t>
      </w:r>
      <w:r w:rsidR="007F606B" w:rsidRPr="00DA29B2">
        <w:t xml:space="preserve"> Infect Dis. 2021 Jun;7(6):1483</w:t>
      </w:r>
      <w:r w:rsidR="007F606B" w:rsidRPr="00DA29B2">
        <w:rPr>
          <w:rFonts w:eastAsiaTheme="minorEastAsia" w:cstheme="minorHAnsi"/>
        </w:rPr>
        <w:t>–</w:t>
      </w:r>
      <w:r w:rsidRPr="00DA29B2">
        <w:t xml:space="preserve">502. doi: </w:t>
      </w:r>
      <w:hyperlink r:id="rId32" w:history="1">
        <w:r w:rsidRPr="00DA29B2">
          <w:rPr>
            <w:rStyle w:val="Hyperlink"/>
          </w:rPr>
          <w:t>10.1021/acsinfecdis.0c00866</w:t>
        </w:r>
      </w:hyperlink>
      <w:r w:rsidRPr="00DA29B2">
        <w:t xml:space="preserve"> PMID: 34019767</w:t>
      </w:r>
    </w:p>
    <w:p w14:paraId="21E1384A" w14:textId="460804F9" w:rsidR="00FA59C5" w:rsidRPr="00DA29B2" w:rsidRDefault="00FA59C5" w:rsidP="00466BD8">
      <w:pPr>
        <w:pStyle w:val="ListParagraph"/>
        <w:numPr>
          <w:ilvl w:val="0"/>
          <w:numId w:val="2"/>
        </w:numPr>
        <w:spacing w:after="0" w:line="240" w:lineRule="auto"/>
        <w:rPr>
          <w:rFonts w:eastAsiaTheme="minorEastAsia" w:cstheme="minorHAnsi"/>
        </w:rPr>
      </w:pPr>
      <w:r w:rsidRPr="00DA29B2">
        <w:t>Moustaqil M, Ollivier E, Chiu HP, Van Tol S, Rudolffi-Soto P, Stevens C, et al. SARS-CoV-2 proteases PLpro and 3CLpro cleave IRF3 and critical modulators of inflammatory pathways (NLRP12 and TAB1): implications for disease presentation across species. Emerg Micr</w:t>
      </w:r>
      <w:r w:rsidR="007F606B" w:rsidRPr="00DA29B2">
        <w:t>obes Infect. 2021 Dec;10(1):178</w:t>
      </w:r>
      <w:r w:rsidR="007F606B" w:rsidRPr="00DA29B2">
        <w:rPr>
          <w:rFonts w:eastAsiaTheme="minorEastAsia" w:cstheme="minorHAnsi"/>
        </w:rPr>
        <w:t>–</w:t>
      </w:r>
      <w:r w:rsidRPr="00DA29B2">
        <w:t xml:space="preserve">95. doi: </w:t>
      </w:r>
      <w:hyperlink r:id="rId33" w:history="1">
        <w:r w:rsidRPr="00DA29B2">
          <w:rPr>
            <w:rStyle w:val="Hyperlink"/>
          </w:rPr>
          <w:t>10.1080/22221751.2020.1870414</w:t>
        </w:r>
      </w:hyperlink>
      <w:r w:rsidRPr="00DA29B2">
        <w:t xml:space="preserve"> PMID: 33372854</w:t>
      </w:r>
    </w:p>
    <w:p w14:paraId="69E80698" w14:textId="3183A456" w:rsidR="00FA59C5" w:rsidRPr="00CF76AF" w:rsidRDefault="00FA59C5" w:rsidP="00466BD8">
      <w:pPr>
        <w:pStyle w:val="ListParagraph"/>
        <w:numPr>
          <w:ilvl w:val="0"/>
          <w:numId w:val="2"/>
        </w:numPr>
        <w:spacing w:after="0" w:line="240" w:lineRule="auto"/>
        <w:rPr>
          <w:rFonts w:eastAsiaTheme="minorEastAsia" w:cstheme="minorHAnsi"/>
        </w:rPr>
      </w:pPr>
      <w:r w:rsidRPr="00DA29B2">
        <w:t xml:space="preserve">Mohamud Y, Xue YC, Liu H, Ng CS, Bahreyni A, Jan E, et al. The papain-like protease of coronaviruses cleaves ULK1 to disrupt host </w:t>
      </w:r>
      <w:r w:rsidRPr="00CF76AF">
        <w:t>autophagy. Biochem Biop</w:t>
      </w:r>
      <w:r w:rsidR="007F606B" w:rsidRPr="00CF76AF">
        <w:t>hys Res Commun. 2021 Feb;540:75</w:t>
      </w:r>
      <w:r w:rsidR="007F606B" w:rsidRPr="00CF76AF">
        <w:rPr>
          <w:rFonts w:eastAsiaTheme="minorEastAsia" w:cstheme="minorHAnsi"/>
        </w:rPr>
        <w:t>–</w:t>
      </w:r>
      <w:r w:rsidRPr="00CF76AF">
        <w:t xml:space="preserve">82. doi: </w:t>
      </w:r>
      <w:hyperlink r:id="rId34" w:history="1">
        <w:r w:rsidRPr="00CF76AF">
          <w:rPr>
            <w:rStyle w:val="Hyperlink"/>
          </w:rPr>
          <w:t>10.1016/j.bbrc.2020.12.091</w:t>
        </w:r>
      </w:hyperlink>
      <w:r w:rsidRPr="00CF76AF">
        <w:t xml:space="preserve"> PMID: 33450483</w:t>
      </w:r>
    </w:p>
    <w:p w14:paraId="3D95382D" w14:textId="5D18DF9D" w:rsidR="0009110C" w:rsidRPr="00CF76AF" w:rsidRDefault="0009110C" w:rsidP="00466BD8">
      <w:pPr>
        <w:pStyle w:val="ListParagraph"/>
        <w:numPr>
          <w:ilvl w:val="0"/>
          <w:numId w:val="2"/>
        </w:numPr>
        <w:spacing w:after="0" w:line="240" w:lineRule="auto"/>
        <w:rPr>
          <w:rFonts w:eastAsiaTheme="minorEastAsia" w:cstheme="minorHAnsi"/>
        </w:rPr>
      </w:pPr>
      <w:r w:rsidRPr="00CF76AF">
        <w:rPr>
          <w:rFonts w:eastAsiaTheme="minorEastAsia" w:cstheme="minorHAnsi"/>
        </w:rPr>
        <w:t xml:space="preserve">Meyer B, Chiaravalli J, Gellenoncourt S, Brownridge P, Bryne DP, Daly LE, et al. Characterising proteolysis during SARS-CoV-2 infection identifies viral cleavage sites and cellular targets with </w:t>
      </w:r>
      <w:r w:rsidRPr="00CF76AF">
        <w:rPr>
          <w:rFonts w:eastAsiaTheme="minorEastAsia" w:cstheme="minorHAnsi"/>
        </w:rPr>
        <w:lastRenderedPageBreak/>
        <w:t xml:space="preserve">therapeutic potential. Nat Commun. 2021 Sep;12(1):5553. doi: </w:t>
      </w:r>
      <w:hyperlink r:id="rId35" w:history="1">
        <w:r w:rsidR="008C2C51" w:rsidRPr="00CF76AF">
          <w:rPr>
            <w:rStyle w:val="Hyperlink"/>
            <w:rFonts w:eastAsiaTheme="minorEastAsia" w:cstheme="minorHAnsi"/>
          </w:rPr>
          <w:t>10.1038/s41467-021-25796-w</w:t>
        </w:r>
      </w:hyperlink>
      <w:r w:rsidR="008C2C51" w:rsidRPr="00CF76AF">
        <w:rPr>
          <w:rFonts w:eastAsiaTheme="minorEastAsia" w:cstheme="minorHAnsi"/>
        </w:rPr>
        <w:t xml:space="preserve"> </w:t>
      </w:r>
      <w:r w:rsidRPr="00CF76AF">
        <w:rPr>
          <w:rFonts w:eastAsiaTheme="minorEastAsia" w:cstheme="minorHAnsi"/>
        </w:rPr>
        <w:t>PMID: 34548480</w:t>
      </w:r>
    </w:p>
    <w:p w14:paraId="0F326D01" w14:textId="595A895E" w:rsidR="00DA3C4A" w:rsidRPr="00DA29B2" w:rsidRDefault="00DA3C4A" w:rsidP="00466BD8">
      <w:pPr>
        <w:pStyle w:val="ListParagraph"/>
        <w:numPr>
          <w:ilvl w:val="0"/>
          <w:numId w:val="2"/>
        </w:numPr>
        <w:spacing w:after="0" w:line="240" w:lineRule="auto"/>
        <w:rPr>
          <w:rFonts w:eastAsiaTheme="minorEastAsia" w:cstheme="minorHAnsi"/>
        </w:rPr>
      </w:pPr>
      <w:r w:rsidRPr="00CF76AF">
        <w:rPr>
          <w:rFonts w:eastAsiaTheme="minorEastAsia" w:cstheme="minorHAnsi"/>
        </w:rPr>
        <w:t>Gao F, Ou HY, Chen LL, Zheng WZ, Zhang</w:t>
      </w:r>
      <w:r w:rsidRPr="00DA29B2">
        <w:rPr>
          <w:rFonts w:eastAsiaTheme="minorEastAsia" w:cstheme="minorHAnsi"/>
        </w:rPr>
        <w:t xml:space="preserve"> CT. Prediction of proteinase cleavage sites in polyproteins of coronaviruses and its applications in analyzing SARS-CoV genomes.</w:t>
      </w:r>
      <w:r w:rsidR="007F606B" w:rsidRPr="00DA29B2">
        <w:rPr>
          <w:rFonts w:eastAsiaTheme="minorEastAsia" w:cstheme="minorHAnsi"/>
        </w:rPr>
        <w:t xml:space="preserve"> FEBS Lett. 2003 Oct;553(3):451–</w:t>
      </w:r>
      <w:r w:rsidRPr="00DA29B2">
        <w:rPr>
          <w:rFonts w:eastAsiaTheme="minorEastAsia" w:cstheme="minorHAnsi"/>
        </w:rPr>
        <w:t xml:space="preserve">6. doi: </w:t>
      </w:r>
      <w:hyperlink r:id="rId36" w:history="1">
        <w:r w:rsidRPr="00DA29B2">
          <w:rPr>
            <w:rStyle w:val="Hyperlink"/>
            <w:rFonts w:eastAsiaTheme="minorEastAsia" w:cstheme="minorHAnsi"/>
          </w:rPr>
          <w:t>10.1016/s0014-5793(03)01091-3</w:t>
        </w:r>
      </w:hyperlink>
      <w:r w:rsidRPr="00DA29B2">
        <w:rPr>
          <w:rFonts w:eastAsiaTheme="minorEastAsia" w:cstheme="minorHAnsi"/>
        </w:rPr>
        <w:t xml:space="preserve"> PMID: 14572668</w:t>
      </w:r>
    </w:p>
    <w:p w14:paraId="0E50D1B7" w14:textId="77777777" w:rsidR="0071330D" w:rsidRPr="00DA29B2" w:rsidRDefault="0071330D" w:rsidP="00466BD8">
      <w:pPr>
        <w:pStyle w:val="ListParagraph"/>
        <w:numPr>
          <w:ilvl w:val="0"/>
          <w:numId w:val="2"/>
        </w:numPr>
        <w:spacing w:after="0" w:line="240" w:lineRule="auto"/>
      </w:pPr>
      <w:r w:rsidRPr="00DA29B2">
        <w:t xml:space="preserve">The UniProt Consortium. UniProt: a worldwide hub of protein knowledge. Nucleic Acids Res. 2019 Jan;47(D1):D505–15. doi: </w:t>
      </w:r>
      <w:hyperlink r:id="rId37" w:history="1">
        <w:r w:rsidRPr="00DA29B2">
          <w:rPr>
            <w:rStyle w:val="Hyperlink"/>
          </w:rPr>
          <w:t>10.1093/nar/gky1049</w:t>
        </w:r>
      </w:hyperlink>
      <w:r w:rsidRPr="00DA29B2">
        <w:t xml:space="preserve"> PMID: 30395287</w:t>
      </w:r>
    </w:p>
    <w:p w14:paraId="4D89FFFE" w14:textId="77777777" w:rsidR="0071330D" w:rsidRPr="00DA29B2" w:rsidRDefault="0071330D" w:rsidP="00466BD8">
      <w:pPr>
        <w:pStyle w:val="ListParagraph"/>
        <w:numPr>
          <w:ilvl w:val="0"/>
          <w:numId w:val="2"/>
        </w:numPr>
        <w:spacing w:after="0" w:line="240" w:lineRule="auto"/>
      </w:pPr>
      <w:r w:rsidRPr="00DA29B2">
        <w:t xml:space="preserve">Benson DA, Cavanaugh M, Clark K, Karsch-Mizrachi I, Lipman DJ, Ostell J. GenBank. Nucleic Acids Res. 2017 Jan;45(D1):D37–42. doi: </w:t>
      </w:r>
      <w:hyperlink r:id="rId38" w:history="1">
        <w:r w:rsidRPr="00DA29B2">
          <w:rPr>
            <w:rStyle w:val="Hyperlink"/>
          </w:rPr>
          <w:t>10.1093/nar/gkw1070</w:t>
        </w:r>
      </w:hyperlink>
      <w:r w:rsidRPr="00DA29B2">
        <w:t xml:space="preserve"> PMID: 27899564</w:t>
      </w:r>
    </w:p>
    <w:p w14:paraId="422E9B0D" w14:textId="77777777" w:rsidR="0071330D" w:rsidRPr="00DA29B2" w:rsidRDefault="0071330D" w:rsidP="00466BD8">
      <w:pPr>
        <w:pStyle w:val="ListParagraph"/>
        <w:numPr>
          <w:ilvl w:val="0"/>
          <w:numId w:val="2"/>
        </w:numPr>
        <w:spacing w:after="0" w:line="240" w:lineRule="auto"/>
      </w:pPr>
      <w:r w:rsidRPr="00DA29B2">
        <w:t xml:space="preserve">Sievers F, Wilm A, Dineen D, Gibson TJ, Karplus K, Li W, et al. Fast, scalable generation of high-quality protein multiple sequence alignments using Clustal Omega. Mol Syst Biol. 2011 Oct;7:539. doi: </w:t>
      </w:r>
      <w:hyperlink r:id="rId39" w:history="1">
        <w:r w:rsidRPr="00DA29B2">
          <w:rPr>
            <w:rStyle w:val="Hyperlink"/>
          </w:rPr>
          <w:t>10.1038/msb.2011.75</w:t>
        </w:r>
      </w:hyperlink>
      <w:r w:rsidRPr="00DA29B2">
        <w:t xml:space="preserve"> PMID: 21988835</w:t>
      </w:r>
    </w:p>
    <w:p w14:paraId="10FF0B28" w14:textId="77777777" w:rsidR="0071330D" w:rsidRPr="00DA29B2" w:rsidRDefault="0071330D" w:rsidP="00466BD8">
      <w:pPr>
        <w:pStyle w:val="ListParagraph"/>
        <w:numPr>
          <w:ilvl w:val="0"/>
          <w:numId w:val="2"/>
        </w:numPr>
        <w:spacing w:after="0" w:line="240" w:lineRule="auto"/>
      </w:pPr>
      <w:r w:rsidRPr="00DA29B2">
        <w:t xml:space="preserve">Goujon M, McWilliam H, Li W, Valentin F, Squizzato S, Paern J, et al. A new bioinformatics analysis tools framework at EMBL-EBI. Nucleic Acids Res. 2010 Jul;38(2):W695–9. doi: </w:t>
      </w:r>
      <w:hyperlink r:id="rId40" w:history="1">
        <w:r w:rsidRPr="00DA29B2">
          <w:rPr>
            <w:rStyle w:val="Hyperlink"/>
          </w:rPr>
          <w:t>10.1093/nar/gkq313</w:t>
        </w:r>
      </w:hyperlink>
      <w:r w:rsidRPr="00DA29B2">
        <w:t xml:space="preserve"> PMID: 20439314</w:t>
      </w:r>
    </w:p>
    <w:p w14:paraId="235BB14F" w14:textId="77777777" w:rsidR="0071330D" w:rsidRPr="00DA29B2" w:rsidRDefault="0071330D" w:rsidP="00466BD8">
      <w:pPr>
        <w:pStyle w:val="ListParagraph"/>
        <w:numPr>
          <w:ilvl w:val="0"/>
          <w:numId w:val="2"/>
        </w:numPr>
        <w:spacing w:after="0" w:line="240" w:lineRule="auto"/>
      </w:pPr>
      <w:r w:rsidRPr="00DA29B2">
        <w:t xml:space="preserve">McWilliam H, Li W, Uludag M, Squizzato S, Park YM, Buso N, et al. Analysis tool web services from the EMBL-EBI. Nucleic Acids Res. 2013 Jul;41(W1):W597–600. doi: </w:t>
      </w:r>
      <w:hyperlink r:id="rId41" w:history="1">
        <w:r w:rsidRPr="00DA29B2">
          <w:rPr>
            <w:rStyle w:val="Hyperlink"/>
          </w:rPr>
          <w:t>10.1093/nar/gkt376</w:t>
        </w:r>
      </w:hyperlink>
      <w:r w:rsidRPr="00DA29B2">
        <w:t xml:space="preserve"> PMID: 23671338</w:t>
      </w:r>
    </w:p>
    <w:p w14:paraId="0FADEAE2" w14:textId="77777777" w:rsidR="0071330D" w:rsidRPr="00DA29B2" w:rsidRDefault="0071330D" w:rsidP="00466BD8">
      <w:pPr>
        <w:pStyle w:val="ListParagraph"/>
        <w:numPr>
          <w:ilvl w:val="0"/>
          <w:numId w:val="2"/>
        </w:numPr>
        <w:spacing w:after="0" w:line="240" w:lineRule="auto"/>
        <w:rPr>
          <w:rStyle w:val="Hyperlink"/>
          <w:rFonts w:eastAsiaTheme="minorEastAsia" w:cstheme="minorHAnsi"/>
          <w:color w:val="auto"/>
        </w:rPr>
      </w:pPr>
      <w:r w:rsidRPr="00DA29B2">
        <w:rPr>
          <w:rFonts w:eastAsiaTheme="minorEastAsia" w:cstheme="minorHAnsi"/>
        </w:rPr>
        <w:t xml:space="preserve">Bukhari K, Mulley G, Gulyaeva AA, Zhao L, Shu G, Jiang J, et al. Description and initial characterization of metatranscriptomic nidovirus-like genomes from the proposed new family Abyssoviridae, and from a sister group to the </w:t>
      </w:r>
      <w:r w:rsidRPr="00DA29B2">
        <w:rPr>
          <w:rFonts w:eastAsiaTheme="minorEastAsia" w:cstheme="minorHAnsi"/>
          <w:i/>
          <w:iCs/>
        </w:rPr>
        <w:t>Coronavirinae</w:t>
      </w:r>
      <w:r w:rsidRPr="00DA29B2">
        <w:rPr>
          <w:rFonts w:eastAsiaTheme="minorEastAsia" w:cstheme="minorHAnsi"/>
        </w:rPr>
        <w:t xml:space="preserve">, the proposed genus Alphaletovirus. Virology. 2018 Nov;524:160–71. doi: </w:t>
      </w:r>
      <w:hyperlink r:id="rId42" w:history="1">
        <w:r w:rsidRPr="00DA29B2">
          <w:rPr>
            <w:rStyle w:val="Hyperlink"/>
            <w:rFonts w:eastAsiaTheme="minorEastAsia" w:cstheme="minorHAnsi"/>
          </w:rPr>
          <w:t>10.1016/j.virol.2018.08.010</w:t>
        </w:r>
      </w:hyperlink>
      <w:r w:rsidRPr="00DA29B2">
        <w:rPr>
          <w:rFonts w:eastAsiaTheme="minorEastAsia" w:cstheme="minorHAnsi"/>
        </w:rPr>
        <w:t xml:space="preserve"> PMID: 30199753</w:t>
      </w:r>
    </w:p>
    <w:p w14:paraId="1E18A902" w14:textId="77777777" w:rsidR="0071330D" w:rsidRPr="00DA29B2" w:rsidRDefault="0071330D" w:rsidP="00466BD8">
      <w:pPr>
        <w:pStyle w:val="ListParagraph"/>
        <w:numPr>
          <w:ilvl w:val="0"/>
          <w:numId w:val="2"/>
        </w:numPr>
        <w:spacing w:after="0" w:line="240" w:lineRule="auto"/>
        <w:rPr>
          <w:rStyle w:val="Hyperlink"/>
          <w:rFonts w:eastAsiaTheme="minorEastAsia" w:cstheme="minorHAnsi"/>
          <w:color w:val="auto"/>
        </w:rPr>
      </w:pPr>
      <w:r w:rsidRPr="00DA29B2">
        <w:rPr>
          <w:rFonts w:cstheme="minorHAnsi"/>
        </w:rPr>
        <w:t>Pedregosa F, Varoquaux G, Gramfort A, Michel V, Thirion B, Grisel O, et al. Scikit-learn: Machine Learning in Python. J Mach Learn Res. 2011 Oct;12:2825</w:t>
      </w:r>
      <w:r w:rsidRPr="00DA29B2">
        <w:rPr>
          <w:rFonts w:eastAsiaTheme="minorEastAsia" w:cstheme="minorHAnsi"/>
        </w:rPr>
        <w:t>–</w:t>
      </w:r>
      <w:r w:rsidRPr="00DA29B2">
        <w:rPr>
          <w:rFonts w:cstheme="minorHAnsi"/>
        </w:rPr>
        <w:t xml:space="preserve">30. </w:t>
      </w:r>
      <w:hyperlink r:id="rId43" w:history="1">
        <w:r w:rsidRPr="00DA29B2">
          <w:rPr>
            <w:rStyle w:val="Hyperlink"/>
            <w:rFonts w:cstheme="minorHAnsi"/>
          </w:rPr>
          <w:t>http://jmlr.csail.mit.edu/papers/v12/pedregosa11a.html</w:t>
        </w:r>
      </w:hyperlink>
    </w:p>
    <w:p w14:paraId="4892DA45" w14:textId="77777777" w:rsidR="00B14A91" w:rsidRPr="00DA29B2" w:rsidRDefault="0071330D" w:rsidP="00466BD8">
      <w:pPr>
        <w:pStyle w:val="ListParagraph"/>
        <w:numPr>
          <w:ilvl w:val="0"/>
          <w:numId w:val="2"/>
        </w:numPr>
        <w:spacing w:after="0" w:line="240" w:lineRule="auto"/>
      </w:pPr>
      <w:r w:rsidRPr="00DA29B2">
        <w:t>Huang DW, Sherman BT, Lempicki RA. Systematic and integrative analysis of large gene lists using DAVID bioinformatics resource</w:t>
      </w:r>
      <w:r w:rsidR="007F606B" w:rsidRPr="00DA29B2">
        <w:t>s. Nat Protoc. 2009 Jan;4(1):44</w:t>
      </w:r>
      <w:r w:rsidR="007F606B" w:rsidRPr="00DA29B2">
        <w:rPr>
          <w:rFonts w:eastAsiaTheme="minorEastAsia" w:cstheme="minorHAnsi"/>
        </w:rPr>
        <w:t>–</w:t>
      </w:r>
      <w:r w:rsidRPr="00DA29B2">
        <w:t xml:space="preserve">57. doi: </w:t>
      </w:r>
      <w:hyperlink r:id="rId44" w:history="1">
        <w:r w:rsidRPr="00DA29B2">
          <w:rPr>
            <w:rStyle w:val="Hyperlink"/>
          </w:rPr>
          <w:t>10.1038/nprot.2008.211</w:t>
        </w:r>
      </w:hyperlink>
      <w:r w:rsidRPr="00DA29B2">
        <w:t xml:space="preserve"> PMID: 19131956</w:t>
      </w:r>
    </w:p>
    <w:p w14:paraId="4E2AFCCE" w14:textId="1C6CC919" w:rsidR="0071330D" w:rsidRPr="00DA29B2" w:rsidRDefault="00B14A91" w:rsidP="00466BD8">
      <w:pPr>
        <w:pStyle w:val="ListParagraph"/>
        <w:numPr>
          <w:ilvl w:val="0"/>
          <w:numId w:val="2"/>
        </w:numPr>
        <w:spacing w:after="0" w:line="240" w:lineRule="auto"/>
      </w:pPr>
      <w:r w:rsidRPr="00DA29B2">
        <w:t xml:space="preserve">Huang DW, Sherman BT, Lempicki </w:t>
      </w:r>
      <w:r w:rsidR="0071330D" w:rsidRPr="00DA29B2">
        <w:t xml:space="preserve">RA. Bioinformatics enrichment tools: Paths toward the comprehensive functional analysis of large gene lists. Nucleic Acids Res. 2009 Jan;37(1):1–13. doi: </w:t>
      </w:r>
      <w:hyperlink r:id="rId45" w:history="1">
        <w:r w:rsidR="0071330D" w:rsidRPr="00DA29B2">
          <w:rPr>
            <w:rStyle w:val="Hyperlink"/>
          </w:rPr>
          <w:t>10.1093/nar/gkn923</w:t>
        </w:r>
      </w:hyperlink>
      <w:r w:rsidR="0071330D" w:rsidRPr="00DA29B2">
        <w:t xml:space="preserve"> PMID: 19033363</w:t>
      </w:r>
    </w:p>
    <w:p w14:paraId="19599586" w14:textId="0DB350FF" w:rsidR="00B14A91" w:rsidRPr="00DA29B2" w:rsidRDefault="00B14A91" w:rsidP="00466BD8">
      <w:pPr>
        <w:pStyle w:val="ListParagraph"/>
        <w:numPr>
          <w:ilvl w:val="0"/>
          <w:numId w:val="2"/>
        </w:numPr>
        <w:spacing w:after="0" w:line="240" w:lineRule="auto"/>
      </w:pPr>
      <w:r w:rsidRPr="00DA29B2">
        <w:t xml:space="preserve">Li Z, Chen S, Jhong JH, Pang Y, Huang KY, Li S, et al. UbiNet 2.0: a verified, classified, annotated and updated database of E3 ubiquitin-ligase-substrate interactions. Database (Oxford). 2021 Mar;2021:baab010. doi: </w:t>
      </w:r>
      <w:hyperlink r:id="rId46" w:history="1">
        <w:r w:rsidRPr="00DA29B2">
          <w:rPr>
            <w:rStyle w:val="Hyperlink"/>
          </w:rPr>
          <w:t>10.1093/database/baab010</w:t>
        </w:r>
      </w:hyperlink>
      <w:r w:rsidRPr="00DA29B2">
        <w:t xml:space="preserve"> PMID: 33693667</w:t>
      </w:r>
    </w:p>
    <w:p w14:paraId="22DF4F59" w14:textId="0619E3C4" w:rsidR="00B14A91" w:rsidRPr="00DA29B2" w:rsidRDefault="0071330D" w:rsidP="00466BD8">
      <w:pPr>
        <w:pStyle w:val="ListParagraph"/>
        <w:numPr>
          <w:ilvl w:val="0"/>
          <w:numId w:val="2"/>
        </w:numPr>
        <w:spacing w:after="0" w:line="240" w:lineRule="auto"/>
      </w:pPr>
      <w:r w:rsidRPr="00DA29B2">
        <w:rPr>
          <w:rFonts w:cstheme="minorHAnsi"/>
        </w:rPr>
        <w:t>Crooks GE, Hon G, Chandonia JM, Brenner SE. WebLogo: A sequence logo generator. Genome Res. 2004 Jun;14:1188</w:t>
      </w:r>
      <w:r w:rsidRPr="00DA29B2">
        <w:rPr>
          <w:rFonts w:eastAsiaTheme="minorEastAsia" w:cstheme="minorHAnsi"/>
        </w:rPr>
        <w:t>–</w:t>
      </w:r>
      <w:r w:rsidRPr="00DA29B2">
        <w:rPr>
          <w:rFonts w:cstheme="minorHAnsi"/>
        </w:rPr>
        <w:t xml:space="preserve">90. doi: </w:t>
      </w:r>
      <w:hyperlink r:id="rId47" w:history="1">
        <w:r w:rsidRPr="00DA29B2">
          <w:rPr>
            <w:rStyle w:val="Hyperlink"/>
            <w:rFonts w:cstheme="minorHAnsi"/>
          </w:rPr>
          <w:t>10.1101/gr.849004</w:t>
        </w:r>
      </w:hyperlink>
      <w:r w:rsidRPr="00DA29B2">
        <w:rPr>
          <w:rFonts w:eastAsiaTheme="minorEastAsia" w:cstheme="minorHAnsi"/>
        </w:rPr>
        <w:t xml:space="preserve"> PMID: 15173120</w:t>
      </w:r>
      <w:r w:rsidR="00B14A91" w:rsidRPr="00DA29B2">
        <w:t xml:space="preserve"> </w:t>
      </w:r>
    </w:p>
    <w:p w14:paraId="19F5F210" w14:textId="3B54B344" w:rsidR="0071330D" w:rsidRPr="00DA29B2" w:rsidRDefault="0071330D" w:rsidP="00466BD8">
      <w:pPr>
        <w:pStyle w:val="ListParagraph"/>
        <w:numPr>
          <w:ilvl w:val="0"/>
          <w:numId w:val="2"/>
        </w:numPr>
        <w:spacing w:after="0" w:line="240" w:lineRule="auto"/>
        <w:rPr>
          <w:rStyle w:val="Hyperlink"/>
          <w:rFonts w:eastAsiaTheme="minorEastAsia" w:cstheme="minorHAnsi"/>
          <w:color w:val="auto"/>
        </w:rPr>
      </w:pPr>
      <w:r w:rsidRPr="00DA29B2">
        <w:rPr>
          <w:rFonts w:eastAsiaTheme="minorEastAsia" w:cstheme="minorHAnsi"/>
        </w:rPr>
        <w:t xml:space="preserve">van der Maaten L, Hinton G. Visualizing data using t-SNE. J Mach Learn Res. 2008 Nov;9:2579–605. </w:t>
      </w:r>
      <w:r w:rsidRPr="00DA29B2">
        <w:rPr>
          <w:rFonts w:cstheme="minorHAnsi"/>
        </w:rPr>
        <w:t xml:space="preserve">doi: </w:t>
      </w:r>
      <w:hyperlink r:id="rId48" w:history="1">
        <w:r w:rsidRPr="00DA29B2">
          <w:rPr>
            <w:rStyle w:val="Hyperlink"/>
            <w:rFonts w:eastAsiaTheme="minorEastAsia" w:cstheme="minorHAnsi"/>
          </w:rPr>
          <w:t>http://www.jmlr.org/papers/v9/vandermaaten08a.html</w:t>
        </w:r>
      </w:hyperlink>
    </w:p>
    <w:p w14:paraId="3B6DFA3D" w14:textId="7419C1E3" w:rsidR="00DA3C4A" w:rsidRPr="00DA29B2" w:rsidRDefault="00DA3C4A" w:rsidP="00466BD8">
      <w:pPr>
        <w:pStyle w:val="ListParagraph"/>
        <w:numPr>
          <w:ilvl w:val="0"/>
          <w:numId w:val="2"/>
        </w:numPr>
        <w:spacing w:after="0" w:line="240" w:lineRule="auto"/>
        <w:rPr>
          <w:rStyle w:val="Hyperlink"/>
          <w:rFonts w:eastAsiaTheme="minorEastAsia" w:cstheme="minorHAnsi"/>
          <w:color w:val="auto"/>
        </w:rPr>
      </w:pPr>
      <w:r w:rsidRPr="00DA29B2">
        <w:t>Wang L, Hu W, Fan C. Structural and biochemical characterization of SADS-CoV papain-like protease 2. P</w:t>
      </w:r>
      <w:r w:rsidR="007F606B" w:rsidRPr="00DA29B2">
        <w:t>rotein Sci. 2020 May;29(5):1228</w:t>
      </w:r>
      <w:r w:rsidR="007F606B" w:rsidRPr="00DA29B2">
        <w:rPr>
          <w:rFonts w:eastAsiaTheme="minorEastAsia" w:cstheme="minorHAnsi"/>
        </w:rPr>
        <w:t>–</w:t>
      </w:r>
      <w:r w:rsidRPr="00DA29B2">
        <w:t xml:space="preserve">41. doi: </w:t>
      </w:r>
      <w:hyperlink r:id="rId49" w:history="1">
        <w:r w:rsidRPr="00DA29B2">
          <w:rPr>
            <w:rStyle w:val="Hyperlink"/>
          </w:rPr>
          <w:t>10.1002/pro.3857</w:t>
        </w:r>
      </w:hyperlink>
      <w:r w:rsidRPr="00DA29B2">
        <w:t xml:space="preserve"> PMID: 32216114</w:t>
      </w:r>
    </w:p>
    <w:p w14:paraId="0B540444" w14:textId="0FE86978" w:rsidR="0071330D" w:rsidRPr="00DA29B2" w:rsidRDefault="0071330D" w:rsidP="00466BD8">
      <w:pPr>
        <w:pStyle w:val="ListParagraph"/>
        <w:numPr>
          <w:ilvl w:val="0"/>
          <w:numId w:val="2"/>
        </w:numPr>
        <w:spacing w:after="0" w:line="240" w:lineRule="auto"/>
      </w:pPr>
      <w:r w:rsidRPr="00DA29B2">
        <w:t>Shin D, Mukherjee R, Grewe D, Bojkova D, Baek K, Bhattacharya A, et al. Papain-like protease regulates SARS-CoV-2 viral spread and innate immunity.</w:t>
      </w:r>
      <w:r w:rsidR="007F606B" w:rsidRPr="00DA29B2">
        <w:t xml:space="preserve"> Nature. 2020 Nov;587(7835):657</w:t>
      </w:r>
      <w:r w:rsidR="007F606B" w:rsidRPr="00DA29B2">
        <w:rPr>
          <w:rFonts w:eastAsiaTheme="minorEastAsia" w:cstheme="minorHAnsi"/>
        </w:rPr>
        <w:t>–</w:t>
      </w:r>
      <w:r w:rsidRPr="00DA29B2">
        <w:t xml:space="preserve">62. doi: </w:t>
      </w:r>
      <w:hyperlink r:id="rId50" w:history="1">
        <w:r w:rsidRPr="00DA29B2">
          <w:rPr>
            <w:rStyle w:val="Hyperlink"/>
          </w:rPr>
          <w:t>10.1038/s41586-020-2601-5</w:t>
        </w:r>
      </w:hyperlink>
      <w:r w:rsidRPr="00DA29B2">
        <w:t xml:space="preserve"> PMID: 32726803</w:t>
      </w:r>
    </w:p>
    <w:p w14:paraId="6485B3C2" w14:textId="04FE4EF4" w:rsidR="00FA59C5" w:rsidRPr="00DA29B2" w:rsidRDefault="00FA59C5" w:rsidP="00466BD8">
      <w:pPr>
        <w:pStyle w:val="ListParagraph"/>
        <w:numPr>
          <w:ilvl w:val="0"/>
          <w:numId w:val="2"/>
        </w:numPr>
        <w:spacing w:after="0" w:line="240" w:lineRule="auto"/>
      </w:pPr>
      <w:r w:rsidRPr="00DA29B2">
        <w:t xml:space="preserve">Yan S, Wu G. Spatial and temporal roles of SARS-CoV PLpro—A snapshot. FASEB J. 2021 Jan;35(1):e21197. doi: </w:t>
      </w:r>
      <w:hyperlink r:id="rId51" w:history="1">
        <w:r w:rsidRPr="00DA29B2">
          <w:rPr>
            <w:rStyle w:val="Hyperlink"/>
          </w:rPr>
          <w:t>10.1096/fj.202002271</w:t>
        </w:r>
      </w:hyperlink>
      <w:r w:rsidRPr="00DA29B2">
        <w:t xml:space="preserve"> PMID: 33368679</w:t>
      </w:r>
    </w:p>
    <w:p w14:paraId="240DC991" w14:textId="106273DF" w:rsidR="00DA3C4A" w:rsidRPr="00DA29B2" w:rsidRDefault="00DA3C4A" w:rsidP="00466BD8">
      <w:pPr>
        <w:pStyle w:val="ListParagraph"/>
        <w:numPr>
          <w:ilvl w:val="0"/>
          <w:numId w:val="2"/>
        </w:numPr>
        <w:spacing w:after="0" w:line="240" w:lineRule="auto"/>
      </w:pPr>
      <w:r w:rsidRPr="00DA29B2">
        <w:t>Bekes M, van Noort GJvdH, Ekkebus R, Ovaa H, Huang TT, Lima CD. Recognition of Lys48-linked di-ubiquitin and deubiquitinating activities of the SARS coronavirus papain-like protease. Mol Cell. 2016 May;62(4):572</w:t>
      </w:r>
      <w:r w:rsidR="007F606B" w:rsidRPr="00DA29B2">
        <w:rPr>
          <w:rFonts w:eastAsiaTheme="minorEastAsia" w:cstheme="minorHAnsi"/>
        </w:rPr>
        <w:t>–</w:t>
      </w:r>
      <w:r w:rsidRPr="00DA29B2">
        <w:t xml:space="preserve">85. doi: </w:t>
      </w:r>
      <w:hyperlink r:id="rId52" w:history="1">
        <w:r w:rsidRPr="00DA29B2">
          <w:rPr>
            <w:rStyle w:val="Hyperlink"/>
          </w:rPr>
          <w:t>10.1016/j.molcel.2016.04.016</w:t>
        </w:r>
      </w:hyperlink>
      <w:r w:rsidRPr="00DA29B2">
        <w:t xml:space="preserve"> PMID: 27203180</w:t>
      </w:r>
    </w:p>
    <w:p w14:paraId="2FFE1539" w14:textId="45C3C267" w:rsidR="00DA3C4A" w:rsidRPr="00DA29B2" w:rsidRDefault="00DA3C4A" w:rsidP="00466BD8">
      <w:pPr>
        <w:pStyle w:val="ListParagraph"/>
        <w:numPr>
          <w:ilvl w:val="0"/>
          <w:numId w:val="2"/>
        </w:numPr>
        <w:spacing w:after="0" w:line="240" w:lineRule="auto"/>
      </w:pPr>
      <w:r w:rsidRPr="00DA29B2">
        <w:lastRenderedPageBreak/>
        <w:t xml:space="preserve">Ratia K, Kilianski A, Baez-Santos YM, Baker SC, Mesecar A. Structural basis for the ubiquitin-linkage specificity and deISGylating activity of SARS-CoV papain-like protease. PLOS Pathog. 2014 May;10(5):e1004113. doi: </w:t>
      </w:r>
      <w:hyperlink r:id="rId53" w:history="1">
        <w:r w:rsidRPr="00DA29B2">
          <w:rPr>
            <w:rStyle w:val="Hyperlink"/>
          </w:rPr>
          <w:t>10.1371/journal.ppat.1004113</w:t>
        </w:r>
      </w:hyperlink>
      <w:r w:rsidRPr="00DA29B2">
        <w:t xml:space="preserve"> PMID: 24854014</w:t>
      </w:r>
    </w:p>
    <w:p w14:paraId="0205C8A8" w14:textId="453675C5" w:rsidR="00FA59C5" w:rsidRPr="00DA29B2" w:rsidRDefault="00FA59C5" w:rsidP="00466BD8">
      <w:pPr>
        <w:pStyle w:val="ListParagraph"/>
        <w:numPr>
          <w:ilvl w:val="0"/>
          <w:numId w:val="2"/>
        </w:numPr>
        <w:spacing w:after="0" w:line="240" w:lineRule="auto"/>
      </w:pPr>
      <w:r w:rsidRPr="00DA29B2">
        <w:t xml:space="preserve">Durie IA, Dzimianski JV, Daczkowski CM, McGuire J, Faaberg K, Pegan SD. Structural insights into the interactions of papain-like protease 2 from the alphacoronavirus porcine epidemic diarrhea virus and ubiquitin. Acta Crystallogr D </w:t>
      </w:r>
      <w:r w:rsidR="007F606B" w:rsidRPr="00DA29B2">
        <w:t>Struct Biol. 2021 Jul;77(7):943</w:t>
      </w:r>
      <w:r w:rsidR="007F606B" w:rsidRPr="00DA29B2">
        <w:rPr>
          <w:rFonts w:eastAsiaTheme="minorEastAsia" w:cstheme="minorHAnsi"/>
        </w:rPr>
        <w:t>–</w:t>
      </w:r>
      <w:r w:rsidRPr="00DA29B2">
        <w:t xml:space="preserve">53. doi: </w:t>
      </w:r>
      <w:hyperlink r:id="rId54" w:history="1">
        <w:r w:rsidRPr="00DA29B2">
          <w:rPr>
            <w:rStyle w:val="Hyperlink"/>
          </w:rPr>
          <w:t>10.1107/S205979832100509X</w:t>
        </w:r>
      </w:hyperlink>
      <w:r w:rsidRPr="00DA29B2">
        <w:t xml:space="preserve"> PMID: 34196620</w:t>
      </w:r>
    </w:p>
    <w:p w14:paraId="0E7C6F94" w14:textId="279FAA3F" w:rsidR="00FA59C5" w:rsidRPr="00DA29B2" w:rsidRDefault="00FA59C5" w:rsidP="00466BD8">
      <w:pPr>
        <w:pStyle w:val="ListParagraph"/>
        <w:numPr>
          <w:ilvl w:val="0"/>
          <w:numId w:val="2"/>
        </w:numPr>
        <w:spacing w:after="0" w:line="240" w:lineRule="auto"/>
      </w:pPr>
      <w:r w:rsidRPr="00DA29B2">
        <w:t xml:space="preserve">Clasman JR, Everett RK, Srinivasan K, Mesecar AD. Decoupling deISGylating and deubiquitinating activities of the MERS virus papain-like protease. Antiviral Res. 2020 Feb;174:104661. doi: </w:t>
      </w:r>
      <w:hyperlink r:id="rId55" w:history="1">
        <w:r w:rsidRPr="00DA29B2">
          <w:rPr>
            <w:rStyle w:val="Hyperlink"/>
          </w:rPr>
          <w:t>10.1016/j.antiviral.2019.104661</w:t>
        </w:r>
      </w:hyperlink>
      <w:r w:rsidRPr="00DA29B2">
        <w:t xml:space="preserve"> PMID: 31765674</w:t>
      </w:r>
    </w:p>
    <w:p w14:paraId="3352FE7E" w14:textId="4630E5FC" w:rsidR="00FA59C5" w:rsidRPr="00DA29B2" w:rsidRDefault="00FA59C5" w:rsidP="00466BD8">
      <w:pPr>
        <w:pStyle w:val="ListParagraph"/>
        <w:numPr>
          <w:ilvl w:val="0"/>
          <w:numId w:val="2"/>
        </w:numPr>
        <w:spacing w:after="0" w:line="240" w:lineRule="auto"/>
      </w:pPr>
      <w:r w:rsidRPr="00DA29B2">
        <w:t>Swatek KN, Aumayr M, Pruneda JN, Visser LJ, Berryman S, Kueck AF, et al. Irreversible inactivation of ISG15 by a viral leader protease enables alternative infection detection strategi</w:t>
      </w:r>
      <w:r w:rsidR="007F606B" w:rsidRPr="00DA29B2">
        <w:t>es. PNAS. 2018 Mar;115(10):2371</w:t>
      </w:r>
      <w:r w:rsidR="007F606B" w:rsidRPr="00DA29B2">
        <w:rPr>
          <w:rFonts w:eastAsiaTheme="minorEastAsia" w:cstheme="minorHAnsi"/>
        </w:rPr>
        <w:t>–</w:t>
      </w:r>
      <w:r w:rsidRPr="00DA29B2">
        <w:t xml:space="preserve">6. doi: </w:t>
      </w:r>
      <w:hyperlink r:id="rId56" w:history="1">
        <w:r w:rsidRPr="00DA29B2">
          <w:rPr>
            <w:rStyle w:val="Hyperlink"/>
          </w:rPr>
          <w:t>10.1073/pnas.1710617115</w:t>
        </w:r>
      </w:hyperlink>
      <w:r w:rsidRPr="00DA29B2">
        <w:t xml:space="preserve"> PMID: 29463763</w:t>
      </w:r>
    </w:p>
    <w:p w14:paraId="0A412EAF" w14:textId="4E78B002" w:rsidR="0071330D" w:rsidRPr="00DA29B2" w:rsidRDefault="0071330D" w:rsidP="00466BD8">
      <w:pPr>
        <w:pStyle w:val="ListParagraph"/>
        <w:numPr>
          <w:ilvl w:val="0"/>
          <w:numId w:val="2"/>
        </w:numPr>
        <w:spacing w:after="0" w:line="240" w:lineRule="auto"/>
      </w:pPr>
      <w:r w:rsidRPr="00DA29B2">
        <w:t>Schulman BA, Harper JW. Ubiquitin-like protein activation by E1 enzymes: the apex for downstream signalling pathways. Nat Rev Mo</w:t>
      </w:r>
      <w:r w:rsidR="007F606B" w:rsidRPr="00DA29B2">
        <w:t>l Cell Biol. 2009 May;10(5):319</w:t>
      </w:r>
      <w:r w:rsidR="007F606B" w:rsidRPr="00DA29B2">
        <w:rPr>
          <w:rFonts w:eastAsiaTheme="minorEastAsia" w:cstheme="minorHAnsi"/>
        </w:rPr>
        <w:t>–</w:t>
      </w:r>
      <w:r w:rsidRPr="00DA29B2">
        <w:t xml:space="preserve">31. doi: </w:t>
      </w:r>
      <w:hyperlink r:id="rId57" w:history="1">
        <w:r w:rsidR="00F723C2" w:rsidRPr="00DA29B2">
          <w:rPr>
            <w:rStyle w:val="Hyperlink"/>
          </w:rPr>
          <w:t>10.1038/nrm2673</w:t>
        </w:r>
      </w:hyperlink>
      <w:r w:rsidR="00F723C2" w:rsidRPr="00DA29B2">
        <w:t xml:space="preserve"> </w:t>
      </w:r>
      <w:r w:rsidRPr="00DA29B2">
        <w:t>PMID: 19352404</w:t>
      </w:r>
    </w:p>
    <w:p w14:paraId="01A8B3EA" w14:textId="36E09292" w:rsidR="0071330D" w:rsidRPr="00DA29B2" w:rsidRDefault="0071330D" w:rsidP="00466BD8">
      <w:pPr>
        <w:pStyle w:val="ListParagraph"/>
        <w:numPr>
          <w:ilvl w:val="0"/>
          <w:numId w:val="2"/>
        </w:numPr>
        <w:spacing w:after="0" w:line="240" w:lineRule="auto"/>
      </w:pPr>
      <w:r w:rsidRPr="00DA29B2">
        <w:t>Lois LM, Lima CD. Structures of the SUMO E1 provide mechanistic insights into SUMO activation and E2 recruitment to</w:t>
      </w:r>
      <w:r w:rsidR="007F606B" w:rsidRPr="00DA29B2">
        <w:t xml:space="preserve"> E1. EMBO J. 2005 Feb;24(3):439</w:t>
      </w:r>
      <w:r w:rsidR="007F606B" w:rsidRPr="00DA29B2">
        <w:rPr>
          <w:rFonts w:eastAsiaTheme="minorEastAsia" w:cstheme="minorHAnsi"/>
        </w:rPr>
        <w:t>–</w:t>
      </w:r>
      <w:r w:rsidRPr="00DA29B2">
        <w:t xml:space="preserve">51. doi: </w:t>
      </w:r>
      <w:hyperlink r:id="rId58" w:history="1">
        <w:r w:rsidR="00F723C2" w:rsidRPr="00DA29B2">
          <w:rPr>
            <w:rStyle w:val="Hyperlink"/>
          </w:rPr>
          <w:t>10.1038/sj.emboj.7600552</w:t>
        </w:r>
      </w:hyperlink>
      <w:r w:rsidR="00F723C2" w:rsidRPr="00DA29B2">
        <w:t xml:space="preserve"> </w:t>
      </w:r>
      <w:r w:rsidRPr="00DA29B2">
        <w:t>PMID: 15660128</w:t>
      </w:r>
    </w:p>
    <w:p w14:paraId="400ABE4C" w14:textId="64412538" w:rsidR="0071330D" w:rsidRPr="00DA29B2" w:rsidRDefault="0071330D" w:rsidP="00466BD8">
      <w:pPr>
        <w:pStyle w:val="ListParagraph"/>
        <w:numPr>
          <w:ilvl w:val="0"/>
          <w:numId w:val="2"/>
        </w:numPr>
        <w:spacing w:after="0" w:line="240" w:lineRule="auto"/>
      </w:pPr>
      <w:r w:rsidRPr="00DA29B2">
        <w:t xml:space="preserve">Li FQ, Xiao H, Tam JP, Liu DX. Sumoylation of the </w:t>
      </w:r>
      <w:r w:rsidR="00423F74" w:rsidRPr="00DA29B2">
        <w:t>nucleocapsid</w:t>
      </w:r>
      <w:r w:rsidRPr="00DA29B2">
        <w:t xml:space="preserve"> protein of s</w:t>
      </w:r>
      <w:r w:rsidR="00423F74" w:rsidRPr="00DA29B2">
        <w:t>e</w:t>
      </w:r>
      <w:r w:rsidRPr="00DA29B2">
        <w:t xml:space="preserve">vere acute respiratory </w:t>
      </w:r>
      <w:r w:rsidR="00423F74" w:rsidRPr="00DA29B2">
        <w:t>syndrome</w:t>
      </w:r>
      <w:r w:rsidRPr="00DA29B2">
        <w:t xml:space="preserve"> coronavirus. F</w:t>
      </w:r>
      <w:r w:rsidR="007F606B" w:rsidRPr="00DA29B2">
        <w:t>EBS Lett. 2005 Apr;579(11):2387</w:t>
      </w:r>
      <w:r w:rsidR="007F606B" w:rsidRPr="00DA29B2">
        <w:rPr>
          <w:rFonts w:eastAsiaTheme="minorEastAsia" w:cstheme="minorHAnsi"/>
        </w:rPr>
        <w:t>–</w:t>
      </w:r>
      <w:r w:rsidRPr="00DA29B2">
        <w:t xml:space="preserve">96. doi: </w:t>
      </w:r>
      <w:hyperlink r:id="rId59" w:history="1">
        <w:r w:rsidR="00F723C2" w:rsidRPr="00DA29B2">
          <w:rPr>
            <w:rStyle w:val="Hyperlink"/>
          </w:rPr>
          <w:t>10.1016/j.febslet.2005.03.039</w:t>
        </w:r>
      </w:hyperlink>
      <w:r w:rsidR="00F723C2" w:rsidRPr="00DA29B2">
        <w:t xml:space="preserve"> </w:t>
      </w:r>
      <w:r w:rsidRPr="00DA29B2">
        <w:t>PMID: 15848177</w:t>
      </w:r>
    </w:p>
    <w:p w14:paraId="77333C7A" w14:textId="3942606F" w:rsidR="0071330D" w:rsidRPr="00DA29B2" w:rsidRDefault="0071330D" w:rsidP="00466BD8">
      <w:pPr>
        <w:pStyle w:val="ListParagraph"/>
        <w:numPr>
          <w:ilvl w:val="0"/>
          <w:numId w:val="2"/>
        </w:numPr>
        <w:spacing w:after="0" w:line="240" w:lineRule="auto"/>
      </w:pPr>
      <w:r w:rsidRPr="00DA29B2">
        <w:t xml:space="preserve">Fan Z, Zhuo Y, Tan X, Zhou Z, Yuan J, Qiang B, et al. SARS-CoV nucleocapsid protein binds to hUbc9, a ubiquitin conjugating enzyme of the sumoylation system. J </w:t>
      </w:r>
      <w:r w:rsidR="007F606B" w:rsidRPr="00DA29B2">
        <w:t>Med Virol. 2006 Nov;78(11):1365</w:t>
      </w:r>
      <w:r w:rsidR="007F606B" w:rsidRPr="00DA29B2">
        <w:rPr>
          <w:rFonts w:eastAsiaTheme="minorEastAsia" w:cstheme="minorHAnsi"/>
        </w:rPr>
        <w:t>–</w:t>
      </w:r>
      <w:r w:rsidRPr="00DA29B2">
        <w:t xml:space="preserve">73. doi: </w:t>
      </w:r>
      <w:hyperlink r:id="rId60" w:history="1">
        <w:r w:rsidR="00F723C2" w:rsidRPr="00DA29B2">
          <w:rPr>
            <w:rStyle w:val="Hyperlink"/>
          </w:rPr>
          <w:t>10.1002/jmv.20707</w:t>
        </w:r>
      </w:hyperlink>
      <w:r w:rsidR="00F723C2" w:rsidRPr="00DA29B2">
        <w:t xml:space="preserve"> </w:t>
      </w:r>
      <w:r w:rsidRPr="00DA29B2">
        <w:t>PMID: 16998888</w:t>
      </w:r>
    </w:p>
    <w:p w14:paraId="03A41BF2" w14:textId="37AF30F1" w:rsidR="0071330D" w:rsidRPr="00DA29B2" w:rsidRDefault="0071330D" w:rsidP="00466BD8">
      <w:pPr>
        <w:pStyle w:val="ListParagraph"/>
        <w:numPr>
          <w:ilvl w:val="0"/>
          <w:numId w:val="2"/>
        </w:numPr>
        <w:spacing w:after="0" w:line="240" w:lineRule="auto"/>
      </w:pPr>
      <w:r w:rsidRPr="00DA29B2">
        <w:t>Hiscox JA. The interaction of animal cytoplasmic RNA viruses with the nucleus to facilitate replicatio</w:t>
      </w:r>
      <w:r w:rsidR="007F606B" w:rsidRPr="00DA29B2">
        <w:t>n. Virus Res. 2003 Sep;95(1):13</w:t>
      </w:r>
      <w:r w:rsidR="007F606B" w:rsidRPr="00DA29B2">
        <w:rPr>
          <w:rFonts w:eastAsiaTheme="minorEastAsia" w:cstheme="minorHAnsi"/>
        </w:rPr>
        <w:t>–</w:t>
      </w:r>
      <w:r w:rsidRPr="00DA29B2">
        <w:t xml:space="preserve">22. doi: </w:t>
      </w:r>
      <w:hyperlink r:id="rId61" w:history="1">
        <w:r w:rsidR="00F723C2" w:rsidRPr="00DA29B2">
          <w:rPr>
            <w:rStyle w:val="Hyperlink"/>
          </w:rPr>
          <w:t>10.1016/S0168-1702(03)00160-6</w:t>
        </w:r>
      </w:hyperlink>
      <w:r w:rsidR="00F723C2" w:rsidRPr="00DA29B2">
        <w:t xml:space="preserve"> </w:t>
      </w:r>
      <w:r w:rsidRPr="00DA29B2">
        <w:t>PMID: 12921992</w:t>
      </w:r>
    </w:p>
    <w:p w14:paraId="49D0BDB3" w14:textId="6EF3C17B" w:rsidR="0071330D" w:rsidRPr="00DA29B2" w:rsidRDefault="0071330D" w:rsidP="00466BD8">
      <w:pPr>
        <w:pStyle w:val="ListParagraph"/>
        <w:numPr>
          <w:ilvl w:val="0"/>
          <w:numId w:val="2"/>
        </w:numPr>
        <w:spacing w:after="0" w:line="240" w:lineRule="auto"/>
      </w:pPr>
      <w:r w:rsidRPr="00DA29B2">
        <w:t>Hu MM, Yang Q, Xie XQ, Liao CY, Lin H, Liu TT, et al. Sumoylation promotes the stability of the DNA sensor cGAS and the adaptor STING to regulate the kinetics of response to DNA virus. Immu</w:t>
      </w:r>
      <w:r w:rsidR="007F606B" w:rsidRPr="00DA29B2">
        <w:t>nity. 2016 Sep;45(3):555</w:t>
      </w:r>
      <w:r w:rsidR="007F606B" w:rsidRPr="00DA29B2">
        <w:rPr>
          <w:rFonts w:eastAsiaTheme="minorEastAsia" w:cstheme="minorHAnsi"/>
        </w:rPr>
        <w:t>–</w:t>
      </w:r>
      <w:r w:rsidRPr="00DA29B2">
        <w:t xml:space="preserve">69. doi: </w:t>
      </w:r>
      <w:hyperlink r:id="rId62" w:history="1">
        <w:r w:rsidR="00F723C2" w:rsidRPr="00DA29B2">
          <w:rPr>
            <w:rStyle w:val="Hyperlink"/>
          </w:rPr>
          <w:t>10.1016/j.immuni.2016.08.014</w:t>
        </w:r>
      </w:hyperlink>
      <w:r w:rsidR="00F723C2" w:rsidRPr="00DA29B2">
        <w:t xml:space="preserve"> </w:t>
      </w:r>
      <w:r w:rsidRPr="00DA29B2">
        <w:t>PMID: 27637147</w:t>
      </w:r>
    </w:p>
    <w:p w14:paraId="680A4B00" w14:textId="4AAD0E1D" w:rsidR="0071330D" w:rsidRPr="00DA29B2" w:rsidRDefault="0071330D" w:rsidP="00466BD8">
      <w:pPr>
        <w:pStyle w:val="ListParagraph"/>
        <w:numPr>
          <w:ilvl w:val="0"/>
          <w:numId w:val="2"/>
        </w:numPr>
        <w:spacing w:after="0" w:line="240" w:lineRule="auto"/>
      </w:pPr>
      <w:r w:rsidRPr="00DA29B2">
        <w:t xml:space="preserve">Sun L, Xing Y, Chen X, Zheng Y, Yang Y, Nichols DB, et al. Coronavirus papain-like proteases negatively regulate antiviral innate immune response through disruption of STING-mediated signaling. PLOS One. 2012 Feb;7(2):e30802. doi: </w:t>
      </w:r>
      <w:hyperlink r:id="rId63" w:history="1">
        <w:r w:rsidR="00F723C2" w:rsidRPr="00DA29B2">
          <w:rPr>
            <w:rStyle w:val="Hyperlink"/>
          </w:rPr>
          <w:t>10.1371/journal.pone.0030802</w:t>
        </w:r>
      </w:hyperlink>
      <w:r w:rsidR="00F723C2" w:rsidRPr="00DA29B2">
        <w:t xml:space="preserve"> </w:t>
      </w:r>
      <w:r w:rsidRPr="00DA29B2">
        <w:t>PMID: 22312431</w:t>
      </w:r>
    </w:p>
    <w:p w14:paraId="6DEC2A12" w14:textId="64F97C92" w:rsidR="0071330D" w:rsidRPr="00DA29B2" w:rsidRDefault="0071330D" w:rsidP="00466BD8">
      <w:pPr>
        <w:pStyle w:val="ListParagraph"/>
        <w:numPr>
          <w:ilvl w:val="0"/>
          <w:numId w:val="2"/>
        </w:numPr>
        <w:spacing w:after="0" w:line="240" w:lineRule="auto"/>
      </w:pPr>
      <w:r w:rsidRPr="00DA29B2">
        <w:t>Maringer K, Fernandez-Sesma A. Message in a bottle: lessons learned from antagonism of STING signalling during RNA virus infection. Cytokine Growth</w:t>
      </w:r>
      <w:r w:rsidR="007F606B" w:rsidRPr="00DA29B2">
        <w:t xml:space="preserve"> Factor Rev. 2014 Dec;25(6):669</w:t>
      </w:r>
      <w:r w:rsidR="007F606B" w:rsidRPr="00DA29B2">
        <w:rPr>
          <w:rFonts w:eastAsiaTheme="minorEastAsia" w:cstheme="minorHAnsi"/>
        </w:rPr>
        <w:t>–</w:t>
      </w:r>
      <w:r w:rsidRPr="00DA29B2">
        <w:t xml:space="preserve">79. doi: </w:t>
      </w:r>
      <w:hyperlink r:id="rId64" w:history="1">
        <w:r w:rsidRPr="00DA29B2">
          <w:rPr>
            <w:rStyle w:val="Hyperlink"/>
          </w:rPr>
          <w:t>10.1016/j.cytogfr.2014.08.004</w:t>
        </w:r>
      </w:hyperlink>
      <w:r w:rsidRPr="00DA29B2">
        <w:t xml:space="preserve"> PMID: 25212897</w:t>
      </w:r>
    </w:p>
    <w:p w14:paraId="1816E409" w14:textId="684EAC74" w:rsidR="0071330D" w:rsidRPr="00DA29B2" w:rsidRDefault="0071330D" w:rsidP="00466BD8">
      <w:pPr>
        <w:pStyle w:val="ListParagraph"/>
        <w:numPr>
          <w:ilvl w:val="0"/>
          <w:numId w:val="2"/>
        </w:numPr>
        <w:spacing w:after="0" w:line="240" w:lineRule="auto"/>
      </w:pPr>
      <w:r w:rsidRPr="00DA29B2">
        <w:t xml:space="preserve">Nguyen LK, Dobrzynski M, Fey D, Kholodenko BN. Polyubiquitin chain assembly and organization determine the dynamics of protein activation and degradation. Front Physiol. 2014 Jan;5:4. doi: </w:t>
      </w:r>
      <w:hyperlink r:id="rId65" w:history="1">
        <w:r w:rsidR="00F723C2" w:rsidRPr="00DA29B2">
          <w:rPr>
            <w:rStyle w:val="Hyperlink"/>
          </w:rPr>
          <w:t>10.3389/fphys.2014.00004</w:t>
        </w:r>
      </w:hyperlink>
      <w:r w:rsidR="00F723C2" w:rsidRPr="00DA29B2">
        <w:t xml:space="preserve"> </w:t>
      </w:r>
      <w:r w:rsidRPr="00DA29B2">
        <w:t>PMID: 24478717</w:t>
      </w:r>
    </w:p>
    <w:p w14:paraId="4136EB89" w14:textId="2A16078B" w:rsidR="0071330D" w:rsidRPr="00DA29B2" w:rsidRDefault="0071330D" w:rsidP="00466BD8">
      <w:pPr>
        <w:pStyle w:val="ListParagraph"/>
        <w:numPr>
          <w:ilvl w:val="0"/>
          <w:numId w:val="2"/>
        </w:numPr>
        <w:spacing w:after="0" w:line="240" w:lineRule="auto"/>
      </w:pPr>
      <w:r w:rsidRPr="00DA29B2">
        <w:t>Rodriquez MS, Desterro JM, Lain S, Midgley CA, Lane DP, Hay RT. SUMO-1 modification activates the transcriptional response of p5</w:t>
      </w:r>
      <w:r w:rsidR="007F606B" w:rsidRPr="00DA29B2">
        <w:t>3. EMBO J. 1999 Nov;18(22):6455</w:t>
      </w:r>
      <w:r w:rsidR="007F606B" w:rsidRPr="00DA29B2">
        <w:rPr>
          <w:rFonts w:eastAsiaTheme="minorEastAsia" w:cstheme="minorHAnsi"/>
        </w:rPr>
        <w:t>–</w:t>
      </w:r>
      <w:r w:rsidRPr="00DA29B2">
        <w:t xml:space="preserve">61. doi: </w:t>
      </w:r>
      <w:hyperlink r:id="rId66" w:history="1">
        <w:r w:rsidR="00F723C2" w:rsidRPr="00DA29B2">
          <w:rPr>
            <w:rStyle w:val="Hyperlink"/>
          </w:rPr>
          <w:t>10.1093/emboj/18.22.6455</w:t>
        </w:r>
      </w:hyperlink>
      <w:r w:rsidR="00F723C2" w:rsidRPr="00DA29B2">
        <w:t xml:space="preserve"> </w:t>
      </w:r>
      <w:r w:rsidRPr="00DA29B2">
        <w:t>PMID: 10562557</w:t>
      </w:r>
    </w:p>
    <w:p w14:paraId="72F6BE6F" w14:textId="74DC70EF" w:rsidR="0071330D" w:rsidRPr="00DA29B2" w:rsidRDefault="0071330D" w:rsidP="00466BD8">
      <w:pPr>
        <w:pStyle w:val="ListParagraph"/>
        <w:numPr>
          <w:ilvl w:val="0"/>
          <w:numId w:val="2"/>
        </w:numPr>
        <w:spacing w:after="0" w:line="240" w:lineRule="auto"/>
      </w:pPr>
      <w:r w:rsidRPr="00DA29B2">
        <w:t xml:space="preserve">Ma-Lauer Y, Carbajo-Lozoya J, Hein MY, Muller MA, Deng W, Lei J, et al. p53 down-regulates SARS coronavirus replication and is targeted by the SARS-unique domain and PLpro via E3 ubiquitin ligase RCHY1. PNAS. 2016 </w:t>
      </w:r>
      <w:r w:rsidR="007F606B" w:rsidRPr="00DA29B2">
        <w:t>Aug;113(35):E5192</w:t>
      </w:r>
      <w:r w:rsidR="007F606B" w:rsidRPr="00DA29B2">
        <w:rPr>
          <w:rFonts w:eastAsiaTheme="minorEastAsia" w:cstheme="minorHAnsi"/>
        </w:rPr>
        <w:t>–</w:t>
      </w:r>
      <w:r w:rsidRPr="00DA29B2">
        <w:t xml:space="preserve">201. doi: </w:t>
      </w:r>
      <w:hyperlink r:id="rId67" w:history="1">
        <w:r w:rsidR="00F723C2" w:rsidRPr="00DA29B2">
          <w:rPr>
            <w:rStyle w:val="Hyperlink"/>
          </w:rPr>
          <w:t>10.1073/pnas.1603435113</w:t>
        </w:r>
      </w:hyperlink>
      <w:r w:rsidR="00F723C2" w:rsidRPr="00DA29B2">
        <w:t xml:space="preserve"> </w:t>
      </w:r>
      <w:r w:rsidRPr="00DA29B2">
        <w:t>PMID: 27519799</w:t>
      </w:r>
    </w:p>
    <w:p w14:paraId="7EF49617" w14:textId="705C2854" w:rsidR="0071330D" w:rsidRPr="00DA29B2" w:rsidRDefault="0071330D" w:rsidP="00466BD8">
      <w:pPr>
        <w:pStyle w:val="ListParagraph"/>
        <w:numPr>
          <w:ilvl w:val="0"/>
          <w:numId w:val="2"/>
        </w:numPr>
        <w:spacing w:after="0" w:line="240" w:lineRule="auto"/>
      </w:pPr>
      <w:r w:rsidRPr="00DA29B2">
        <w:t>Desterro JMP, Rodriguez MS, Hay RT. SUMO-1 modification of IκBα inhibits NF-κB activati</w:t>
      </w:r>
      <w:r w:rsidR="007F606B" w:rsidRPr="00DA29B2">
        <w:t>on. Mol Cell. 1998 Aug;2(2):233</w:t>
      </w:r>
      <w:r w:rsidR="007F606B" w:rsidRPr="00DA29B2">
        <w:rPr>
          <w:rFonts w:eastAsiaTheme="minorEastAsia" w:cstheme="minorHAnsi"/>
        </w:rPr>
        <w:t>–</w:t>
      </w:r>
      <w:r w:rsidRPr="00DA29B2">
        <w:t xml:space="preserve">9. doi: </w:t>
      </w:r>
      <w:hyperlink r:id="rId68" w:history="1">
        <w:r w:rsidR="00F723C2" w:rsidRPr="00DA29B2">
          <w:rPr>
            <w:rStyle w:val="Hyperlink"/>
          </w:rPr>
          <w:t>10.1016/s1097-2765(00)80133-1</w:t>
        </w:r>
      </w:hyperlink>
      <w:r w:rsidR="00F723C2" w:rsidRPr="00DA29B2">
        <w:t xml:space="preserve"> </w:t>
      </w:r>
      <w:r w:rsidRPr="00DA29B2">
        <w:t>PMID: 9734360</w:t>
      </w:r>
    </w:p>
    <w:p w14:paraId="082EF49C" w14:textId="2A090937" w:rsidR="0071330D" w:rsidRPr="00DA29B2" w:rsidRDefault="0071330D" w:rsidP="00466BD8">
      <w:pPr>
        <w:pStyle w:val="ListParagraph"/>
        <w:numPr>
          <w:ilvl w:val="0"/>
          <w:numId w:val="2"/>
        </w:numPr>
        <w:spacing w:after="0" w:line="240" w:lineRule="auto"/>
      </w:pPr>
      <w:r w:rsidRPr="00DA29B2">
        <w:lastRenderedPageBreak/>
        <w:t>DeDiego ML, Nieto-Torres JL, Regla-Nava JA, Jimenez-Guardeno JM, Fernandez-Delgado R, Fett C, et al. Inhibition of NF-κB-mediated inflammation in severe acute respiratory syndrome coronavirus-infected mice increases surviv</w:t>
      </w:r>
      <w:r w:rsidR="007F606B" w:rsidRPr="00DA29B2">
        <w:t>al. J Virol. 2014 Jan;88(2):913</w:t>
      </w:r>
      <w:r w:rsidR="007F606B" w:rsidRPr="00DA29B2">
        <w:rPr>
          <w:rFonts w:eastAsiaTheme="minorEastAsia" w:cstheme="minorHAnsi"/>
        </w:rPr>
        <w:t>–</w:t>
      </w:r>
      <w:r w:rsidRPr="00DA29B2">
        <w:t xml:space="preserve">24. doi: </w:t>
      </w:r>
      <w:hyperlink r:id="rId69" w:history="1">
        <w:r w:rsidR="00F723C2" w:rsidRPr="00DA29B2">
          <w:rPr>
            <w:rStyle w:val="Hyperlink"/>
          </w:rPr>
          <w:t>10.1128/JVI.02576-13</w:t>
        </w:r>
      </w:hyperlink>
      <w:r w:rsidR="00F723C2" w:rsidRPr="00DA29B2">
        <w:t xml:space="preserve"> </w:t>
      </w:r>
      <w:r w:rsidRPr="00DA29B2">
        <w:t>PMID: 24198408</w:t>
      </w:r>
    </w:p>
    <w:p w14:paraId="0C6AA8B7" w14:textId="208BEF6C" w:rsidR="0071330D" w:rsidRPr="00DA29B2" w:rsidRDefault="0071330D" w:rsidP="00466BD8">
      <w:pPr>
        <w:pStyle w:val="ListParagraph"/>
        <w:numPr>
          <w:ilvl w:val="0"/>
          <w:numId w:val="2"/>
        </w:numPr>
        <w:spacing w:after="0" w:line="240" w:lineRule="auto"/>
      </w:pPr>
      <w:r w:rsidRPr="00DA29B2">
        <w:t xml:space="preserve">Banerjee S, Kumar M, Wiener R. Decrypting UFMylation: how proteins are modified with UFM1. Biomolecules. 2020 Oct;10(10):1442. doi: </w:t>
      </w:r>
      <w:hyperlink r:id="rId70" w:history="1">
        <w:r w:rsidR="00F723C2" w:rsidRPr="00DA29B2">
          <w:rPr>
            <w:rStyle w:val="Hyperlink"/>
          </w:rPr>
          <w:t>10.3390/biom10101442</w:t>
        </w:r>
      </w:hyperlink>
      <w:r w:rsidR="00F723C2" w:rsidRPr="00DA29B2">
        <w:t xml:space="preserve"> </w:t>
      </w:r>
      <w:r w:rsidRPr="00DA29B2">
        <w:t>PMID: 33066455</w:t>
      </w:r>
    </w:p>
    <w:p w14:paraId="72D7361D" w14:textId="67D1C9EC" w:rsidR="0071330D" w:rsidRPr="00DA29B2" w:rsidRDefault="0071330D" w:rsidP="00466BD8">
      <w:pPr>
        <w:pStyle w:val="ListParagraph"/>
        <w:numPr>
          <w:ilvl w:val="0"/>
          <w:numId w:val="2"/>
        </w:numPr>
        <w:spacing w:after="0" w:line="240" w:lineRule="auto"/>
      </w:pPr>
      <w:r w:rsidRPr="00DA29B2">
        <w:t xml:space="preserve">Stephani M, Picchianti L, Gajic A, Beveridge R, Skarwan E, Hernandez VSDM, et al. A cross-kingdom conserved ER-phagy receptor maintains endoplasmic reticulum homeostasis during stress. Elife. 2020 Aug;9:e58396. doi: </w:t>
      </w:r>
      <w:hyperlink r:id="rId71" w:history="1">
        <w:r w:rsidR="00F723C2" w:rsidRPr="00DA29B2">
          <w:rPr>
            <w:rStyle w:val="Hyperlink"/>
          </w:rPr>
          <w:t>10.7554/eLife.58396</w:t>
        </w:r>
      </w:hyperlink>
      <w:r w:rsidR="00F723C2" w:rsidRPr="00DA29B2">
        <w:t xml:space="preserve"> </w:t>
      </w:r>
      <w:r w:rsidRPr="00DA29B2">
        <w:t>PMID: 32851973</w:t>
      </w:r>
    </w:p>
    <w:p w14:paraId="4543FB3C" w14:textId="43A3EBAB" w:rsidR="0071330D" w:rsidRPr="00DA29B2" w:rsidRDefault="0071330D" w:rsidP="00466BD8">
      <w:pPr>
        <w:pStyle w:val="ListParagraph"/>
        <w:numPr>
          <w:ilvl w:val="0"/>
          <w:numId w:val="2"/>
        </w:numPr>
        <w:spacing w:after="0" w:line="240" w:lineRule="auto"/>
      </w:pPr>
      <w:r w:rsidRPr="00DA29B2">
        <w:t xml:space="preserve">Wolff G, Melia CE, Snijder EJ, Barcena M. Double-membrane vesicles as platforms for viral replication. Trends in Microbiol. 2020 Jun;1839. doi: </w:t>
      </w:r>
      <w:hyperlink r:id="rId72" w:history="1">
        <w:r w:rsidR="00F723C2" w:rsidRPr="00DA29B2">
          <w:rPr>
            <w:rStyle w:val="Hyperlink"/>
          </w:rPr>
          <w:t>10.1016/j.tim.2020.05.009</w:t>
        </w:r>
      </w:hyperlink>
      <w:r w:rsidR="00F723C2" w:rsidRPr="00DA29B2">
        <w:t xml:space="preserve"> </w:t>
      </w:r>
      <w:r w:rsidRPr="00DA29B2">
        <w:t>PMID: 32536523</w:t>
      </w:r>
    </w:p>
    <w:p w14:paraId="5C09FAA5" w14:textId="0AA09B20" w:rsidR="0071330D" w:rsidRPr="00DA29B2" w:rsidRDefault="0071330D" w:rsidP="00466BD8">
      <w:pPr>
        <w:pStyle w:val="ListParagraph"/>
        <w:numPr>
          <w:ilvl w:val="0"/>
          <w:numId w:val="2"/>
        </w:numPr>
        <w:spacing w:after="0" w:line="240" w:lineRule="auto"/>
      </w:pPr>
      <w:r w:rsidRPr="00DA29B2">
        <w:t>Becker AC, Gannage M, Giese S, Hu Z, Abou-Eid S, Roubaty C, et al. Influenza A virus induces autophagosomal targeting of ribosomal proteins. Mol Cell P</w:t>
      </w:r>
      <w:r w:rsidR="007F606B" w:rsidRPr="00DA29B2">
        <w:t>roteomics. 2018 Oct;17(10):1909</w:t>
      </w:r>
      <w:r w:rsidR="007F606B" w:rsidRPr="00DA29B2">
        <w:rPr>
          <w:rFonts w:eastAsiaTheme="minorEastAsia" w:cstheme="minorHAnsi"/>
        </w:rPr>
        <w:t>–</w:t>
      </w:r>
      <w:r w:rsidRPr="00DA29B2">
        <w:t xml:space="preserve">21. doi: </w:t>
      </w:r>
      <w:hyperlink r:id="rId73" w:history="1">
        <w:r w:rsidR="00F723C2" w:rsidRPr="00DA29B2">
          <w:rPr>
            <w:rStyle w:val="Hyperlink"/>
          </w:rPr>
          <w:t>10.1074/mcp.RA117.000364</w:t>
        </w:r>
      </w:hyperlink>
      <w:r w:rsidR="00F723C2" w:rsidRPr="00DA29B2">
        <w:t xml:space="preserve"> </w:t>
      </w:r>
      <w:r w:rsidRPr="00DA29B2">
        <w:t>PMID: 29980615</w:t>
      </w:r>
    </w:p>
    <w:p w14:paraId="05E18195" w14:textId="60DF5B1B" w:rsidR="0071330D" w:rsidRPr="00DA29B2" w:rsidRDefault="0071330D" w:rsidP="00466BD8">
      <w:pPr>
        <w:pStyle w:val="ListParagraph"/>
        <w:numPr>
          <w:ilvl w:val="0"/>
          <w:numId w:val="2"/>
        </w:numPr>
        <w:spacing w:after="0" w:line="240" w:lineRule="auto"/>
      </w:pPr>
      <w:r w:rsidRPr="00DA29B2">
        <w:t xml:space="preserve">Liu J, Guan D, Dong M, Yang J, Wei H, Liang Q, et al. UFMylation maintains </w:t>
      </w:r>
      <w:r w:rsidR="00423F74" w:rsidRPr="00DA29B2">
        <w:t>tumor</w:t>
      </w:r>
      <w:r w:rsidRPr="00DA29B2">
        <w:t xml:space="preserve"> suppressor p53 stability by antagonizing its ubiquitination. Net</w:t>
      </w:r>
      <w:r w:rsidR="007F606B" w:rsidRPr="00DA29B2">
        <w:t xml:space="preserve"> Cell Biol. 2020 Sep;22(9):1056</w:t>
      </w:r>
      <w:r w:rsidR="007F606B" w:rsidRPr="00DA29B2">
        <w:rPr>
          <w:rFonts w:eastAsiaTheme="minorEastAsia" w:cstheme="minorHAnsi"/>
        </w:rPr>
        <w:t>–</w:t>
      </w:r>
      <w:r w:rsidRPr="00DA29B2">
        <w:t xml:space="preserve">63. doi: </w:t>
      </w:r>
      <w:hyperlink r:id="rId74" w:history="1">
        <w:r w:rsidR="00F723C2" w:rsidRPr="00DA29B2">
          <w:rPr>
            <w:rStyle w:val="Hyperlink"/>
          </w:rPr>
          <w:t>10.1038/s41556-020-0559-z</w:t>
        </w:r>
      </w:hyperlink>
      <w:r w:rsidR="00F723C2" w:rsidRPr="00DA29B2">
        <w:t xml:space="preserve"> </w:t>
      </w:r>
      <w:r w:rsidRPr="00DA29B2">
        <w:t>PMID: 32807901</w:t>
      </w:r>
    </w:p>
    <w:p w14:paraId="3734EB59" w14:textId="6BD6A37B" w:rsidR="0071330D" w:rsidRPr="00DA29B2" w:rsidRDefault="0071330D" w:rsidP="00466BD8">
      <w:pPr>
        <w:pStyle w:val="ListParagraph"/>
        <w:numPr>
          <w:ilvl w:val="0"/>
          <w:numId w:val="2"/>
        </w:numPr>
        <w:spacing w:after="0" w:line="240" w:lineRule="auto"/>
      </w:pPr>
      <w:r w:rsidRPr="00DA29B2">
        <w:t xml:space="preserve">Balce DR, Wang YT, McAllaster MR, Dunlap BF, Orvedahl A, Hykes BL, et al. UFMylation inhibits the proinflammatory capacity of interferon-γ-activated macrophages. PNAS. 2021 Jan;118(1):e2011763118. doi: </w:t>
      </w:r>
      <w:hyperlink r:id="rId75" w:history="1">
        <w:r w:rsidR="00F723C2" w:rsidRPr="00DA29B2">
          <w:rPr>
            <w:rStyle w:val="Hyperlink"/>
          </w:rPr>
          <w:t>10.1073/pnas.2011763118</w:t>
        </w:r>
      </w:hyperlink>
      <w:r w:rsidR="00F723C2" w:rsidRPr="00DA29B2">
        <w:t xml:space="preserve"> </w:t>
      </w:r>
      <w:r w:rsidRPr="00DA29B2">
        <w:t>PMID: 33372156</w:t>
      </w:r>
    </w:p>
    <w:p w14:paraId="04359458" w14:textId="5838DB63" w:rsidR="0071330D" w:rsidRPr="00DA29B2" w:rsidRDefault="0071330D" w:rsidP="00466BD8">
      <w:pPr>
        <w:pStyle w:val="ListParagraph"/>
        <w:numPr>
          <w:ilvl w:val="0"/>
          <w:numId w:val="2"/>
        </w:numPr>
        <w:spacing w:after="0" w:line="240" w:lineRule="auto"/>
      </w:pPr>
      <w:r w:rsidRPr="00DA29B2">
        <w:t>Grant RA, Morales-Nebreda L, Markov NS, Swaminathan S, Querrey M, Guzman ER, et al. Circuits between infected macrophages and T cells in SARS-CoV-2 pneumonia.</w:t>
      </w:r>
      <w:r w:rsidR="007F606B" w:rsidRPr="00DA29B2">
        <w:t xml:space="preserve"> Nature. 2021 Feb;590(7847):635</w:t>
      </w:r>
      <w:r w:rsidR="007F606B" w:rsidRPr="00DA29B2">
        <w:rPr>
          <w:rFonts w:eastAsiaTheme="minorEastAsia" w:cstheme="minorHAnsi"/>
        </w:rPr>
        <w:t>–</w:t>
      </w:r>
      <w:r w:rsidRPr="00DA29B2">
        <w:t xml:space="preserve">41. doi: </w:t>
      </w:r>
      <w:hyperlink r:id="rId76" w:history="1">
        <w:r w:rsidR="00F723C2" w:rsidRPr="00DA29B2">
          <w:rPr>
            <w:rStyle w:val="Hyperlink"/>
          </w:rPr>
          <w:t>10.1038/s41586-020-03148-w</w:t>
        </w:r>
      </w:hyperlink>
      <w:r w:rsidR="00F723C2" w:rsidRPr="00DA29B2">
        <w:t xml:space="preserve"> </w:t>
      </w:r>
      <w:r w:rsidRPr="00DA29B2">
        <w:t>PMID: 33429418</w:t>
      </w:r>
    </w:p>
    <w:p w14:paraId="3B9483CD" w14:textId="2D8038AF" w:rsidR="00FA59C5" w:rsidRPr="00DA29B2" w:rsidRDefault="00FA59C5" w:rsidP="00466BD8">
      <w:pPr>
        <w:pStyle w:val="ListParagraph"/>
        <w:numPr>
          <w:ilvl w:val="0"/>
          <w:numId w:val="2"/>
        </w:numPr>
        <w:spacing w:after="0" w:line="240" w:lineRule="auto"/>
      </w:pPr>
      <w:r w:rsidRPr="00DA29B2">
        <w:t>Malakhova OA, Zhang DE. ISG15 inhibits Nedd4 ubiquitin E3 activity and enhances the innate antiviral response. J B</w:t>
      </w:r>
      <w:r w:rsidR="007F606B" w:rsidRPr="00DA29B2">
        <w:t>iol Chem. 2008 Apr;283(14):8783</w:t>
      </w:r>
      <w:r w:rsidR="007F606B" w:rsidRPr="00DA29B2">
        <w:rPr>
          <w:rFonts w:eastAsiaTheme="minorEastAsia" w:cstheme="minorHAnsi"/>
        </w:rPr>
        <w:t>–</w:t>
      </w:r>
      <w:r w:rsidRPr="00DA29B2">
        <w:t xml:space="preserve">7. doi: </w:t>
      </w:r>
      <w:hyperlink r:id="rId77" w:history="1">
        <w:r w:rsidRPr="00DA29B2">
          <w:rPr>
            <w:rStyle w:val="Hyperlink"/>
          </w:rPr>
          <w:t>10.1074/jbc.C800030200</w:t>
        </w:r>
      </w:hyperlink>
      <w:r w:rsidRPr="00DA29B2">
        <w:t xml:space="preserve"> PMID: 18287095</w:t>
      </w:r>
    </w:p>
    <w:p w14:paraId="67E0CFA2" w14:textId="5B12CF0A" w:rsidR="00FA59C5" w:rsidRPr="00DA29B2" w:rsidRDefault="00FA59C5" w:rsidP="00466BD8">
      <w:pPr>
        <w:pStyle w:val="ListParagraph"/>
        <w:numPr>
          <w:ilvl w:val="0"/>
          <w:numId w:val="2"/>
        </w:numPr>
        <w:spacing w:after="0" w:line="240" w:lineRule="auto"/>
      </w:pPr>
      <w:r w:rsidRPr="00DA29B2">
        <w:t xml:space="preserve">Novelli G, Liu J, Biancolella M, Alonzi T, Novelli A, Patten JJ, et al. Inhibition of HECT E3 ligases as a potential therapy for COVID-19. Cell Death Dis. 2021 Mar;12(4):310. doi: </w:t>
      </w:r>
      <w:hyperlink r:id="rId78" w:history="1">
        <w:r w:rsidRPr="00DA29B2">
          <w:rPr>
            <w:rStyle w:val="Hyperlink"/>
          </w:rPr>
          <w:t>10.1038/s41419-021-03513-1</w:t>
        </w:r>
      </w:hyperlink>
      <w:r w:rsidRPr="00DA29B2">
        <w:t xml:space="preserve"> PMID: 33762578</w:t>
      </w:r>
    </w:p>
    <w:p w14:paraId="1563FCE1" w14:textId="60435D73" w:rsidR="0071330D" w:rsidRPr="00DA29B2" w:rsidRDefault="0071330D" w:rsidP="00466BD8">
      <w:pPr>
        <w:pStyle w:val="ListParagraph"/>
        <w:numPr>
          <w:ilvl w:val="0"/>
          <w:numId w:val="2"/>
        </w:numPr>
        <w:spacing w:after="0" w:line="240" w:lineRule="auto"/>
      </w:pPr>
      <w:r w:rsidRPr="00DA29B2">
        <w:t>Narita T, Weinert BT, Choudhary C. Functions and mechanisms of non-histone protein acetylation. Nat Rev Mo</w:t>
      </w:r>
      <w:r w:rsidR="007F606B" w:rsidRPr="00DA29B2">
        <w:t>l Cell Biol. 2018 Mar;20(3):156</w:t>
      </w:r>
      <w:r w:rsidR="007F606B" w:rsidRPr="00DA29B2">
        <w:rPr>
          <w:rFonts w:eastAsiaTheme="minorEastAsia" w:cstheme="minorHAnsi"/>
        </w:rPr>
        <w:t>–</w:t>
      </w:r>
      <w:r w:rsidRPr="00DA29B2">
        <w:t xml:space="preserve">74. doi: </w:t>
      </w:r>
      <w:hyperlink r:id="rId79" w:history="1">
        <w:r w:rsidRPr="00DA29B2">
          <w:rPr>
            <w:rStyle w:val="Hyperlink"/>
          </w:rPr>
          <w:t>10.1038/s41580-018-0081-3</w:t>
        </w:r>
      </w:hyperlink>
      <w:r w:rsidRPr="00DA29B2">
        <w:t xml:space="preserve"> PMID: 30467427</w:t>
      </w:r>
    </w:p>
    <w:p w14:paraId="37E90574" w14:textId="38AAFF68" w:rsidR="0071330D" w:rsidRPr="00DA29B2" w:rsidRDefault="0071330D" w:rsidP="00466BD8">
      <w:pPr>
        <w:pStyle w:val="ListParagraph"/>
        <w:numPr>
          <w:ilvl w:val="0"/>
          <w:numId w:val="2"/>
        </w:numPr>
        <w:spacing w:after="0" w:line="240" w:lineRule="auto"/>
      </w:pPr>
      <w:r w:rsidRPr="00DA29B2">
        <w:t>Ohtake F, Saeki Y, Sakamoto K, Ohtake K, Nishikawa H, Tsuchiya H, et al. Ubiquitin acetylation inhibits polyubiquitin chain elongation</w:t>
      </w:r>
      <w:r w:rsidR="007F606B" w:rsidRPr="00DA29B2">
        <w:t>. EMBO Rep. 2015 Feb;16(2):192</w:t>
      </w:r>
      <w:r w:rsidR="007F606B" w:rsidRPr="00DA29B2">
        <w:rPr>
          <w:rFonts w:eastAsiaTheme="minorEastAsia" w:cstheme="minorHAnsi"/>
        </w:rPr>
        <w:t>–</w:t>
      </w:r>
      <w:r w:rsidRPr="00DA29B2">
        <w:t xml:space="preserve">201. doi: </w:t>
      </w:r>
      <w:hyperlink r:id="rId80" w:history="1">
        <w:r w:rsidRPr="00DA29B2">
          <w:rPr>
            <w:rStyle w:val="Hyperlink"/>
          </w:rPr>
          <w:t>10.15252/embr.201439152</w:t>
        </w:r>
      </w:hyperlink>
      <w:r w:rsidRPr="00DA29B2">
        <w:t xml:space="preserve"> PMID: 25527407</w:t>
      </w:r>
    </w:p>
    <w:p w14:paraId="0182F216" w14:textId="791C54EA" w:rsidR="0071330D" w:rsidRPr="00DA29B2" w:rsidRDefault="0071330D" w:rsidP="00466BD8">
      <w:pPr>
        <w:pStyle w:val="ListParagraph"/>
        <w:numPr>
          <w:ilvl w:val="0"/>
          <w:numId w:val="2"/>
        </w:numPr>
        <w:spacing w:after="0" w:line="240" w:lineRule="auto"/>
      </w:pPr>
      <w:r w:rsidRPr="00DA29B2">
        <w:t>Ma L, Huang C, Wang XJ, Xin DE, Wang LS, Zou QC, et al. Lysyl oxidase 3 is a dual-specificity enzyme involved in STAT3 deacetylation and deacetylimination modulatio</w:t>
      </w:r>
      <w:r w:rsidR="007F606B" w:rsidRPr="00DA29B2">
        <w:t>n. Mol Cell. 2017 Jan;65(2):296</w:t>
      </w:r>
      <w:r w:rsidR="007F606B" w:rsidRPr="00DA29B2">
        <w:rPr>
          <w:rFonts w:eastAsiaTheme="minorEastAsia" w:cstheme="minorHAnsi"/>
        </w:rPr>
        <w:t>–</w:t>
      </w:r>
      <w:r w:rsidRPr="00DA29B2">
        <w:t xml:space="preserve">309. doi: </w:t>
      </w:r>
      <w:hyperlink r:id="rId81" w:history="1">
        <w:r w:rsidRPr="00DA29B2">
          <w:rPr>
            <w:rStyle w:val="Hyperlink"/>
          </w:rPr>
          <w:t>10.1016/j.molcel.2016.12.002</w:t>
        </w:r>
      </w:hyperlink>
      <w:r w:rsidRPr="00DA29B2">
        <w:t xml:space="preserve"> PMID: 28065600</w:t>
      </w:r>
    </w:p>
    <w:p w14:paraId="178DD949" w14:textId="1E346335" w:rsidR="0071330D" w:rsidRPr="00DA29B2" w:rsidRDefault="0071330D" w:rsidP="00466BD8">
      <w:pPr>
        <w:pStyle w:val="ListParagraph"/>
        <w:numPr>
          <w:ilvl w:val="0"/>
          <w:numId w:val="2"/>
        </w:numPr>
        <w:spacing w:after="0" w:line="240" w:lineRule="auto"/>
      </w:pPr>
      <w:r w:rsidRPr="00DA29B2">
        <w:t>Matsuyama T, Kubli SP, Yoshinaga SK, Pfeffer K, Mak TW. An aberrant STAT pathway is central to COVID-19. Cell Dea</w:t>
      </w:r>
      <w:r w:rsidR="001D4BD0" w:rsidRPr="00DA29B2">
        <w:t>th Differ. 2020 Dec;27(12):3209</w:t>
      </w:r>
      <w:r w:rsidR="001D4BD0" w:rsidRPr="00DA29B2">
        <w:rPr>
          <w:rFonts w:eastAsiaTheme="minorEastAsia" w:cstheme="minorHAnsi"/>
        </w:rPr>
        <w:t>–</w:t>
      </w:r>
      <w:r w:rsidRPr="00DA29B2">
        <w:t xml:space="preserve">25. doi: </w:t>
      </w:r>
      <w:hyperlink r:id="rId82" w:history="1">
        <w:r w:rsidRPr="00DA29B2">
          <w:rPr>
            <w:rStyle w:val="Hyperlink"/>
          </w:rPr>
          <w:t>10.1038/s41418-020-00633-7</w:t>
        </w:r>
      </w:hyperlink>
      <w:r w:rsidRPr="00DA29B2">
        <w:t xml:space="preserve"> PMID: 33037393</w:t>
      </w:r>
    </w:p>
    <w:p w14:paraId="37D58E34" w14:textId="7524F174" w:rsidR="0071330D" w:rsidRPr="00DA29B2" w:rsidRDefault="0071330D" w:rsidP="00466BD8">
      <w:pPr>
        <w:pStyle w:val="ListParagraph"/>
        <w:numPr>
          <w:ilvl w:val="0"/>
          <w:numId w:val="2"/>
        </w:numPr>
        <w:spacing w:after="0" w:line="240" w:lineRule="auto"/>
      </w:pPr>
      <w:r w:rsidRPr="00DA29B2">
        <w:t>Thandapani P, O’Connor TR, Bailey TL, Richard S. Defining the RGG/RG moti</w:t>
      </w:r>
      <w:r w:rsidR="007F606B" w:rsidRPr="00DA29B2">
        <w:t>f. Mol Cell. 2013 Jun;50(5):613</w:t>
      </w:r>
      <w:r w:rsidR="007F606B" w:rsidRPr="00DA29B2">
        <w:rPr>
          <w:rFonts w:eastAsiaTheme="minorEastAsia" w:cstheme="minorHAnsi"/>
        </w:rPr>
        <w:t>–</w:t>
      </w:r>
      <w:r w:rsidRPr="00DA29B2">
        <w:t xml:space="preserve">23. doi: </w:t>
      </w:r>
      <w:hyperlink r:id="rId83" w:history="1">
        <w:r w:rsidRPr="00DA29B2">
          <w:rPr>
            <w:rStyle w:val="Hyperlink"/>
          </w:rPr>
          <w:t>10.1016/j.molcel.2013.05.021</w:t>
        </w:r>
      </w:hyperlink>
      <w:r w:rsidRPr="00DA29B2">
        <w:t xml:space="preserve"> PMID: 23746349</w:t>
      </w:r>
    </w:p>
    <w:p w14:paraId="16BD2737" w14:textId="77777777" w:rsidR="0071330D" w:rsidRPr="00DA29B2" w:rsidRDefault="0071330D" w:rsidP="00466BD8">
      <w:pPr>
        <w:pStyle w:val="ListParagraph"/>
        <w:numPr>
          <w:ilvl w:val="0"/>
          <w:numId w:val="2"/>
        </w:numPr>
        <w:spacing w:after="0" w:line="240" w:lineRule="auto"/>
        <w:rPr>
          <w:rStyle w:val="Hyperlink"/>
          <w:color w:val="auto"/>
          <w:u w:val="none"/>
        </w:rPr>
      </w:pPr>
      <w:r w:rsidRPr="00DA29B2">
        <w:t xml:space="preserve">Nabeel-Shah S, Lee H, Ahmed N, Marcon E, Farhangmehr S, Pu S, et al. SARS-CoV-2 nucleocapsid protein attenuates stress granule formation and alters gene expression via direct interaction with host mRNAs. bioRxiv [Preprint]. 2020 Oct. doi: </w:t>
      </w:r>
      <w:hyperlink r:id="rId84" w:history="1">
        <w:r w:rsidRPr="00DA29B2">
          <w:rPr>
            <w:rStyle w:val="Hyperlink"/>
          </w:rPr>
          <w:t>10.1101/2020.10.23.342113</w:t>
        </w:r>
      </w:hyperlink>
    </w:p>
    <w:p w14:paraId="71961B54" w14:textId="77777777" w:rsidR="0071330D" w:rsidRPr="00DA29B2" w:rsidRDefault="0071330D" w:rsidP="00466BD8">
      <w:pPr>
        <w:pStyle w:val="ListParagraph"/>
        <w:numPr>
          <w:ilvl w:val="0"/>
          <w:numId w:val="2"/>
        </w:numPr>
        <w:spacing w:after="0" w:line="240" w:lineRule="auto"/>
      </w:pPr>
      <w:r w:rsidRPr="00DA29B2">
        <w:t xml:space="preserve">Cai T, Yu Z, Wang Z, Liang C, Richard S. Arginine methylation of SARS-CoV-2 nucleocapsid protein regulated RNA binding, its ability to suppress stress granule formation, and viral replication. J Biol Chem. 2021 Jul;297(1):100821. doi: </w:t>
      </w:r>
      <w:hyperlink r:id="rId85" w:history="1">
        <w:r w:rsidRPr="00DA29B2">
          <w:rPr>
            <w:rStyle w:val="Hyperlink"/>
          </w:rPr>
          <w:t>10.1016/j.jbc.2021.100821</w:t>
        </w:r>
      </w:hyperlink>
      <w:r w:rsidRPr="00DA29B2">
        <w:t xml:space="preserve"> PMID: 34029587</w:t>
      </w:r>
    </w:p>
    <w:p w14:paraId="26A3681E" w14:textId="7F054E43" w:rsidR="0071330D" w:rsidRPr="00DA29B2" w:rsidRDefault="0071330D" w:rsidP="00466BD8">
      <w:pPr>
        <w:pStyle w:val="ListParagraph"/>
        <w:numPr>
          <w:ilvl w:val="0"/>
          <w:numId w:val="2"/>
        </w:numPr>
        <w:spacing w:after="0" w:line="240" w:lineRule="auto"/>
      </w:pPr>
      <w:r w:rsidRPr="00DA29B2">
        <w:lastRenderedPageBreak/>
        <w:t>Nemeroff ME, Barabino SM, Li Y, Keller W, Krug RM. Influenza virus NS1 protein interacts with the cellular 30 kDa subunit of CPSF and inhibits 3’ end formation of cellular pre-RN</w:t>
      </w:r>
      <w:r w:rsidR="007F606B" w:rsidRPr="00DA29B2">
        <w:t>As. Mol Cell. 1998 Jun;1(7):991</w:t>
      </w:r>
      <w:r w:rsidR="007F606B" w:rsidRPr="00DA29B2">
        <w:rPr>
          <w:rFonts w:eastAsiaTheme="minorEastAsia" w:cstheme="minorHAnsi"/>
        </w:rPr>
        <w:t>–</w:t>
      </w:r>
      <w:r w:rsidRPr="00DA29B2">
        <w:t xml:space="preserve">1000. doi: </w:t>
      </w:r>
      <w:hyperlink r:id="rId86" w:history="1">
        <w:r w:rsidRPr="00DA29B2">
          <w:rPr>
            <w:rStyle w:val="Hyperlink"/>
          </w:rPr>
          <w:t>10.1016/s1097-2765(00)80099-4</w:t>
        </w:r>
      </w:hyperlink>
      <w:r w:rsidRPr="00DA29B2">
        <w:t xml:space="preserve"> PMID: 9651582</w:t>
      </w:r>
    </w:p>
    <w:p w14:paraId="65DE1173" w14:textId="7F888AD5" w:rsidR="0071330D" w:rsidRPr="00DA29B2" w:rsidRDefault="0071330D" w:rsidP="00466BD8">
      <w:pPr>
        <w:pStyle w:val="ListParagraph"/>
        <w:numPr>
          <w:ilvl w:val="0"/>
          <w:numId w:val="2"/>
        </w:numPr>
        <w:spacing w:after="0" w:line="240" w:lineRule="auto"/>
      </w:pPr>
      <w:r w:rsidRPr="00DA29B2">
        <w:t>Meola N, Domanski M, Karadoulama E, Chen Y, Gentil C, Pultz D, et al. Identification of a nuclear exosome decay pathway for processed transcript</w:t>
      </w:r>
      <w:r w:rsidR="007F606B" w:rsidRPr="00DA29B2">
        <w:t>s. Mol Cell. 2016 Nov;64(3):520</w:t>
      </w:r>
      <w:r w:rsidR="007F606B" w:rsidRPr="00DA29B2">
        <w:rPr>
          <w:rFonts w:eastAsiaTheme="minorEastAsia" w:cstheme="minorHAnsi"/>
        </w:rPr>
        <w:t>–</w:t>
      </w:r>
      <w:r w:rsidRPr="00DA29B2">
        <w:t xml:space="preserve">33. doi: </w:t>
      </w:r>
      <w:hyperlink r:id="rId87" w:history="1">
        <w:r w:rsidRPr="00DA29B2">
          <w:rPr>
            <w:rStyle w:val="Hyperlink"/>
          </w:rPr>
          <w:t>10.1016/j.molcel.2016.09.025</w:t>
        </w:r>
      </w:hyperlink>
      <w:r w:rsidRPr="00DA29B2">
        <w:t xml:space="preserve"> PMID: 27871484</w:t>
      </w:r>
    </w:p>
    <w:p w14:paraId="13505EB8" w14:textId="77777777" w:rsidR="0071330D" w:rsidRPr="00DA29B2" w:rsidRDefault="0071330D" w:rsidP="00466BD8">
      <w:pPr>
        <w:pStyle w:val="ListParagraph"/>
        <w:numPr>
          <w:ilvl w:val="0"/>
          <w:numId w:val="2"/>
        </w:numPr>
        <w:spacing w:after="0" w:line="240" w:lineRule="auto"/>
      </w:pPr>
      <w:r w:rsidRPr="00DA29B2">
        <w:t xml:space="preserve">Wu HY, Ke TY, Liao WY, Chang NY. Regulation of coronaviral poly(A) tail length during infection. PLOS One. 2013 Jul;8(7):e70548. doi: </w:t>
      </w:r>
      <w:hyperlink r:id="rId88" w:history="1">
        <w:r w:rsidRPr="00DA29B2">
          <w:rPr>
            <w:rStyle w:val="Hyperlink"/>
          </w:rPr>
          <w:t>10.1371/journal.pone.0070548</w:t>
        </w:r>
      </w:hyperlink>
      <w:r w:rsidRPr="00DA29B2">
        <w:t xml:space="preserve"> PMID: 23923003</w:t>
      </w:r>
    </w:p>
    <w:p w14:paraId="0D4E6894" w14:textId="77777777" w:rsidR="0071330D" w:rsidRPr="00DA29B2" w:rsidRDefault="0071330D" w:rsidP="00466BD8">
      <w:pPr>
        <w:pStyle w:val="ListParagraph"/>
        <w:numPr>
          <w:ilvl w:val="0"/>
          <w:numId w:val="2"/>
        </w:numPr>
        <w:spacing w:after="0" w:line="240" w:lineRule="auto"/>
      </w:pPr>
      <w:r w:rsidRPr="00DA29B2">
        <w:t xml:space="preserve">Peng YH, Lin CH, Lin CN, Lo CY, Tsai TL, Wu HY. Characterization of the role of hexamer AGUAAA and poly(A) tail in coronavirus polyadenylation. PLOS One. 2016 Oct;11(10):e0165077. doi: </w:t>
      </w:r>
      <w:hyperlink r:id="rId89" w:history="1">
        <w:r w:rsidRPr="00DA29B2">
          <w:rPr>
            <w:rStyle w:val="Hyperlink"/>
          </w:rPr>
          <w:t>10.1371/journal.pone.0165077</w:t>
        </w:r>
      </w:hyperlink>
      <w:r w:rsidRPr="00DA29B2">
        <w:t xml:space="preserve"> PMID: 27760233</w:t>
      </w:r>
    </w:p>
    <w:p w14:paraId="140E9DEE" w14:textId="645AB71A" w:rsidR="0071330D" w:rsidRPr="00DA29B2" w:rsidRDefault="0071330D" w:rsidP="00466BD8">
      <w:pPr>
        <w:pStyle w:val="ListParagraph"/>
        <w:numPr>
          <w:ilvl w:val="0"/>
          <w:numId w:val="2"/>
        </w:numPr>
        <w:spacing w:after="0" w:line="240" w:lineRule="auto"/>
      </w:pPr>
      <w:r w:rsidRPr="00DA29B2">
        <w:t>Kim D, Lee YS, Jung SJ, Yeo J, Seo JJ, Lee YY, et al. Viral hijacking of the TENT4-ZCCHC14 complex protects viral RNAs via mixed tailing. Nat Stru</w:t>
      </w:r>
      <w:r w:rsidR="007F606B" w:rsidRPr="00DA29B2">
        <w:t>ct Mol Biol. 2020 Jun;27(6):581</w:t>
      </w:r>
      <w:r w:rsidR="007F606B" w:rsidRPr="00DA29B2">
        <w:rPr>
          <w:rFonts w:eastAsiaTheme="minorEastAsia" w:cstheme="minorHAnsi"/>
        </w:rPr>
        <w:t>–</w:t>
      </w:r>
      <w:r w:rsidRPr="00DA29B2">
        <w:t xml:space="preserve">8. doi: </w:t>
      </w:r>
      <w:hyperlink r:id="rId90" w:history="1">
        <w:r w:rsidRPr="00DA29B2">
          <w:rPr>
            <w:rStyle w:val="Hyperlink"/>
          </w:rPr>
          <w:t>10.1038/s41594-020-0427-3</w:t>
        </w:r>
      </w:hyperlink>
      <w:r w:rsidRPr="00DA29B2">
        <w:t xml:space="preserve"> PMID: 32451488</w:t>
      </w:r>
    </w:p>
    <w:p w14:paraId="3DDCDE3C" w14:textId="08A2A7F6" w:rsidR="00743EBC" w:rsidRPr="00DA29B2" w:rsidRDefault="00743EBC" w:rsidP="00466BD8">
      <w:pPr>
        <w:pStyle w:val="ListParagraph"/>
        <w:numPr>
          <w:ilvl w:val="0"/>
          <w:numId w:val="2"/>
        </w:numPr>
        <w:spacing w:after="0" w:line="240" w:lineRule="auto"/>
      </w:pPr>
      <w:r w:rsidRPr="00DA29B2">
        <w:t>Miller JE, Reese JC. Ccr4-Not complex: the control freak of eukaryotic cells. Crit Rev Bioch</w:t>
      </w:r>
      <w:r w:rsidR="007F606B" w:rsidRPr="00DA29B2">
        <w:t>em Mol Biol. 2012 Jul:47(4):315</w:t>
      </w:r>
      <w:r w:rsidR="007F606B" w:rsidRPr="00DA29B2">
        <w:rPr>
          <w:rFonts w:eastAsiaTheme="minorEastAsia" w:cstheme="minorHAnsi"/>
        </w:rPr>
        <w:t>–</w:t>
      </w:r>
      <w:r w:rsidRPr="00DA29B2">
        <w:t xml:space="preserve">33. doi: </w:t>
      </w:r>
      <w:hyperlink r:id="rId91" w:history="1">
        <w:r w:rsidRPr="00DA29B2">
          <w:rPr>
            <w:rStyle w:val="Hyperlink"/>
          </w:rPr>
          <w:t>10.3109/10409238.2012.667214</w:t>
        </w:r>
      </w:hyperlink>
      <w:r w:rsidRPr="00DA29B2">
        <w:t xml:space="preserve"> PMID: 22416820</w:t>
      </w:r>
    </w:p>
    <w:p w14:paraId="0FCD74BA" w14:textId="7E6117D1" w:rsidR="0071330D" w:rsidRPr="00DA29B2" w:rsidRDefault="0071330D" w:rsidP="00466BD8">
      <w:pPr>
        <w:pStyle w:val="ListParagraph"/>
        <w:numPr>
          <w:ilvl w:val="0"/>
          <w:numId w:val="2"/>
        </w:numPr>
        <w:spacing w:after="0" w:line="240" w:lineRule="auto"/>
      </w:pPr>
      <w:r w:rsidRPr="00DA29B2">
        <w:t>Daffis S, Szretter KJ, Schriewer J, Li J, Youn S, Errett J, et al. 2’-O methylation of the viral mRNA cap evades host restriction by IFIT family members.</w:t>
      </w:r>
      <w:r w:rsidR="007F606B" w:rsidRPr="00DA29B2">
        <w:t xml:space="preserve"> Nature. 2010 Nov;468(7322):452</w:t>
      </w:r>
      <w:r w:rsidR="007F606B" w:rsidRPr="00DA29B2">
        <w:rPr>
          <w:rFonts w:eastAsiaTheme="minorEastAsia" w:cstheme="minorHAnsi"/>
        </w:rPr>
        <w:t>–</w:t>
      </w:r>
      <w:r w:rsidRPr="00DA29B2">
        <w:t xml:space="preserve">6. doi: </w:t>
      </w:r>
      <w:hyperlink r:id="rId92" w:history="1">
        <w:r w:rsidRPr="00DA29B2">
          <w:rPr>
            <w:rStyle w:val="Hyperlink"/>
          </w:rPr>
          <w:t>10.1038/nature09489</w:t>
        </w:r>
      </w:hyperlink>
      <w:r w:rsidRPr="00DA29B2">
        <w:t xml:space="preserve"> PMID: 21085181</w:t>
      </w:r>
    </w:p>
    <w:p w14:paraId="5803BF10" w14:textId="77777777" w:rsidR="0071330D" w:rsidRPr="00DA29B2" w:rsidRDefault="0071330D" w:rsidP="00466BD8">
      <w:pPr>
        <w:pStyle w:val="ListParagraph"/>
        <w:numPr>
          <w:ilvl w:val="0"/>
          <w:numId w:val="2"/>
        </w:numPr>
        <w:spacing w:after="0" w:line="240" w:lineRule="auto"/>
      </w:pPr>
      <w:r w:rsidRPr="00DA29B2">
        <w:t xml:space="preserve">Viswanathan T, Arya S, Chan SH, Qi S, Dai N, Misra A, et al. Structural basis of RNA cap modification by SARS-CoV-2. Nat Commun. 2020 Jul;11:3718. doi: </w:t>
      </w:r>
      <w:hyperlink r:id="rId93" w:history="1">
        <w:r w:rsidRPr="00DA29B2">
          <w:rPr>
            <w:rStyle w:val="Hyperlink"/>
          </w:rPr>
          <w:t>10.1038/s41467-020-17496-8</w:t>
        </w:r>
      </w:hyperlink>
      <w:r w:rsidRPr="00DA29B2">
        <w:t xml:space="preserve"> PMID: 32709886</w:t>
      </w:r>
    </w:p>
    <w:p w14:paraId="22C5AB32" w14:textId="25F9BEAB" w:rsidR="0071330D" w:rsidRPr="00DA29B2" w:rsidRDefault="0071330D" w:rsidP="00466BD8">
      <w:pPr>
        <w:pStyle w:val="ListParagraph"/>
        <w:numPr>
          <w:ilvl w:val="0"/>
          <w:numId w:val="2"/>
        </w:numPr>
        <w:spacing w:after="0" w:line="240" w:lineRule="auto"/>
      </w:pPr>
      <w:r w:rsidRPr="00DA29B2">
        <w:t>Kincaid RP, Lam VL, Chirayil RP, Randall G, Sullivan CS. RNA triphosphatase DUSP11 enables exonuclease XRN-mediated restriction of hepatitis C virus. PNAS. 2018 Aug;115(32):8</w:t>
      </w:r>
      <w:r w:rsidR="007F606B" w:rsidRPr="00DA29B2">
        <w:t>197</w:t>
      </w:r>
      <w:r w:rsidR="007F606B" w:rsidRPr="00DA29B2">
        <w:rPr>
          <w:rFonts w:eastAsiaTheme="minorEastAsia" w:cstheme="minorHAnsi"/>
        </w:rPr>
        <w:t>–</w:t>
      </w:r>
      <w:r w:rsidRPr="00DA29B2">
        <w:t xml:space="preserve">202. doi: </w:t>
      </w:r>
      <w:hyperlink r:id="rId94" w:history="1">
        <w:r w:rsidRPr="00DA29B2">
          <w:rPr>
            <w:rStyle w:val="Hyperlink"/>
          </w:rPr>
          <w:t>10.1073/pnas.1802326115</w:t>
        </w:r>
      </w:hyperlink>
      <w:r w:rsidRPr="00DA29B2">
        <w:t xml:space="preserve"> PMID: 30038017</w:t>
      </w:r>
    </w:p>
    <w:p w14:paraId="1445639A" w14:textId="3DD8E842" w:rsidR="0071330D" w:rsidRPr="00DA29B2" w:rsidRDefault="0071330D" w:rsidP="00466BD8">
      <w:pPr>
        <w:pStyle w:val="ListParagraph"/>
        <w:numPr>
          <w:ilvl w:val="0"/>
          <w:numId w:val="2"/>
        </w:numPr>
        <w:spacing w:after="0" w:line="240" w:lineRule="auto"/>
      </w:pPr>
      <w:r w:rsidRPr="00DA29B2">
        <w:t xml:space="preserve">Choi JH, Burke JM, Szymanik KH, Nepal U, Battenhouse A, Lau JT, et al. DUSP11-mediated control of 5’-triphosphate RNA regulates RIG-I sensitivity. </w:t>
      </w:r>
      <w:r w:rsidR="007F606B" w:rsidRPr="00DA29B2">
        <w:t>Genes Dev. 2020 Dec;34(23</w:t>
      </w:r>
      <w:r w:rsidR="007F606B" w:rsidRPr="00DA29B2">
        <w:rPr>
          <w:rFonts w:eastAsiaTheme="minorEastAsia" w:cstheme="minorHAnsi"/>
        </w:rPr>
        <w:t>–</w:t>
      </w:r>
      <w:r w:rsidR="007F606B" w:rsidRPr="00DA29B2">
        <w:t>24):1697</w:t>
      </w:r>
      <w:r w:rsidR="007F606B" w:rsidRPr="00DA29B2">
        <w:rPr>
          <w:rFonts w:eastAsiaTheme="minorEastAsia" w:cstheme="minorHAnsi"/>
        </w:rPr>
        <w:t>–</w:t>
      </w:r>
      <w:r w:rsidRPr="00DA29B2">
        <w:t xml:space="preserve">712. doi: </w:t>
      </w:r>
      <w:hyperlink r:id="rId95" w:history="1">
        <w:r w:rsidRPr="00DA29B2">
          <w:rPr>
            <w:rStyle w:val="Hyperlink"/>
          </w:rPr>
          <w:t>10.1101/gad.340604.120</w:t>
        </w:r>
      </w:hyperlink>
      <w:r w:rsidRPr="00DA29B2">
        <w:t xml:space="preserve"> PMID: 33184222</w:t>
      </w:r>
    </w:p>
    <w:p w14:paraId="450AB488" w14:textId="77777777" w:rsidR="0071330D" w:rsidRPr="00DA29B2" w:rsidRDefault="0071330D" w:rsidP="00466BD8">
      <w:pPr>
        <w:pStyle w:val="ListParagraph"/>
        <w:numPr>
          <w:ilvl w:val="0"/>
          <w:numId w:val="2"/>
        </w:numPr>
        <w:spacing w:after="0" w:line="240" w:lineRule="auto"/>
      </w:pPr>
      <w:r w:rsidRPr="00DA29B2">
        <w:t xml:space="preserve">Choi JH, Sullivan CS. DUSP11 and triphosphate RNA balance during virus infection. PLOS Pathog. 2021 Jan;17(1):e1009145. doi: </w:t>
      </w:r>
      <w:hyperlink r:id="rId96" w:history="1">
        <w:r w:rsidRPr="00DA29B2">
          <w:rPr>
            <w:rStyle w:val="Hyperlink"/>
          </w:rPr>
          <w:t>10.1371/journal.ppat.1009145</w:t>
        </w:r>
      </w:hyperlink>
      <w:r w:rsidRPr="00DA29B2">
        <w:t xml:space="preserve"> PMID: 33444401</w:t>
      </w:r>
    </w:p>
    <w:p w14:paraId="46BC97FA" w14:textId="77777777" w:rsidR="0071330D" w:rsidRPr="00DA29B2" w:rsidRDefault="0071330D" w:rsidP="00466BD8">
      <w:pPr>
        <w:pStyle w:val="ListParagraph"/>
        <w:numPr>
          <w:ilvl w:val="0"/>
          <w:numId w:val="2"/>
        </w:numPr>
        <w:spacing w:after="0" w:line="240" w:lineRule="auto"/>
        <w:rPr>
          <w:rStyle w:val="Hyperlink"/>
          <w:color w:val="auto"/>
          <w:u w:val="none"/>
        </w:rPr>
      </w:pPr>
      <w:r w:rsidRPr="00DA29B2">
        <w:t xml:space="preserve">Bonaventure B, Rebendenne A, de Gracia FG, McKellar J, Gracias S, Labaronne E, et al. A genome-wide CRISPR/Cas9 knock-out screen identifies DEAD box RNA helicase DDX42 as a broad antiviral inhibitor. bioRxiv [Preprint]. 2020 Oct. doi: </w:t>
      </w:r>
      <w:hyperlink r:id="rId97" w:history="1">
        <w:r w:rsidRPr="00DA29B2">
          <w:rPr>
            <w:rStyle w:val="Hyperlink"/>
          </w:rPr>
          <w:t>10.1101/2020.10.28.359356</w:t>
        </w:r>
      </w:hyperlink>
    </w:p>
    <w:p w14:paraId="4C1F321A" w14:textId="77777777" w:rsidR="0071330D" w:rsidRPr="00DA29B2" w:rsidRDefault="0071330D" w:rsidP="00466BD8">
      <w:pPr>
        <w:pStyle w:val="ListParagraph"/>
        <w:numPr>
          <w:ilvl w:val="0"/>
          <w:numId w:val="2"/>
        </w:numPr>
        <w:spacing w:after="0" w:line="240" w:lineRule="auto"/>
        <w:rPr>
          <w:rStyle w:val="Hyperlink"/>
          <w:color w:val="auto"/>
          <w:u w:val="none"/>
        </w:rPr>
      </w:pPr>
      <w:r w:rsidRPr="00DA29B2">
        <w:t xml:space="preserve">Temerozo J, Fintelman-Rodrigues N, Santos MC, Hottz E, Sacramento C, et al. Human endogenous retrovirus K activation in the lower respiratory tract of severe COVID-19 patients associated with early mortality. Research Square [Preprint]. 2021 May. doi: </w:t>
      </w:r>
      <w:hyperlink r:id="rId98" w:history="1">
        <w:r w:rsidRPr="00DA29B2">
          <w:rPr>
            <w:rStyle w:val="Hyperlink"/>
          </w:rPr>
          <w:t>10.21203/rs.3.rs-514541/v1</w:t>
        </w:r>
      </w:hyperlink>
    </w:p>
    <w:p w14:paraId="63D1F8F1" w14:textId="77777777" w:rsidR="0071330D" w:rsidRPr="00DA29B2" w:rsidRDefault="0071330D" w:rsidP="00466BD8">
      <w:pPr>
        <w:pStyle w:val="ListParagraph"/>
        <w:numPr>
          <w:ilvl w:val="0"/>
          <w:numId w:val="2"/>
        </w:numPr>
        <w:spacing w:after="0" w:line="240" w:lineRule="auto"/>
      </w:pPr>
      <w:r w:rsidRPr="00DA29B2">
        <w:t xml:space="preserve">Tyagi R, Li W, Parades D, Bianchet MA, Nath A. Inhibition of human endogenous retrovirus-K by antiretroviral drugs. Retrovirology. 2017 Mar;14:21. doi: </w:t>
      </w:r>
      <w:hyperlink r:id="rId99" w:history="1">
        <w:r w:rsidRPr="00DA29B2">
          <w:rPr>
            <w:rStyle w:val="Hyperlink"/>
          </w:rPr>
          <w:t>10.1186/s12977-017-0347-4</w:t>
        </w:r>
      </w:hyperlink>
      <w:r w:rsidRPr="00DA29B2">
        <w:t xml:space="preserve"> PMID: 28330477</w:t>
      </w:r>
    </w:p>
    <w:p w14:paraId="09482C2A" w14:textId="77777777" w:rsidR="0071330D" w:rsidRPr="00DA29B2" w:rsidRDefault="0071330D" w:rsidP="00466BD8">
      <w:pPr>
        <w:pStyle w:val="ListParagraph"/>
        <w:numPr>
          <w:ilvl w:val="0"/>
          <w:numId w:val="2"/>
        </w:numPr>
        <w:spacing w:after="0" w:line="240" w:lineRule="auto"/>
      </w:pPr>
      <w:r w:rsidRPr="00DA29B2">
        <w:t xml:space="preserve">Mahdi M, Motyan JA, Szojka ZI, Golda M, Miczi M, Tozser J. Analysis of the efficacy of HIV protease inhibitors against SARS-CoV-2’s main protease. Virol J. 2020 Nov;17(1):190. doi: </w:t>
      </w:r>
      <w:hyperlink r:id="rId100" w:history="1">
        <w:r w:rsidRPr="00DA29B2">
          <w:rPr>
            <w:rStyle w:val="Hyperlink"/>
          </w:rPr>
          <w:t>10.1186/s12985-020-01457-0</w:t>
        </w:r>
      </w:hyperlink>
      <w:r w:rsidRPr="00DA29B2">
        <w:t xml:space="preserve"> PMID: 33243253</w:t>
      </w:r>
    </w:p>
    <w:p w14:paraId="30D30F57" w14:textId="5C536045" w:rsidR="0071330D" w:rsidRPr="00DA29B2" w:rsidRDefault="0071330D" w:rsidP="00466BD8">
      <w:pPr>
        <w:pStyle w:val="ListParagraph"/>
        <w:numPr>
          <w:ilvl w:val="0"/>
          <w:numId w:val="2"/>
        </w:numPr>
        <w:spacing w:after="0" w:line="240" w:lineRule="auto"/>
      </w:pPr>
      <w:r w:rsidRPr="00DA29B2">
        <w:t>Cao B, Wang Y, Wen D, Liu W, Wang J, Fan G, et al. A trial of lopinavir-ritonavir in adults hospitalized with severe COVID-19. N En</w:t>
      </w:r>
      <w:r w:rsidR="007F606B" w:rsidRPr="00DA29B2">
        <w:t>gl J Med. 2020 May;382(19):1787</w:t>
      </w:r>
      <w:r w:rsidR="007F606B" w:rsidRPr="00DA29B2">
        <w:rPr>
          <w:rFonts w:eastAsiaTheme="minorEastAsia" w:cstheme="minorHAnsi"/>
        </w:rPr>
        <w:t>–</w:t>
      </w:r>
      <w:r w:rsidRPr="00DA29B2">
        <w:t xml:space="preserve">99. doi: </w:t>
      </w:r>
      <w:hyperlink r:id="rId101" w:history="1">
        <w:r w:rsidRPr="00DA29B2">
          <w:rPr>
            <w:rStyle w:val="Hyperlink"/>
          </w:rPr>
          <w:t>10.1056/NEJMoa2001282</w:t>
        </w:r>
      </w:hyperlink>
      <w:r w:rsidRPr="00DA29B2">
        <w:t xml:space="preserve"> PMID: 32187464</w:t>
      </w:r>
    </w:p>
    <w:p w14:paraId="3C89DBA2" w14:textId="77777777" w:rsidR="00275675" w:rsidRDefault="00275675" w:rsidP="00466BD8">
      <w:pPr>
        <w:spacing w:after="0" w:line="240" w:lineRule="auto"/>
      </w:pPr>
    </w:p>
    <w:sectPr w:rsidR="00275675" w:rsidSect="0071330D">
      <w:footerReference w:type="default" r:id="rId102"/>
      <w:pgSz w:w="12240" w:h="15840"/>
      <w:pgMar w:top="1440" w:right="1440" w:bottom="1440" w:left="1440" w:header="720" w:footer="720" w:gutter="0"/>
      <w:lnNumType w:countBy="1" w:restart="continuous"/>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39DAE" w16cex:dateUtc="2021-08-03T14:49:00Z"/>
  <w16cex:commentExtensible w16cex:durableId="24B39D8A" w16cex:dateUtc="2021-08-03T14:48:00Z"/>
  <w16cex:commentExtensible w16cex:durableId="24B39D7F" w16cex:dateUtc="2021-08-03T14:48:00Z"/>
  <w16cex:commentExtensible w16cex:durableId="24B399AC" w16cex:dateUtc="2021-08-03T14:32:00Z"/>
  <w16cex:commentExtensible w16cex:durableId="2499478E" w16cex:dateUtc="2021-07-14T15:22:00Z"/>
  <w16cex:commentExtensible w16cex:durableId="24B39A0F" w16cex:dateUtc="2021-08-03T14:33:00Z"/>
  <w16cex:commentExtensible w16cex:durableId="2494B8C3" w16cex:dateUtc="2021-07-11T04:24:00Z"/>
  <w16cex:commentExtensible w16cex:durableId="2494BAB0" w16cex:dateUtc="2021-07-11T04:32:00Z"/>
  <w16cex:commentExtensible w16cex:durableId="24B39B4C" w16cex:dateUtc="2021-08-03T14:39:00Z"/>
  <w16cex:commentExtensible w16cex:durableId="24B39C87" w16cex:dateUtc="2021-08-03T14:44:00Z"/>
  <w16cex:commentExtensible w16cex:durableId="24B39BF2" w16cex:dateUtc="2021-08-03T14:41:00Z"/>
  <w16cex:commentExtensible w16cex:durableId="24B39CBF" w16cex:dateUtc="2021-08-03T14:45:00Z"/>
  <w16cex:commentExtensible w16cex:durableId="24B39D45" w16cex:dateUtc="2021-08-03T14: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169322" w16cid:durableId="24B39DAE"/>
  <w16cid:commentId w16cid:paraId="76EE25B4" w16cid:durableId="24B39D8A"/>
  <w16cid:commentId w16cid:paraId="7F031474" w16cid:durableId="24B39D7F"/>
  <w16cid:commentId w16cid:paraId="25790240" w16cid:durableId="24B399AC"/>
  <w16cid:commentId w16cid:paraId="14EBE7DC" w16cid:durableId="2499478E"/>
  <w16cid:commentId w16cid:paraId="55F66EB2" w16cid:durableId="24B39A0F"/>
  <w16cid:commentId w16cid:paraId="7BFA8525" w16cid:durableId="2494B8C3"/>
  <w16cid:commentId w16cid:paraId="54D2D3BA" w16cid:durableId="2494BAB0"/>
  <w16cid:commentId w16cid:paraId="08038E89" w16cid:durableId="24B39B4C"/>
  <w16cid:commentId w16cid:paraId="5D00F667" w16cid:durableId="24B39C87"/>
  <w16cid:commentId w16cid:paraId="13F4D3CA" w16cid:durableId="24B39BF2"/>
  <w16cid:commentId w16cid:paraId="24F53B6B" w16cid:durableId="24B39CBF"/>
  <w16cid:commentId w16cid:paraId="5A4106CA" w16cid:durableId="24B39D4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DB155A" w14:textId="77777777" w:rsidR="00114467" w:rsidRDefault="00114467" w:rsidP="0071330D">
      <w:pPr>
        <w:spacing w:after="0" w:line="240" w:lineRule="auto"/>
      </w:pPr>
      <w:r>
        <w:separator/>
      </w:r>
    </w:p>
  </w:endnote>
  <w:endnote w:type="continuationSeparator" w:id="0">
    <w:p w14:paraId="43E291AF" w14:textId="77777777" w:rsidR="00114467" w:rsidRDefault="00114467" w:rsidP="007133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6234309"/>
      <w:docPartObj>
        <w:docPartGallery w:val="Page Numbers (Bottom of Page)"/>
        <w:docPartUnique/>
      </w:docPartObj>
    </w:sdtPr>
    <w:sdtEndPr>
      <w:rPr>
        <w:noProof/>
      </w:rPr>
    </w:sdtEndPr>
    <w:sdtContent>
      <w:p w14:paraId="6935688B" w14:textId="19534DBA" w:rsidR="00CF76AF" w:rsidRDefault="00CF76AF">
        <w:pPr>
          <w:pStyle w:val="Footer"/>
          <w:jc w:val="center"/>
        </w:pPr>
        <w:r>
          <w:fldChar w:fldCharType="begin"/>
        </w:r>
        <w:r>
          <w:instrText xml:space="preserve"> PAGE   \* MERGEFORMAT </w:instrText>
        </w:r>
        <w:r>
          <w:fldChar w:fldCharType="separate"/>
        </w:r>
        <w:r w:rsidR="004A2A2D">
          <w:rPr>
            <w:noProof/>
          </w:rPr>
          <w:t>14</w:t>
        </w:r>
        <w:r>
          <w:rPr>
            <w:noProof/>
          </w:rPr>
          <w:fldChar w:fldCharType="end"/>
        </w:r>
      </w:p>
    </w:sdtContent>
  </w:sdt>
  <w:p w14:paraId="7E18FFB9" w14:textId="77777777" w:rsidR="00CF76AF" w:rsidRDefault="00CF76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8C63F7" w14:textId="77777777" w:rsidR="00114467" w:rsidRDefault="00114467" w:rsidP="0071330D">
      <w:pPr>
        <w:spacing w:after="0" w:line="240" w:lineRule="auto"/>
      </w:pPr>
      <w:r>
        <w:separator/>
      </w:r>
    </w:p>
  </w:footnote>
  <w:footnote w:type="continuationSeparator" w:id="0">
    <w:p w14:paraId="5C303640" w14:textId="77777777" w:rsidR="00114467" w:rsidRDefault="00114467" w:rsidP="0071330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52577D0"/>
    <w:multiLevelType w:val="hybridMultilevel"/>
    <w:tmpl w:val="7DBCF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333B27"/>
    <w:multiLevelType w:val="hybridMultilevel"/>
    <w:tmpl w:val="FD4AB9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EE390C"/>
    <w:multiLevelType w:val="hybridMultilevel"/>
    <w:tmpl w:val="128A7B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D984DA9"/>
    <w:multiLevelType w:val="hybridMultilevel"/>
    <w:tmpl w:val="7FB027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675"/>
    <w:rsid w:val="00004BD7"/>
    <w:rsid w:val="00005E87"/>
    <w:rsid w:val="00013172"/>
    <w:rsid w:val="0003578F"/>
    <w:rsid w:val="000372C3"/>
    <w:rsid w:val="000557A1"/>
    <w:rsid w:val="00056A25"/>
    <w:rsid w:val="000604D2"/>
    <w:rsid w:val="00061B09"/>
    <w:rsid w:val="00064A85"/>
    <w:rsid w:val="00083012"/>
    <w:rsid w:val="0009110C"/>
    <w:rsid w:val="000A791C"/>
    <w:rsid w:val="000B5CC0"/>
    <w:rsid w:val="000C258D"/>
    <w:rsid w:val="000D1AA5"/>
    <w:rsid w:val="000D2639"/>
    <w:rsid w:val="000E2161"/>
    <w:rsid w:val="000E25D3"/>
    <w:rsid w:val="00114467"/>
    <w:rsid w:val="0013698A"/>
    <w:rsid w:val="001510ED"/>
    <w:rsid w:val="001569CC"/>
    <w:rsid w:val="00164541"/>
    <w:rsid w:val="00165CB6"/>
    <w:rsid w:val="001725DD"/>
    <w:rsid w:val="00181669"/>
    <w:rsid w:val="00182F69"/>
    <w:rsid w:val="00185617"/>
    <w:rsid w:val="00187589"/>
    <w:rsid w:val="001A397E"/>
    <w:rsid w:val="001C41CE"/>
    <w:rsid w:val="001D2D5B"/>
    <w:rsid w:val="001D3CB8"/>
    <w:rsid w:val="001D4BD0"/>
    <w:rsid w:val="001D4CAE"/>
    <w:rsid w:val="001F4CDC"/>
    <w:rsid w:val="00207A24"/>
    <w:rsid w:val="002157BB"/>
    <w:rsid w:val="002162F1"/>
    <w:rsid w:val="002301D6"/>
    <w:rsid w:val="00233CA4"/>
    <w:rsid w:val="00257709"/>
    <w:rsid w:val="0026038F"/>
    <w:rsid w:val="002650DF"/>
    <w:rsid w:val="00270D10"/>
    <w:rsid w:val="00275675"/>
    <w:rsid w:val="0029066A"/>
    <w:rsid w:val="00296AF1"/>
    <w:rsid w:val="002B7F5D"/>
    <w:rsid w:val="002F03E8"/>
    <w:rsid w:val="002F2820"/>
    <w:rsid w:val="002F2A47"/>
    <w:rsid w:val="003103E9"/>
    <w:rsid w:val="003113FC"/>
    <w:rsid w:val="0031794B"/>
    <w:rsid w:val="003265F0"/>
    <w:rsid w:val="003406B3"/>
    <w:rsid w:val="00340AE2"/>
    <w:rsid w:val="00355538"/>
    <w:rsid w:val="003632B4"/>
    <w:rsid w:val="00364F92"/>
    <w:rsid w:val="0037589B"/>
    <w:rsid w:val="00375C48"/>
    <w:rsid w:val="00382EFE"/>
    <w:rsid w:val="00384CD9"/>
    <w:rsid w:val="003C3F66"/>
    <w:rsid w:val="003D7F8F"/>
    <w:rsid w:val="003E4186"/>
    <w:rsid w:val="003E4C1A"/>
    <w:rsid w:val="003E6B7D"/>
    <w:rsid w:val="004047A5"/>
    <w:rsid w:val="004131B1"/>
    <w:rsid w:val="004207B7"/>
    <w:rsid w:val="00423F74"/>
    <w:rsid w:val="00451C0A"/>
    <w:rsid w:val="00466BD8"/>
    <w:rsid w:val="00486EAC"/>
    <w:rsid w:val="004929B4"/>
    <w:rsid w:val="004A2A2D"/>
    <w:rsid w:val="004C61DA"/>
    <w:rsid w:val="004D4FB9"/>
    <w:rsid w:val="004F2290"/>
    <w:rsid w:val="005028DE"/>
    <w:rsid w:val="00503DFE"/>
    <w:rsid w:val="00510B05"/>
    <w:rsid w:val="0052003E"/>
    <w:rsid w:val="00531D23"/>
    <w:rsid w:val="005419DB"/>
    <w:rsid w:val="0054652C"/>
    <w:rsid w:val="00550593"/>
    <w:rsid w:val="00560356"/>
    <w:rsid w:val="0056077C"/>
    <w:rsid w:val="00574C0A"/>
    <w:rsid w:val="005761D5"/>
    <w:rsid w:val="005842C8"/>
    <w:rsid w:val="00585A06"/>
    <w:rsid w:val="005A1365"/>
    <w:rsid w:val="005A49EC"/>
    <w:rsid w:val="005C6B56"/>
    <w:rsid w:val="005E0D3E"/>
    <w:rsid w:val="005E252B"/>
    <w:rsid w:val="005E3453"/>
    <w:rsid w:val="005F2BF4"/>
    <w:rsid w:val="006015D0"/>
    <w:rsid w:val="00604F42"/>
    <w:rsid w:val="0060657E"/>
    <w:rsid w:val="00611A6F"/>
    <w:rsid w:val="0062172F"/>
    <w:rsid w:val="0064649C"/>
    <w:rsid w:val="006652FF"/>
    <w:rsid w:val="006A2494"/>
    <w:rsid w:val="006A2A72"/>
    <w:rsid w:val="006A59A3"/>
    <w:rsid w:val="006B5AC3"/>
    <w:rsid w:val="006B6254"/>
    <w:rsid w:val="006C5C98"/>
    <w:rsid w:val="006D4516"/>
    <w:rsid w:val="006D6E47"/>
    <w:rsid w:val="006D706B"/>
    <w:rsid w:val="006E7DEC"/>
    <w:rsid w:val="006F6AC2"/>
    <w:rsid w:val="0071330D"/>
    <w:rsid w:val="00715F99"/>
    <w:rsid w:val="007267F6"/>
    <w:rsid w:val="007277D5"/>
    <w:rsid w:val="00733169"/>
    <w:rsid w:val="00743EBC"/>
    <w:rsid w:val="007465DC"/>
    <w:rsid w:val="00753A81"/>
    <w:rsid w:val="007948F2"/>
    <w:rsid w:val="007A65C2"/>
    <w:rsid w:val="007B3E2F"/>
    <w:rsid w:val="007D6EC0"/>
    <w:rsid w:val="007F0D19"/>
    <w:rsid w:val="007F606B"/>
    <w:rsid w:val="00803C07"/>
    <w:rsid w:val="00814581"/>
    <w:rsid w:val="00824B2D"/>
    <w:rsid w:val="008460A9"/>
    <w:rsid w:val="00847533"/>
    <w:rsid w:val="00854A73"/>
    <w:rsid w:val="00874708"/>
    <w:rsid w:val="008812D8"/>
    <w:rsid w:val="008B5168"/>
    <w:rsid w:val="008C2C51"/>
    <w:rsid w:val="008E1F3D"/>
    <w:rsid w:val="008E5433"/>
    <w:rsid w:val="008E5DA0"/>
    <w:rsid w:val="008F2057"/>
    <w:rsid w:val="00903080"/>
    <w:rsid w:val="00923C32"/>
    <w:rsid w:val="009252E6"/>
    <w:rsid w:val="00927951"/>
    <w:rsid w:val="0093004E"/>
    <w:rsid w:val="00941F3F"/>
    <w:rsid w:val="0095100A"/>
    <w:rsid w:val="0096211C"/>
    <w:rsid w:val="0096394F"/>
    <w:rsid w:val="00964864"/>
    <w:rsid w:val="00975504"/>
    <w:rsid w:val="009910FB"/>
    <w:rsid w:val="00996E97"/>
    <w:rsid w:val="009A37AC"/>
    <w:rsid w:val="009B3A8B"/>
    <w:rsid w:val="009C46F9"/>
    <w:rsid w:val="009C4B60"/>
    <w:rsid w:val="009C511E"/>
    <w:rsid w:val="009D28AB"/>
    <w:rsid w:val="009E48A6"/>
    <w:rsid w:val="009F3639"/>
    <w:rsid w:val="009F5152"/>
    <w:rsid w:val="00A33504"/>
    <w:rsid w:val="00A35AE8"/>
    <w:rsid w:val="00A37E5E"/>
    <w:rsid w:val="00A65F56"/>
    <w:rsid w:val="00A85824"/>
    <w:rsid w:val="00A94254"/>
    <w:rsid w:val="00A964CD"/>
    <w:rsid w:val="00AB5C2E"/>
    <w:rsid w:val="00AB5FB7"/>
    <w:rsid w:val="00AF3FE2"/>
    <w:rsid w:val="00B07F2F"/>
    <w:rsid w:val="00B14A91"/>
    <w:rsid w:val="00B53B40"/>
    <w:rsid w:val="00B56616"/>
    <w:rsid w:val="00B6418B"/>
    <w:rsid w:val="00B82FE5"/>
    <w:rsid w:val="00B912D8"/>
    <w:rsid w:val="00BB1149"/>
    <w:rsid w:val="00BC0C48"/>
    <w:rsid w:val="00BC6F4B"/>
    <w:rsid w:val="00BD51B5"/>
    <w:rsid w:val="00C01491"/>
    <w:rsid w:val="00C065A9"/>
    <w:rsid w:val="00C25CFA"/>
    <w:rsid w:val="00C5410D"/>
    <w:rsid w:val="00C5627F"/>
    <w:rsid w:val="00C70DB0"/>
    <w:rsid w:val="00C74F21"/>
    <w:rsid w:val="00C91C35"/>
    <w:rsid w:val="00C94800"/>
    <w:rsid w:val="00CB27D5"/>
    <w:rsid w:val="00CB3B42"/>
    <w:rsid w:val="00CD700E"/>
    <w:rsid w:val="00CF0104"/>
    <w:rsid w:val="00CF1C18"/>
    <w:rsid w:val="00CF1C44"/>
    <w:rsid w:val="00CF6DEF"/>
    <w:rsid w:val="00CF76AF"/>
    <w:rsid w:val="00D31E1E"/>
    <w:rsid w:val="00D4353F"/>
    <w:rsid w:val="00D436EB"/>
    <w:rsid w:val="00D45101"/>
    <w:rsid w:val="00D8068C"/>
    <w:rsid w:val="00DA29B2"/>
    <w:rsid w:val="00DA32AF"/>
    <w:rsid w:val="00DA3C4A"/>
    <w:rsid w:val="00DC5B92"/>
    <w:rsid w:val="00DC6062"/>
    <w:rsid w:val="00DC7C18"/>
    <w:rsid w:val="00DE5521"/>
    <w:rsid w:val="00DE646C"/>
    <w:rsid w:val="00DF4267"/>
    <w:rsid w:val="00E0077C"/>
    <w:rsid w:val="00E02DBD"/>
    <w:rsid w:val="00E22BDE"/>
    <w:rsid w:val="00E26621"/>
    <w:rsid w:val="00E33149"/>
    <w:rsid w:val="00E42E6C"/>
    <w:rsid w:val="00E51AA0"/>
    <w:rsid w:val="00E55591"/>
    <w:rsid w:val="00E95613"/>
    <w:rsid w:val="00ED2171"/>
    <w:rsid w:val="00EE1F55"/>
    <w:rsid w:val="00EE7EE8"/>
    <w:rsid w:val="00EF3F05"/>
    <w:rsid w:val="00EF6E23"/>
    <w:rsid w:val="00F123D5"/>
    <w:rsid w:val="00F13F73"/>
    <w:rsid w:val="00F15C5A"/>
    <w:rsid w:val="00F36B9B"/>
    <w:rsid w:val="00F3778B"/>
    <w:rsid w:val="00F506BB"/>
    <w:rsid w:val="00F723C2"/>
    <w:rsid w:val="00F77D76"/>
    <w:rsid w:val="00FA59C5"/>
    <w:rsid w:val="00FB1301"/>
    <w:rsid w:val="00FB7FB9"/>
    <w:rsid w:val="00FD0146"/>
    <w:rsid w:val="00FE57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E23FC"/>
  <w15:docId w15:val="{7D06B6EE-6E45-4D62-841A-C6C343D19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56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75675"/>
    <w:rPr>
      <w:color w:val="0563C1" w:themeColor="hyperlink"/>
      <w:u w:val="single"/>
    </w:rPr>
  </w:style>
  <w:style w:type="character" w:styleId="CommentReference">
    <w:name w:val="annotation reference"/>
    <w:basedOn w:val="DefaultParagraphFont"/>
    <w:uiPriority w:val="99"/>
    <w:semiHidden/>
    <w:unhideWhenUsed/>
    <w:rsid w:val="00275675"/>
    <w:rPr>
      <w:sz w:val="16"/>
      <w:szCs w:val="16"/>
    </w:rPr>
  </w:style>
  <w:style w:type="paragraph" w:styleId="CommentText">
    <w:name w:val="annotation text"/>
    <w:basedOn w:val="Normal"/>
    <w:link w:val="CommentTextChar"/>
    <w:uiPriority w:val="99"/>
    <w:unhideWhenUsed/>
    <w:rsid w:val="00275675"/>
    <w:pPr>
      <w:spacing w:line="240" w:lineRule="auto"/>
    </w:pPr>
    <w:rPr>
      <w:sz w:val="20"/>
      <w:szCs w:val="20"/>
    </w:rPr>
  </w:style>
  <w:style w:type="character" w:customStyle="1" w:styleId="CommentTextChar">
    <w:name w:val="Comment Text Char"/>
    <w:basedOn w:val="DefaultParagraphFont"/>
    <w:link w:val="CommentText"/>
    <w:uiPriority w:val="99"/>
    <w:rsid w:val="00275675"/>
    <w:rPr>
      <w:sz w:val="20"/>
      <w:szCs w:val="20"/>
    </w:rPr>
  </w:style>
  <w:style w:type="table" w:styleId="TableGrid">
    <w:name w:val="Table Grid"/>
    <w:basedOn w:val="TableNormal"/>
    <w:uiPriority w:val="39"/>
    <w:rsid w:val="002756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C91C35"/>
    <w:rPr>
      <w:b/>
      <w:bCs/>
    </w:rPr>
  </w:style>
  <w:style w:type="character" w:customStyle="1" w:styleId="CommentSubjectChar">
    <w:name w:val="Comment Subject Char"/>
    <w:basedOn w:val="CommentTextChar"/>
    <w:link w:val="CommentSubject"/>
    <w:uiPriority w:val="99"/>
    <w:semiHidden/>
    <w:rsid w:val="00C91C35"/>
    <w:rPr>
      <w:b/>
      <w:bCs/>
      <w:sz w:val="20"/>
      <w:szCs w:val="20"/>
    </w:rPr>
  </w:style>
  <w:style w:type="paragraph" w:styleId="ListParagraph">
    <w:name w:val="List Paragraph"/>
    <w:basedOn w:val="Normal"/>
    <w:uiPriority w:val="34"/>
    <w:qFormat/>
    <w:rsid w:val="003103E9"/>
    <w:pPr>
      <w:ind w:left="720"/>
      <w:contextualSpacing/>
    </w:pPr>
  </w:style>
  <w:style w:type="character" w:customStyle="1" w:styleId="UnresolvedMention">
    <w:name w:val="Unresolved Mention"/>
    <w:basedOn w:val="DefaultParagraphFont"/>
    <w:uiPriority w:val="99"/>
    <w:semiHidden/>
    <w:unhideWhenUsed/>
    <w:rsid w:val="00187589"/>
    <w:rPr>
      <w:color w:val="605E5C"/>
      <w:shd w:val="clear" w:color="auto" w:fill="E1DFDD"/>
    </w:rPr>
  </w:style>
  <w:style w:type="paragraph" w:styleId="Header">
    <w:name w:val="header"/>
    <w:basedOn w:val="Normal"/>
    <w:link w:val="HeaderChar"/>
    <w:uiPriority w:val="99"/>
    <w:unhideWhenUsed/>
    <w:rsid w:val="007133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330D"/>
  </w:style>
  <w:style w:type="paragraph" w:styleId="Footer">
    <w:name w:val="footer"/>
    <w:basedOn w:val="Normal"/>
    <w:link w:val="FooterChar"/>
    <w:uiPriority w:val="99"/>
    <w:unhideWhenUsed/>
    <w:rsid w:val="007133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330D"/>
  </w:style>
  <w:style w:type="character" w:styleId="LineNumber">
    <w:name w:val="line number"/>
    <w:basedOn w:val="DefaultParagraphFont"/>
    <w:uiPriority w:val="99"/>
    <w:semiHidden/>
    <w:unhideWhenUsed/>
    <w:rsid w:val="0071330D"/>
  </w:style>
  <w:style w:type="character" w:styleId="FollowedHyperlink">
    <w:name w:val="FollowedHyperlink"/>
    <w:basedOn w:val="DefaultParagraphFont"/>
    <w:uiPriority w:val="99"/>
    <w:semiHidden/>
    <w:unhideWhenUsed/>
    <w:rsid w:val="00996E97"/>
    <w:rPr>
      <w:color w:val="954F72" w:themeColor="followedHyperlink"/>
      <w:u w:val="single"/>
    </w:rPr>
  </w:style>
  <w:style w:type="paragraph" w:styleId="BalloonText">
    <w:name w:val="Balloon Text"/>
    <w:basedOn w:val="Normal"/>
    <w:link w:val="BalloonTextChar"/>
    <w:uiPriority w:val="99"/>
    <w:semiHidden/>
    <w:unhideWhenUsed/>
    <w:rsid w:val="004131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31B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5605">
      <w:bodyDiv w:val="1"/>
      <w:marLeft w:val="0"/>
      <w:marRight w:val="0"/>
      <w:marTop w:val="0"/>
      <w:marBottom w:val="0"/>
      <w:divBdr>
        <w:top w:val="none" w:sz="0" w:space="0" w:color="auto"/>
        <w:left w:val="none" w:sz="0" w:space="0" w:color="auto"/>
        <w:bottom w:val="none" w:sz="0" w:space="0" w:color="auto"/>
        <w:right w:val="none" w:sz="0" w:space="0" w:color="auto"/>
      </w:divBdr>
    </w:div>
    <w:div w:id="124391624">
      <w:bodyDiv w:val="1"/>
      <w:marLeft w:val="0"/>
      <w:marRight w:val="0"/>
      <w:marTop w:val="0"/>
      <w:marBottom w:val="0"/>
      <w:divBdr>
        <w:top w:val="none" w:sz="0" w:space="0" w:color="auto"/>
        <w:left w:val="none" w:sz="0" w:space="0" w:color="auto"/>
        <w:bottom w:val="none" w:sz="0" w:space="0" w:color="auto"/>
        <w:right w:val="none" w:sz="0" w:space="0" w:color="auto"/>
      </w:divBdr>
    </w:div>
    <w:div w:id="404034041">
      <w:bodyDiv w:val="1"/>
      <w:marLeft w:val="0"/>
      <w:marRight w:val="0"/>
      <w:marTop w:val="0"/>
      <w:marBottom w:val="0"/>
      <w:divBdr>
        <w:top w:val="none" w:sz="0" w:space="0" w:color="auto"/>
        <w:left w:val="none" w:sz="0" w:space="0" w:color="auto"/>
        <w:bottom w:val="none" w:sz="0" w:space="0" w:color="auto"/>
        <w:right w:val="none" w:sz="0" w:space="0" w:color="auto"/>
      </w:divBdr>
    </w:div>
    <w:div w:id="476335489">
      <w:bodyDiv w:val="1"/>
      <w:marLeft w:val="0"/>
      <w:marRight w:val="0"/>
      <w:marTop w:val="0"/>
      <w:marBottom w:val="0"/>
      <w:divBdr>
        <w:top w:val="none" w:sz="0" w:space="0" w:color="auto"/>
        <w:left w:val="none" w:sz="0" w:space="0" w:color="auto"/>
        <w:bottom w:val="none" w:sz="0" w:space="0" w:color="auto"/>
        <w:right w:val="none" w:sz="0" w:space="0" w:color="auto"/>
      </w:divBdr>
    </w:div>
    <w:div w:id="538781321">
      <w:bodyDiv w:val="1"/>
      <w:marLeft w:val="0"/>
      <w:marRight w:val="0"/>
      <w:marTop w:val="0"/>
      <w:marBottom w:val="0"/>
      <w:divBdr>
        <w:top w:val="none" w:sz="0" w:space="0" w:color="auto"/>
        <w:left w:val="none" w:sz="0" w:space="0" w:color="auto"/>
        <w:bottom w:val="none" w:sz="0" w:space="0" w:color="auto"/>
        <w:right w:val="none" w:sz="0" w:space="0" w:color="auto"/>
      </w:divBdr>
    </w:div>
    <w:div w:id="688726710">
      <w:bodyDiv w:val="1"/>
      <w:marLeft w:val="0"/>
      <w:marRight w:val="0"/>
      <w:marTop w:val="0"/>
      <w:marBottom w:val="0"/>
      <w:divBdr>
        <w:top w:val="none" w:sz="0" w:space="0" w:color="auto"/>
        <w:left w:val="none" w:sz="0" w:space="0" w:color="auto"/>
        <w:bottom w:val="none" w:sz="0" w:space="0" w:color="auto"/>
        <w:right w:val="none" w:sz="0" w:space="0" w:color="auto"/>
      </w:divBdr>
    </w:div>
    <w:div w:id="894703643">
      <w:bodyDiv w:val="1"/>
      <w:marLeft w:val="0"/>
      <w:marRight w:val="0"/>
      <w:marTop w:val="0"/>
      <w:marBottom w:val="0"/>
      <w:divBdr>
        <w:top w:val="none" w:sz="0" w:space="0" w:color="auto"/>
        <w:left w:val="none" w:sz="0" w:space="0" w:color="auto"/>
        <w:bottom w:val="none" w:sz="0" w:space="0" w:color="auto"/>
        <w:right w:val="none" w:sz="0" w:space="0" w:color="auto"/>
      </w:divBdr>
    </w:div>
    <w:div w:id="1046948855">
      <w:bodyDiv w:val="1"/>
      <w:marLeft w:val="0"/>
      <w:marRight w:val="0"/>
      <w:marTop w:val="0"/>
      <w:marBottom w:val="0"/>
      <w:divBdr>
        <w:top w:val="none" w:sz="0" w:space="0" w:color="auto"/>
        <w:left w:val="none" w:sz="0" w:space="0" w:color="auto"/>
        <w:bottom w:val="none" w:sz="0" w:space="0" w:color="auto"/>
        <w:right w:val="none" w:sz="0" w:space="0" w:color="auto"/>
      </w:divBdr>
    </w:div>
    <w:div w:id="1108279494">
      <w:bodyDiv w:val="1"/>
      <w:marLeft w:val="0"/>
      <w:marRight w:val="0"/>
      <w:marTop w:val="0"/>
      <w:marBottom w:val="0"/>
      <w:divBdr>
        <w:top w:val="none" w:sz="0" w:space="0" w:color="auto"/>
        <w:left w:val="none" w:sz="0" w:space="0" w:color="auto"/>
        <w:bottom w:val="none" w:sz="0" w:space="0" w:color="auto"/>
        <w:right w:val="none" w:sz="0" w:space="0" w:color="auto"/>
      </w:divBdr>
    </w:div>
    <w:div w:id="1219708627">
      <w:bodyDiv w:val="1"/>
      <w:marLeft w:val="0"/>
      <w:marRight w:val="0"/>
      <w:marTop w:val="0"/>
      <w:marBottom w:val="0"/>
      <w:divBdr>
        <w:top w:val="none" w:sz="0" w:space="0" w:color="auto"/>
        <w:left w:val="none" w:sz="0" w:space="0" w:color="auto"/>
        <w:bottom w:val="none" w:sz="0" w:space="0" w:color="auto"/>
        <w:right w:val="none" w:sz="0" w:space="0" w:color="auto"/>
      </w:divBdr>
    </w:div>
    <w:div w:id="1236477635">
      <w:bodyDiv w:val="1"/>
      <w:marLeft w:val="0"/>
      <w:marRight w:val="0"/>
      <w:marTop w:val="0"/>
      <w:marBottom w:val="0"/>
      <w:divBdr>
        <w:top w:val="none" w:sz="0" w:space="0" w:color="auto"/>
        <w:left w:val="none" w:sz="0" w:space="0" w:color="auto"/>
        <w:bottom w:val="none" w:sz="0" w:space="0" w:color="auto"/>
        <w:right w:val="none" w:sz="0" w:space="0" w:color="auto"/>
      </w:divBdr>
    </w:div>
    <w:div w:id="1315716996">
      <w:bodyDiv w:val="1"/>
      <w:marLeft w:val="0"/>
      <w:marRight w:val="0"/>
      <w:marTop w:val="0"/>
      <w:marBottom w:val="0"/>
      <w:divBdr>
        <w:top w:val="none" w:sz="0" w:space="0" w:color="auto"/>
        <w:left w:val="none" w:sz="0" w:space="0" w:color="auto"/>
        <w:bottom w:val="none" w:sz="0" w:space="0" w:color="auto"/>
        <w:right w:val="none" w:sz="0" w:space="0" w:color="auto"/>
      </w:divBdr>
    </w:div>
    <w:div w:id="1607806670">
      <w:bodyDiv w:val="1"/>
      <w:marLeft w:val="0"/>
      <w:marRight w:val="0"/>
      <w:marTop w:val="0"/>
      <w:marBottom w:val="0"/>
      <w:divBdr>
        <w:top w:val="none" w:sz="0" w:space="0" w:color="auto"/>
        <w:left w:val="none" w:sz="0" w:space="0" w:color="auto"/>
        <w:bottom w:val="none" w:sz="0" w:space="0" w:color="auto"/>
        <w:right w:val="none" w:sz="0" w:space="0" w:color="auto"/>
      </w:divBdr>
    </w:div>
    <w:div w:id="1711570741">
      <w:bodyDiv w:val="1"/>
      <w:marLeft w:val="0"/>
      <w:marRight w:val="0"/>
      <w:marTop w:val="0"/>
      <w:marBottom w:val="0"/>
      <w:divBdr>
        <w:top w:val="none" w:sz="0" w:space="0" w:color="auto"/>
        <w:left w:val="none" w:sz="0" w:space="0" w:color="auto"/>
        <w:bottom w:val="none" w:sz="0" w:space="0" w:color="auto"/>
        <w:right w:val="none" w:sz="0" w:space="0" w:color="auto"/>
      </w:divBdr>
    </w:div>
    <w:div w:id="1751077069">
      <w:bodyDiv w:val="1"/>
      <w:marLeft w:val="0"/>
      <w:marRight w:val="0"/>
      <w:marTop w:val="0"/>
      <w:marBottom w:val="0"/>
      <w:divBdr>
        <w:top w:val="none" w:sz="0" w:space="0" w:color="auto"/>
        <w:left w:val="none" w:sz="0" w:space="0" w:color="auto"/>
        <w:bottom w:val="none" w:sz="0" w:space="0" w:color="auto"/>
        <w:right w:val="none" w:sz="0" w:space="0" w:color="auto"/>
      </w:divBdr>
    </w:div>
    <w:div w:id="1787382511">
      <w:bodyDiv w:val="1"/>
      <w:marLeft w:val="0"/>
      <w:marRight w:val="0"/>
      <w:marTop w:val="0"/>
      <w:marBottom w:val="0"/>
      <w:divBdr>
        <w:top w:val="none" w:sz="0" w:space="0" w:color="auto"/>
        <w:left w:val="none" w:sz="0" w:space="0" w:color="auto"/>
        <w:bottom w:val="none" w:sz="0" w:space="0" w:color="auto"/>
        <w:right w:val="none" w:sz="0" w:space="0" w:color="auto"/>
      </w:divBdr>
    </w:div>
    <w:div w:id="1799571820">
      <w:bodyDiv w:val="1"/>
      <w:marLeft w:val="0"/>
      <w:marRight w:val="0"/>
      <w:marTop w:val="0"/>
      <w:marBottom w:val="0"/>
      <w:divBdr>
        <w:top w:val="none" w:sz="0" w:space="0" w:color="auto"/>
        <w:left w:val="none" w:sz="0" w:space="0" w:color="auto"/>
        <w:bottom w:val="none" w:sz="0" w:space="0" w:color="auto"/>
        <w:right w:val="none" w:sz="0" w:space="0" w:color="auto"/>
      </w:divBdr>
    </w:div>
    <w:div w:id="1826778445">
      <w:bodyDiv w:val="1"/>
      <w:marLeft w:val="0"/>
      <w:marRight w:val="0"/>
      <w:marTop w:val="0"/>
      <w:marBottom w:val="0"/>
      <w:divBdr>
        <w:top w:val="none" w:sz="0" w:space="0" w:color="auto"/>
        <w:left w:val="none" w:sz="0" w:space="0" w:color="auto"/>
        <w:bottom w:val="none" w:sz="0" w:space="0" w:color="auto"/>
        <w:right w:val="none" w:sz="0" w:space="0" w:color="auto"/>
      </w:divBdr>
    </w:div>
    <w:div w:id="1876841944">
      <w:bodyDiv w:val="1"/>
      <w:marLeft w:val="0"/>
      <w:marRight w:val="0"/>
      <w:marTop w:val="0"/>
      <w:marBottom w:val="0"/>
      <w:divBdr>
        <w:top w:val="none" w:sz="0" w:space="0" w:color="auto"/>
        <w:left w:val="none" w:sz="0" w:space="0" w:color="auto"/>
        <w:bottom w:val="none" w:sz="0" w:space="0" w:color="auto"/>
        <w:right w:val="none" w:sz="0" w:space="0" w:color="auto"/>
      </w:divBdr>
    </w:div>
    <w:div w:id="1885675296">
      <w:bodyDiv w:val="1"/>
      <w:marLeft w:val="0"/>
      <w:marRight w:val="0"/>
      <w:marTop w:val="0"/>
      <w:marBottom w:val="0"/>
      <w:divBdr>
        <w:top w:val="none" w:sz="0" w:space="0" w:color="auto"/>
        <w:left w:val="none" w:sz="0" w:space="0" w:color="auto"/>
        <w:bottom w:val="none" w:sz="0" w:space="0" w:color="auto"/>
        <w:right w:val="none" w:sz="0" w:space="0" w:color="auto"/>
      </w:divBdr>
    </w:div>
    <w:div w:id="20365357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i.org/10.1099/vir.0.028936-0" TargetMode="External"/><Relationship Id="rId21" Type="http://schemas.openxmlformats.org/officeDocument/2006/relationships/hyperlink" Target="https://doi.org/10.1016/j.antiviral.2014.12.015" TargetMode="External"/><Relationship Id="rId42" Type="http://schemas.openxmlformats.org/officeDocument/2006/relationships/hyperlink" Target="https://doi.org/10.1016/j.virol.2018.08.010" TargetMode="External"/><Relationship Id="rId47" Type="http://schemas.openxmlformats.org/officeDocument/2006/relationships/hyperlink" Target="https://doi.org/10.1101/gr.849004" TargetMode="External"/><Relationship Id="rId63" Type="http://schemas.openxmlformats.org/officeDocument/2006/relationships/hyperlink" Target="https://doi.org/10.1371/journal.pone.0030802" TargetMode="External"/><Relationship Id="rId68" Type="http://schemas.openxmlformats.org/officeDocument/2006/relationships/hyperlink" Target="https://doi.org/10.1016/s1097-2765(00)80133-1" TargetMode="External"/><Relationship Id="rId84" Type="http://schemas.openxmlformats.org/officeDocument/2006/relationships/hyperlink" Target="https://doi.org/10.1101/2020.10.23.342113" TargetMode="External"/><Relationship Id="rId89" Type="http://schemas.openxmlformats.org/officeDocument/2006/relationships/hyperlink" Target="https://doi.org/10.1371/journal.pone.0165077" TargetMode="External"/><Relationship Id="rId7" Type="http://schemas.openxmlformats.org/officeDocument/2006/relationships/hyperlink" Target="mailto:lskywalker2015@gmail.com" TargetMode="External"/><Relationship Id="rId71" Type="http://schemas.openxmlformats.org/officeDocument/2006/relationships/hyperlink" Target="https://doi.org/10.7554/eLife.58396" TargetMode="External"/><Relationship Id="rId92" Type="http://schemas.openxmlformats.org/officeDocument/2006/relationships/hyperlink" Target="https://doi.org/10.1038/nature09489" TargetMode="External"/><Relationship Id="rId2" Type="http://schemas.openxmlformats.org/officeDocument/2006/relationships/styles" Target="styles.xml"/><Relationship Id="rId16" Type="http://schemas.openxmlformats.org/officeDocument/2006/relationships/hyperlink" Target="https://doi.org/10.1101/2020.08.24.265645" TargetMode="External"/><Relationship Id="rId29" Type="http://schemas.openxmlformats.org/officeDocument/2006/relationships/hyperlink" Target="https://doi.org/10.1074/jbc.M704870200" TargetMode="External"/><Relationship Id="rId11" Type="http://schemas.openxmlformats.org/officeDocument/2006/relationships/image" Target="media/image3.tiff"/><Relationship Id="rId24" Type="http://schemas.openxmlformats.org/officeDocument/2006/relationships/hyperlink" Target="https://doi.org/10.1099/vir.0.059014-0" TargetMode="External"/><Relationship Id="rId32" Type="http://schemas.openxmlformats.org/officeDocument/2006/relationships/hyperlink" Target="https://doi.org/10.1021/acsinfecdis.0c00866" TargetMode="External"/><Relationship Id="rId37" Type="http://schemas.openxmlformats.org/officeDocument/2006/relationships/hyperlink" Target="https://doi.org/10.1093/nar/gky1049" TargetMode="External"/><Relationship Id="rId40" Type="http://schemas.openxmlformats.org/officeDocument/2006/relationships/hyperlink" Target="https://doi.org/10.1093/nar/gkq313" TargetMode="External"/><Relationship Id="rId45" Type="http://schemas.openxmlformats.org/officeDocument/2006/relationships/hyperlink" Target="https://doi.org/10.1093/nar/gkn923" TargetMode="External"/><Relationship Id="rId53" Type="http://schemas.openxmlformats.org/officeDocument/2006/relationships/hyperlink" Target="https://doi.org/10.1371/journal.ppat.1004113" TargetMode="External"/><Relationship Id="rId58" Type="http://schemas.openxmlformats.org/officeDocument/2006/relationships/hyperlink" Target="https://doi.org/10.1038/sj.emboj.7600552" TargetMode="External"/><Relationship Id="rId66" Type="http://schemas.openxmlformats.org/officeDocument/2006/relationships/hyperlink" Target="https://doi.org/10.1093/emboj/18.22.6455" TargetMode="External"/><Relationship Id="rId74" Type="http://schemas.openxmlformats.org/officeDocument/2006/relationships/hyperlink" Target="https://doi.org/10.1038/s41556-020-0559-z" TargetMode="External"/><Relationship Id="rId79" Type="http://schemas.openxmlformats.org/officeDocument/2006/relationships/hyperlink" Target="https://doi.org/10.1038/s41580-018-0081-3" TargetMode="External"/><Relationship Id="rId87" Type="http://schemas.openxmlformats.org/officeDocument/2006/relationships/hyperlink" Target="https://doi.org/10.1016/j.molcel.2016.09.025" TargetMode="External"/><Relationship Id="rId102" Type="http://schemas.openxmlformats.org/officeDocument/2006/relationships/footer" Target="footer1.xml"/><Relationship Id="rId110" Type="http://schemas.microsoft.com/office/2018/08/relationships/commentsExtensible" Target="commentsExtensible.xml"/><Relationship Id="rId5" Type="http://schemas.openxmlformats.org/officeDocument/2006/relationships/footnotes" Target="footnotes.xml"/><Relationship Id="rId61" Type="http://schemas.openxmlformats.org/officeDocument/2006/relationships/hyperlink" Target="https://doi.org/10.1016/S0168-1702(03)00160-6" TargetMode="External"/><Relationship Id="rId82" Type="http://schemas.openxmlformats.org/officeDocument/2006/relationships/hyperlink" Target="https://doi.org/10.1038/s41418-020-00633-7" TargetMode="External"/><Relationship Id="rId90" Type="http://schemas.openxmlformats.org/officeDocument/2006/relationships/hyperlink" Target="https://doi.org/10.1038/s41594-020-0427-3" TargetMode="External"/><Relationship Id="rId95" Type="http://schemas.openxmlformats.org/officeDocument/2006/relationships/hyperlink" Target="https://doi.org/10.1101/gad.340604.120" TargetMode="External"/><Relationship Id="rId19" Type="http://schemas.openxmlformats.org/officeDocument/2006/relationships/hyperlink" Target="https://doi.org/10.1073/pnas.0510851103" TargetMode="External"/><Relationship Id="rId14" Type="http://schemas.openxmlformats.org/officeDocument/2006/relationships/image" Target="media/image6.tiff"/><Relationship Id="rId22" Type="http://schemas.openxmlformats.org/officeDocument/2006/relationships/hyperlink" Target="https://doi.org/10.1128/JVI.02220-08" TargetMode="External"/><Relationship Id="rId27" Type="http://schemas.openxmlformats.org/officeDocument/2006/relationships/hyperlink" Target="https://doi.org/10.1099/vir.0.051169-0" TargetMode="External"/><Relationship Id="rId30" Type="http://schemas.openxmlformats.org/officeDocument/2006/relationships/hyperlink" Target="https://doi.org/10.1016/j.virusres.2017.04.008" TargetMode="External"/><Relationship Id="rId35" Type="http://schemas.openxmlformats.org/officeDocument/2006/relationships/hyperlink" Target="https://doi.org/10.1038/s41467-021-25796-w" TargetMode="External"/><Relationship Id="rId43" Type="http://schemas.openxmlformats.org/officeDocument/2006/relationships/hyperlink" Target="http://jmlr.csail.mit.edu/papers/v12/pedregosa11a.html" TargetMode="External"/><Relationship Id="rId48" Type="http://schemas.openxmlformats.org/officeDocument/2006/relationships/hyperlink" Target="http://www.jmlr.org/papers/v9/vandermaaten08a.html" TargetMode="External"/><Relationship Id="rId56" Type="http://schemas.openxmlformats.org/officeDocument/2006/relationships/hyperlink" Target="https://doi.org/10.1073/pnas.1710617115" TargetMode="External"/><Relationship Id="rId64" Type="http://schemas.openxmlformats.org/officeDocument/2006/relationships/hyperlink" Target="https://doi.org/10.1016/j.cytogfr.2014.08.004" TargetMode="External"/><Relationship Id="rId69" Type="http://schemas.openxmlformats.org/officeDocument/2006/relationships/hyperlink" Target="https://doi.org/10.1128/JVI.02576-13" TargetMode="External"/><Relationship Id="rId77" Type="http://schemas.openxmlformats.org/officeDocument/2006/relationships/hyperlink" Target="https://doi.org/10.1074/jbc.C800030200" TargetMode="External"/><Relationship Id="rId100" Type="http://schemas.openxmlformats.org/officeDocument/2006/relationships/hyperlink" Target="https://doi.org/10.1186/s12985-020-01457-0" TargetMode="External"/><Relationship Id="rId8" Type="http://schemas.openxmlformats.org/officeDocument/2006/relationships/hyperlink" Target="https://github.com/Luke8472NN/NetProtease" TargetMode="External"/><Relationship Id="rId51" Type="http://schemas.openxmlformats.org/officeDocument/2006/relationships/hyperlink" Target="https://doi.org/10.1096/fj.202002271" TargetMode="External"/><Relationship Id="rId72" Type="http://schemas.openxmlformats.org/officeDocument/2006/relationships/hyperlink" Target="https://doi.org/10.1016/j.tim.2020.05.009" TargetMode="External"/><Relationship Id="rId80" Type="http://schemas.openxmlformats.org/officeDocument/2006/relationships/hyperlink" Target="https://doi.org/10.15252/embr.201439152" TargetMode="External"/><Relationship Id="rId85" Type="http://schemas.openxmlformats.org/officeDocument/2006/relationships/hyperlink" Target="https://doi.org/10.1016/j.jbc.2021.100821" TargetMode="External"/><Relationship Id="rId93" Type="http://schemas.openxmlformats.org/officeDocument/2006/relationships/hyperlink" Target="https://doi.org/10.1038/s41467-020-17496-8" TargetMode="External"/><Relationship Id="rId98" Type="http://schemas.openxmlformats.org/officeDocument/2006/relationships/hyperlink" Target="https://doi.org/10.21203/rs.3.rs-514541/v1"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doi.org/10.1016/j.antiviral.2017.11.001" TargetMode="External"/><Relationship Id="rId25" Type="http://schemas.openxmlformats.org/officeDocument/2006/relationships/hyperlink" Target="https://doi.org/10.1074/jbc.M114.609644" TargetMode="External"/><Relationship Id="rId33" Type="http://schemas.openxmlformats.org/officeDocument/2006/relationships/hyperlink" Target="https://doi.org/10.1080/22221751.2020.1870414" TargetMode="External"/><Relationship Id="rId38" Type="http://schemas.openxmlformats.org/officeDocument/2006/relationships/hyperlink" Target="https://doi/org/10.1093/nar/gkw1070" TargetMode="External"/><Relationship Id="rId46" Type="http://schemas.openxmlformats.org/officeDocument/2006/relationships/hyperlink" Target="https://doi.org/10.1093/database/baab010" TargetMode="External"/><Relationship Id="rId59" Type="http://schemas.openxmlformats.org/officeDocument/2006/relationships/hyperlink" Target="https://doi.org/10.1016/j.febslet.2005.03.039" TargetMode="External"/><Relationship Id="rId67" Type="http://schemas.openxmlformats.org/officeDocument/2006/relationships/hyperlink" Target="https://doi.org/10.1073/pnas.1603435113" TargetMode="External"/><Relationship Id="rId103" Type="http://schemas.openxmlformats.org/officeDocument/2006/relationships/fontTable" Target="fontTable.xml"/><Relationship Id="rId20" Type="http://schemas.openxmlformats.org/officeDocument/2006/relationships/hyperlink" Target="https://doi.org/10.3390/biom10081137" TargetMode="External"/><Relationship Id="rId41" Type="http://schemas.openxmlformats.org/officeDocument/2006/relationships/hyperlink" Target="https://doi.org/10.1093/nar/gkt376" TargetMode="External"/><Relationship Id="rId54" Type="http://schemas.openxmlformats.org/officeDocument/2006/relationships/hyperlink" Target="https://doi.org/10.1107/S205979832100509X" TargetMode="External"/><Relationship Id="rId62" Type="http://schemas.openxmlformats.org/officeDocument/2006/relationships/hyperlink" Target="https://doi.org/10.1016/j.immuni.2016.08.014" TargetMode="External"/><Relationship Id="rId70" Type="http://schemas.openxmlformats.org/officeDocument/2006/relationships/hyperlink" Target="https://doi.org/10.3390/biom10101442" TargetMode="External"/><Relationship Id="rId75" Type="http://schemas.openxmlformats.org/officeDocument/2006/relationships/hyperlink" Target="https://doi.org/10.1073/pnas.2011763118" TargetMode="External"/><Relationship Id="rId83" Type="http://schemas.openxmlformats.org/officeDocument/2006/relationships/hyperlink" Target="https://doi.org/10.1016/j.molcel.2013.05.021" TargetMode="External"/><Relationship Id="rId88" Type="http://schemas.openxmlformats.org/officeDocument/2006/relationships/hyperlink" Target="https://doi.org/10.1371/journal.pone.0070548" TargetMode="External"/><Relationship Id="rId91" Type="http://schemas.openxmlformats.org/officeDocument/2006/relationships/hyperlink" Target="https://doi.org/10.3109/10409238.2012.667214" TargetMode="External"/><Relationship Id="rId96" Type="http://schemas.openxmlformats.org/officeDocument/2006/relationships/hyperlink" Target="https://doi.org/10.1371/journal.ppat.1009145" TargetMode="External"/><Relationship Id="rId111" Type="http://schemas.microsoft.com/office/2016/09/relationships/commentsIds" Target="commentsIds.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tiff"/><Relationship Id="rId23" Type="http://schemas.openxmlformats.org/officeDocument/2006/relationships/hyperlink" Target="https://doi.org/10.1128/JVI.79.24.15189-15198.2005" TargetMode="External"/><Relationship Id="rId28" Type="http://schemas.openxmlformats.org/officeDocument/2006/relationships/hyperlink" Target="https://doi.org/10.1186/s12985-014-0209-9" TargetMode="External"/><Relationship Id="rId36" Type="http://schemas.openxmlformats.org/officeDocument/2006/relationships/hyperlink" Target="https://doi.org/10.1016/s0014-5793(03)01091-3" TargetMode="External"/><Relationship Id="rId49" Type="http://schemas.openxmlformats.org/officeDocument/2006/relationships/hyperlink" Target="https://doi.org/10.1002/pro.3857" TargetMode="External"/><Relationship Id="rId57" Type="http://schemas.openxmlformats.org/officeDocument/2006/relationships/hyperlink" Target="https://doi.org/10.1038/nrm2673" TargetMode="External"/><Relationship Id="rId10" Type="http://schemas.openxmlformats.org/officeDocument/2006/relationships/image" Target="media/image2.png"/><Relationship Id="rId31" Type="http://schemas.openxmlformats.org/officeDocument/2006/relationships/hyperlink" Target="https://doi.org/10.1038/s41564-021-00884-1" TargetMode="External"/><Relationship Id="rId44" Type="http://schemas.openxmlformats.org/officeDocument/2006/relationships/hyperlink" Target="https://doi.org/10.1038/nprot.2008.211" TargetMode="External"/><Relationship Id="rId52" Type="http://schemas.openxmlformats.org/officeDocument/2006/relationships/hyperlink" Target="https://doi.org/10.1016/j.molcel.2016.04.016" TargetMode="External"/><Relationship Id="rId60" Type="http://schemas.openxmlformats.org/officeDocument/2006/relationships/hyperlink" Target="https://doi.org/10.1002/jmv.20707" TargetMode="External"/><Relationship Id="rId65" Type="http://schemas.openxmlformats.org/officeDocument/2006/relationships/hyperlink" Target="https://doi.org/10.3389/fphys.2014.00004" TargetMode="External"/><Relationship Id="rId73" Type="http://schemas.openxmlformats.org/officeDocument/2006/relationships/hyperlink" Target="https://doi.org/10.1074/mcp.RA117.000364" TargetMode="External"/><Relationship Id="rId78" Type="http://schemas.openxmlformats.org/officeDocument/2006/relationships/hyperlink" Target="https://doi.org/10.1038/s41419-021-03513-1" TargetMode="External"/><Relationship Id="rId81" Type="http://schemas.openxmlformats.org/officeDocument/2006/relationships/hyperlink" Target="https://doi.org/10.1016/j.molcel.2016.12.002" TargetMode="External"/><Relationship Id="rId86" Type="http://schemas.openxmlformats.org/officeDocument/2006/relationships/hyperlink" Target="https://doi.org/10.1016/s1097-2765(00)80099-4" TargetMode="External"/><Relationship Id="rId94" Type="http://schemas.openxmlformats.org/officeDocument/2006/relationships/hyperlink" Target="https://doi.org/10.1073/pnas.1802326115" TargetMode="External"/><Relationship Id="rId99" Type="http://schemas.openxmlformats.org/officeDocument/2006/relationships/hyperlink" Target="https://doi.org/10.1186/s12977-017-0347-4" TargetMode="External"/><Relationship Id="rId101" Type="http://schemas.openxmlformats.org/officeDocument/2006/relationships/hyperlink" Target="https://doi.org/10.1056/NEJMoa2001282"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tiff"/><Relationship Id="rId18" Type="http://schemas.openxmlformats.org/officeDocument/2006/relationships/hyperlink" Target="https://doi.org/10.1371/journal.ppat.1007296" TargetMode="External"/><Relationship Id="rId39" Type="http://schemas.openxmlformats.org/officeDocument/2006/relationships/hyperlink" Target="https://doi.org/10.1038/msb.2011.75" TargetMode="External"/><Relationship Id="rId34" Type="http://schemas.openxmlformats.org/officeDocument/2006/relationships/hyperlink" Target="https://doi.org/10.1016/j.bbrc.2020.12.091" TargetMode="External"/><Relationship Id="rId50" Type="http://schemas.openxmlformats.org/officeDocument/2006/relationships/hyperlink" Target="https://doi.org/10.1038/s41586-020-2601-5" TargetMode="External"/><Relationship Id="rId55" Type="http://schemas.openxmlformats.org/officeDocument/2006/relationships/hyperlink" Target="https://doi.org/10.1016/j.antiviral.2019.104661" TargetMode="External"/><Relationship Id="rId76" Type="http://schemas.openxmlformats.org/officeDocument/2006/relationships/hyperlink" Target="https://doi.org/10.1038/s41586-020-03148-w" TargetMode="External"/><Relationship Id="rId97" Type="http://schemas.openxmlformats.org/officeDocument/2006/relationships/hyperlink" Target="https://doi.org/10.1101/2020.10.28.359356" TargetMode="External"/><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1051</TotalTime>
  <Pages>14</Pages>
  <Words>7385</Words>
  <Characters>42100</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Prescott</dc:creator>
  <cp:keywords/>
  <dc:description/>
  <cp:lastModifiedBy>Victoria Prescott</cp:lastModifiedBy>
  <cp:revision>77</cp:revision>
  <dcterms:created xsi:type="dcterms:W3CDTF">2021-10-03T00:01:00Z</dcterms:created>
  <dcterms:modified xsi:type="dcterms:W3CDTF">2021-10-04T23:10:00Z</dcterms:modified>
</cp:coreProperties>
</file>