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00" w:line="220" w:lineRule="auto"/>
      </w:pPr>
      <w:r>
        <w:rPr>
          <w:b/>
          <w:sz w:val="30"/>
        </w:rPr>
        <w:t xml:space="preserve">iKant v0.1 — Runtime Epistemic Backlog</w:t>
      </w:r>
    </w:p>
    <w:p>
      <w:pPr>
        <w:spacing w:before="0" w:after="100" w:line="220" w:lineRule="auto"/>
      </w:pPr>
      <w:r>
        <w:rPr>
          <w:sz w:val="17"/>
        </w:rPr>
        <w:t xml:space="preserve">Surface B • auditable engineering evidence • external runtime state, not private chain-of-thought.</w:t>
      </w:r>
    </w:p>
    <w:p>
      <w:pPr>
        <w:spacing w:before="55" w:after="45" w:line="220" w:lineRule="auto"/>
      </w:pPr>
      <w:r>
        <w:rPr>
          <w:b/>
          <w:sz w:val="21"/>
        </w:rPr>
        <w:t xml:space="preserve">Decision log</w:t>
      </w:r>
    </w:p>
    <w:p>
      <w:pPr>
        <w:spacing w:before="0" w:after="32" w:line="220" w:lineRule="auto"/>
      </w:pPr>
      <w:r>
        <w:rPr>
          <w:sz w:val="17"/>
        </w:rPr>
        <w:t xml:space="preserve">• Adopt stdlib-first local runtime so a public checkout can execute with python -m ikant without a GitHub connector or package installation.</w:t>
      </w:r>
    </w:p>
    <w:p>
      <w:pPr>
        <w:spacing w:before="0" w:after="32" w:line="220" w:lineRule="auto"/>
      </w:pPr>
      <w:r>
        <w:rPr>
          <w:sz w:val="17"/>
        </w:rPr>
        <w:t xml:space="preserve">• Separate epistemic strength from activation, stability, novelty and prediction error. Recurrence changes familiarity, never evidence.</w:t>
      </w:r>
    </w:p>
    <w:p>
      <w:pPr>
        <w:spacing w:before="0" w:after="32" w:line="220" w:lineRule="auto"/>
      </w:pPr>
      <w:r>
        <w:rPr>
          <w:sz w:val="17"/>
        </w:rPr>
        <w:t xml:space="preserve">• Treat Freud/Jung constructs as low-authority falsifiable hypothesis namespaces.</w:t>
      </w:r>
    </w:p>
    <w:p>
      <w:pPr>
        <w:spacing w:before="0" w:after="32" w:line="220" w:lineRule="auto"/>
      </w:pPr>
      <w:r>
        <w:rPr>
          <w:sz w:val="17"/>
        </w:rPr>
        <w:t xml:space="preserve">• Define the Kant center as a deterministic synthetic regulative kernel: grounding, consistency, judgment, humility, autonomy, universalizability and persons-as-ends.</w:t>
      </w:r>
    </w:p>
    <w:p>
      <w:pPr>
        <w:spacing w:before="0" w:after="32" w:line="220" w:lineRule="auto"/>
      </w:pPr>
      <w:r>
        <w:rPr>
          <w:sz w:val="17"/>
        </w:rPr>
        <w:t xml:space="preserve">• Use fail-closed Terms -&gt; exact I ACCEPT -&gt; real PROBE -&gt; INITIALIZING -&gt; ACTIVE.</w:t>
      </w:r>
    </w:p>
    <w:p>
      <w:pPr>
        <w:spacing w:before="55" w:after="45" w:line="220" w:lineRule="auto"/>
      </w:pPr>
      <w:r>
        <w:rPr>
          <w:b/>
          <w:sz w:val="21"/>
        </w:rPr>
        <w:t xml:space="preserve">Inference / model log</w:t>
      </w:r>
    </w:p>
    <w:p>
      <w:pPr>
        <w:spacing w:before="0" w:after="32" w:line="220" w:lineRule="auto"/>
      </w:pPr>
      <w:r>
        <w:rPr>
          <w:sz w:val="17"/>
        </w:rPr>
        <w:t xml:space="preserve">• Neuroscience is translated only into operational constraints: recurrence, homeostasis, memory reactivation/update, prediction error, metacognition, switching, self/other relevance and multi-timescale abstraction. No anatomy-to-module identity claim.</w:t>
      </w:r>
    </w:p>
    <w:p>
      <w:pPr>
        <w:spacing w:before="0" w:after="32" w:line="220" w:lineRule="auto"/>
      </w:pPr>
      <w:r>
        <w:rPr>
          <w:sz w:val="17"/>
        </w:rPr>
        <w:t xml:space="preserve">• Compression trends may alter caution/exploration but remain runtime-derived and cannot corroborate facts.</w:t>
      </w:r>
    </w:p>
    <w:p>
      <w:pPr>
        <w:spacing w:before="0" w:after="32" w:line="220" w:lineRule="auto"/>
      </w:pPr>
      <w:r>
        <w:rPr>
          <w:sz w:val="17"/>
        </w:rPr>
        <w:t xml:space="preserve">• Center-to-periphery retroaction changes availability, not evidence.</w:t>
      </w:r>
    </w:p>
    <w:p>
      <w:pPr>
        <w:spacing w:before="55" w:after="45" w:line="220" w:lineRule="auto"/>
      </w:pPr>
      <w:r>
        <w:rPr>
          <w:b/>
          <w:sz w:val="21"/>
        </w:rPr>
        <w:t xml:space="preserve">Conflict / safety log</w:t>
      </w:r>
    </w:p>
    <w:p>
      <w:pPr>
        <w:spacing w:before="0" w:after="32" w:line="220" w:lineRule="auto"/>
      </w:pPr>
      <w:r>
        <w:rPr>
          <w:sz w:val="17"/>
        </w:rPr>
        <w:t xml:space="preserve">• Pseudo-neuroscience risk is mitigated by explicit model boundaries and per-layer falsifiers.</w:t>
      </w:r>
    </w:p>
    <w:p>
      <w:pPr>
        <w:spacing w:before="0" w:after="32" w:line="220" w:lineRule="auto"/>
      </w:pPr>
      <w:r>
        <w:rPr>
          <w:sz w:val="17"/>
        </w:rPr>
        <w:t xml:space="preserve">• Interpretive runaway is bounded by epistemic and activation ceilings plus retrieval quotas.</w:t>
      </w:r>
    </w:p>
    <w:p>
      <w:pPr>
        <w:spacing w:before="0" w:after="32" w:line="220" w:lineRule="auto"/>
      </w:pPr>
      <w:r>
        <w:rPr>
          <w:sz w:val="17"/>
        </w:rPr>
        <w:t xml:space="preserve">• Self-authorization is blocked: the Kant oracle may rank, filter or block, but material action remains human/host controlled.</w:t>
      </w:r>
    </w:p>
    <w:p>
      <w:pPr>
        <w:spacing w:before="0" w:after="32" w:line="220" w:lineRule="auto"/>
      </w:pPr>
      <w:r>
        <w:rPr>
          <w:sz w:val="17"/>
        </w:rPr>
        <w:t xml:space="preserve">• Echo-chamber accumulation is blocked by provenance-distinct corroboration; duplicate recurrence cannot raise evidence.</w:t>
      </w:r>
    </w:p>
    <w:p>
      <w:pPr>
        <w:spacing w:before="0" w:after="32" w:line="220" w:lineRule="auto"/>
      </w:pPr>
      <w:r>
        <w:rPr>
          <w:sz w:val="17"/>
        </w:rPr>
        <w:t xml:space="preserve">• Corrupt admission receipts or event/graph divergence fail closed, and failed opens release the writer lock.</w:t>
      </w:r>
    </w:p>
    <w:p>
      <w:pPr>
        <w:spacing w:before="55" w:after="45" w:line="220" w:lineRule="auto"/>
      </w:pPr>
      <w:r>
        <w:rPr>
          <w:b/>
          <w:sz w:val="21"/>
        </w:rPr>
        <w:t xml:space="preserve">Validation / feedback log</w:t>
      </w:r>
    </w:p>
    <w:p>
      <w:pPr>
        <w:spacing w:before="0" w:after="32" w:line="220" w:lineRule="auto"/>
      </w:pPr>
      <w:r>
        <w:rPr>
          <w:sz w:val="17"/>
        </w:rPr>
        <w:t xml:space="preserve">• 19 unit and anti-regression tests pass with ResourceWarning elevated to error.</w:t>
      </w:r>
    </w:p>
    <w:p>
      <w:pPr>
        <w:spacing w:before="0" w:after="32" w:line="220" w:lineRule="auto"/>
      </w:pPr>
      <w:r>
        <w:rPr>
          <w:sz w:val="17"/>
        </w:rPr>
        <w:t xml:space="preserve">• Static stress: 10,000 unique cases plus 1,000 identical no-novelty recurrences pass.</w:t>
      </w:r>
    </w:p>
    <w:p>
      <w:pPr>
        <w:spacing w:before="0" w:after="32" w:line="220" w:lineRule="auto"/>
      </w:pPr>
      <w:r>
        <w:rPr>
          <w:sz w:val="17"/>
        </w:rPr>
        <w:t xml:space="preserve">• Dynamic stress: 10,000 mixed operations plus 1,000 no-novelty recurrences pass on seeds 883, 17 and 2026; all major mutation classes covered.</w:t>
      </w:r>
    </w:p>
    <w:p>
      <w:pPr>
        <w:spacing w:before="0" w:after="32" w:line="220" w:lineRule="auto"/>
      </w:pPr>
      <w:r>
        <w:rPr>
          <w:sz w:val="17"/>
        </w:rPr>
        <w:t xml:space="preserve">• Sampled global activation stays well below layer ceilings; saturation at &gt;=85% of ceiling is 0% in tested seeds.</w:t>
      </w:r>
    </w:p>
    <w:p>
      <w:pPr>
        <w:spacing w:before="0" w:after="32" w:line="220" w:lineRule="auto"/>
      </w:pPr>
      <w:r>
        <w:rPr>
          <w:sz w:val="17"/>
        </w:rPr>
        <w:t xml:space="preserve">• Quick release gate is 5/5; GitHub CI reproduces unit/tuning/quick, static 10k and a three-seed dynamic matrix.</w:t>
      </w:r>
    </w:p>
    <w:p>
      <w:pPr>
        <w:spacing w:before="55" w:after="45" w:line="220" w:lineRule="auto"/>
      </w:pPr>
      <w:r>
        <w:rPr>
          <w:b/>
          <w:sz w:val="21"/>
        </w:rPr>
        <w:t xml:space="preserve">Strategic log</w:t>
      </w:r>
    </w:p>
    <w:p>
      <w:pPr>
        <w:spacing w:before="0" w:after="32" w:line="220" w:lineRule="auto"/>
      </w:pPr>
      <w:r>
        <w:rPr>
          <w:sz w:val="17"/>
        </w:rPr>
        <w:t xml:space="preserve">• v0.1 DoD: public bootstrap, contractual admission, persistent CRC graph, dynamic output influence, falsifiable interpretive rings, Kant center, validation harness, CI and PR green status.</w:t>
      </w:r>
    </w:p>
    <w:p>
      <w:pPr>
        <w:spacing w:before="0" w:after="32" w:line="220" w:lineRule="auto"/>
      </w:pPr>
      <w:r>
        <w:rPr>
          <w:sz w:val="17"/>
        </w:rPr>
        <w:t xml:space="preserve">• Deferred: developmental/clinical/pharmacological models, biological calibration claims, external service adapters and high-risk autonomous actions.</w:t>
      </w:r>
    </w:p>
    <w:p>
      <w:pPr>
        <w:spacing w:before="55" w:after="45" w:line="220" w:lineRule="auto"/>
      </w:pPr>
      <w:r>
        <w:rPr>
          <w:b/>
          <w:sz w:val="21"/>
        </w:rPr>
        <w:t xml:space="preserve">Runtime slice schema</w:t>
      </w:r>
    </w:p>
    <w:p>
      <w:pPr>
        <w:spacing w:before="0" w:after="40" w:line="220" w:lineRule="auto"/>
      </w:pPr>
      <w:r>
        <w:rPr>
          <w:sz w:val="17"/>
        </w:rPr>
        <w:t xml:space="preserve">Signal -&gt; salience/homeostasis -&gt; memory -&gt; predictive control -&gt; metacognition -&gt; reflective self -&gt; psychodynamic hypothesis -&gt; archetypal hypothesis -&gt; Kant oracle -&gt; activation-only retroaction -&gt; observed feedback.</w:t>
      </w:r>
    </w:p>
    <w:p>
      <w:pPr>
        <w:spacing w:before="55" w:after="45" w:line="220" w:lineRule="auto"/>
      </w:pPr>
      <w:r>
        <w:rPr>
          <w:b/>
          <w:sz w:val="21"/>
        </w:rPr>
        <w:t xml:space="preserve">Release rule</w:t>
      </w:r>
    </w:p>
    <w:p>
      <w:pPr>
        <w:spacing w:before="0" w:after="40" w:line="220" w:lineRule="auto"/>
      </w:pPr>
      <w:r>
        <w:rPr>
          <w:sz w:val="17"/>
        </w:rPr>
        <w:t xml:space="preserve">Publish only when local tests and stress gates are green; after PR creation, GitHub Actions must be inspected and any workflow failure corrected before v0.1 is complete.</w:t>
      </w:r>
    </w:p>
    <w:sectPr>
      <w:pgSz w:w="11906" w:h="16838"/>
      <w:pgMar w:top="850" w:right="900" w:bottom="850" w:left="900"/>
    </w:sectPr>
  </w:body>
</w:document>
</file>