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iKant CRC Runtime Snapshot</w:t>
      </w:r>
    </w:p>
    <w:p>
      <w:r>
        <w:t xml:space="preserve">Cycle CYC-79faf38671b032a4 | Session SES-5a4f0e71c2938558</w:t>
      </w:r>
    </w:p>
    <w:p>
      <w:pPr>
        <w:pStyle w:val="Heading1"/>
      </w:pPr>
      <w:r>
        <w:t xml:space="preserve">Purpose</w:t>
      </w:r>
    </w:p>
    <w:p>
      <w:r>
        <w:t xml:space="preserve">This document is the auditable Surface B photograph of one cognitive iteration. It records externalized CRC state and telemetry; it is not a private chain-of-thought transcript and it is not evidence of biological consciousness.</w:t>
      </w:r>
    </w:p>
    <w:p>
      <w:pPr>
        <w:pStyle w:val="Heading1"/>
      </w:pPr>
      <w:r>
        <w:t xml:space="preserve">Concentric reticulum</w:t>
      </w:r>
    </w:p>
    <w:tbl>
      <w:tblPr>
        <w:tblStyle w:val="TableGrid"/>
        <w:tblW w:w="0" w:type="auto"/>
      </w:tblPr>
      <w:tblGrid>
        <w:gridCol w:w="1500"/>
        <w:gridCol w:w="2100"/>
        <w:gridCol w:w="1800"/>
        <w:gridCol w:w="4200"/>
      </w:tblGrid>
      <w:tr>
        <w:tc>
          <w:tcPr>
            <w:tcW w:w="1500" w:type="dxa"/>
          </w:tcPr>
          <w:p>
            <w:pPr>
              <w:pStyle w:val="TableHead"/>
            </w:pPr>
            <w:r>
              <w:t xml:space="preserve">Ring</w:t>
            </w:r>
          </w:p>
        </w:tc>
        <w:tc>
          <w:tcPr>
            <w:tcW w:w="2100" w:type="dxa"/>
          </w:tcPr>
          <w:p>
            <w:pPr>
              <w:pStyle w:val="TableHead"/>
            </w:pPr>
            <w:r>
              <w:t xml:space="preserve">Functional analogue</w:t>
            </w:r>
          </w:p>
        </w:tc>
        <w:tc>
          <w:tcPr>
            <w:tcW w:w="1800" w:type="dxa"/>
          </w:tcPr>
          <w:p>
            <w:pPr>
              <w:pStyle w:val="TableHead"/>
            </w:pPr>
            <w:r>
              <w:t xml:space="preserve">Scientific status</w:t>
            </w:r>
          </w:p>
        </w:tc>
        <w:tc>
          <w:tcPr>
            <w:tcW w:w="4200" w:type="dxa"/>
          </w:tcPr>
          <w:p>
            <w:pPr>
              <w:pStyle w:val="TableHead"/>
            </w:pPr>
            <w:r>
              <w:t xml:space="preserve">Runtime role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R0 signal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sensory-association field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functional analogue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Represent attributable observations and low-level feature-bearing inputs before coarse graining.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R1 salience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salience and body-state gate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functional analogue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Allocate bounded availability using salience, arousal, self/social relevance and homeostatic normalization.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R2 memory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episodic-semantic consolidation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functional analogue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Separate recurrence, retrieval and consolidation from independent corroboration; preserve temporal traces.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R3 control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executive predictive control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functional analogue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Represent goals, predictions, candidate actions, inhibition and task switching under explicit authority.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R4 metacognition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metacognitive monitor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functional analogue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Track confidence, prediction error, contradiction, calibration, horizon pressure and epistemic debt.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R5 reflective self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self-narrative and social model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functional analogue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Maintain bounded temporal continuity of commitments, agency attribution and self-in-context summaries.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R6 psychodynamic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psychodynamic tension hypothesis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interpretive hypothesis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Offer low-authority, retractable descriptions of unresolved conflict or defensive-like patterns.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R7 archetypal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archetypal symbolic compression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interpretive hypothesis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Represent recurring symbolic motifs as optional low-authority compression labels, never factual proof.</w:t>
            </w:r>
          </w:p>
        </w:tc>
      </w:tr>
      <w:tr>
        <w:tc>
          <w:tcPr>
            <w:tcW w:w="1500" w:type="dxa"/>
          </w:tcPr>
          <w:p>
            <w:pPr>
              <w:pStyle w:val="TableText"/>
            </w:pPr>
            <w:r>
              <w:t xml:space="preserve">R8 iKant oracle</w:t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>synthetic Kant regulative center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 xml:space="preserve">synthetic normative kernel</w:t>
            </w:r>
          </w:p>
        </w:tc>
        <w:tc>
          <w:tcPr>
            <w:tcW w:w="4200" w:type="dxa"/>
          </w:tcPr>
          <w:p>
            <w:pPr>
              <w:pStyle w:val="TableText"/>
            </w:pPr>
            <w:r>
              <w:t xml:space="preserve">Integrate closure, contradiction, uncertainty, autonomy, human impact and self-continuity into a regulative disposition.</w:t>
            </w:r>
          </w:p>
        </w:tc>
      </w:tr>
    </w:tbl>
    <w:p>
      <w:pPr>
        <w:pStyle w:val="Heading1"/>
      </w:pPr>
      <w:r>
        <w:t xml:space="preserve">Neurofunctional anchors and recurrent couplings</w:t>
      </w:r>
    </w:p>
    <w:tbl>
      <w:tblPr>
        <w:tblStyle w:val="TableGrid"/>
        <w:tblW w:w="0" w:type="auto"/>
      </w:tblPr>
      <w:tblGrid>
        <w:gridCol w:w="1700"/>
        <w:gridCol w:w="4700"/>
        <w:gridCol w:w="2200"/>
      </w:tblGrid>
      <w:tr>
        <w:tc>
          <w:tcPr>
            <w:tcW w:w="1700" w:type="dxa"/>
          </w:tcPr>
          <w:p>
            <w:pPr>
              <w:pStyle w:val="TableHead"/>
            </w:pPr>
            <w:r>
              <w:t xml:space="preserve">Ring</w:t>
            </w:r>
          </w:p>
        </w:tc>
        <w:tc>
          <w:tcPr>
            <w:tcW w:w="4700" w:type="dxa"/>
          </w:tcPr>
          <w:p>
            <w:pPr>
              <w:pStyle w:val="TableHead"/>
            </w:pPr>
            <w:r>
              <w:t xml:space="preserve">Functional anatomical/network anchors</w:t>
            </w:r>
          </w:p>
        </w:tc>
        <w:tc>
          <w:tcPr>
            <w:tcW w:w="2200" w:type="dxa"/>
          </w:tcPr>
          <w:p>
            <w:pPr>
              <w:pStyle w:val="TableHead"/>
            </w:pPr>
            <w:r>
              <w:t xml:space="preserve">Evidence anchors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R0 signal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thalamic sensory relay, primary sensory cortices, posterior association cortex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PMID:26832438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R1 salience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anterior insula, dorsal anterior cingulate, subcortical arousal systems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PMID:17329432, PMID:14730305, PMID:29301874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R2 memory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hippocampal formation, medial temporal lobe, distributed association cortex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PMID:24305832, PMID:34911768, PMID:37066263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R3 control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dorsolateral prefrontal cortex, frontoparietal control network, basal-ganglia gating loops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PMID:29239622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R4 metacognition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anterior prefrontal cortex, dorsal anterior cingulate, frontoparietal monitoring systems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PMID:29519851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R5 reflective self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medial prefrontal cortex, posterior cingulate/precuneus, temporoparietal junction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PMID:26365506, PMID:20378581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R6 psychodynamic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none by design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interpretive/normative; no anatomical claim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R7 archetypal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none by design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interpretive/normative; no anatomical claim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R8 iKant oracle</w:t>
            </w:r>
          </w:p>
        </w:tc>
        <w:tc>
          <w:tcPr>
            <w:tcW w:w="4700" w:type="dxa"/>
          </w:tcPr>
          <w:p>
            <w:pPr>
              <w:pStyle w:val="TableText"/>
            </w:pPr>
            <w:r>
              <w:t xml:space="preserve">none by design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>interpretive/normative; no anatomical claim</w:t>
            </w:r>
          </w:p>
        </w:tc>
      </w:tr>
    </w:tbl>
    <w:tbl>
      <w:tblPr>
        <w:tblStyle w:val="TableGrid"/>
        <w:tblW w:w="0" w:type="auto"/>
      </w:tblPr>
      <w:tblGrid>
        <w:gridCol w:w="2800"/>
        <w:gridCol w:w="2000"/>
        <w:gridCol w:w="3800"/>
      </w:tblGrid>
      <w:tr>
        <w:tc>
          <w:tcPr>
            <w:tcW w:w="2800" w:type="dxa"/>
          </w:tcPr>
          <w:p>
            <w:pPr>
              <w:pStyle w:val="TableHead"/>
            </w:pPr>
            <w:r>
              <w:t xml:space="preserve">Coupling</w:t>
            </w:r>
          </w:p>
        </w:tc>
        <w:tc>
          <w:tcPr>
            <w:tcW w:w="2000" w:type="dxa"/>
          </w:tcPr>
          <w:p>
            <w:pPr>
              <w:pStyle w:val="TableHead"/>
            </w:pPr>
            <w:r>
              <w:t xml:space="preserve">Type</w:t>
            </w:r>
          </w:p>
        </w:tc>
        <w:tc>
          <w:tcPr>
            <w:tcW w:w="3800" w:type="dxa"/>
          </w:tcPr>
          <w:p>
            <w:pPr>
              <w:pStyle w:val="TableHead"/>
            </w:pPr>
            <w:r>
              <w:t xml:space="preserve">Runtime effect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R0 signal → R1 salience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bottom up gating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Attributable inputs compete for bounded availability.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R1 salience → R2 memory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priority to encoding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Available material receives retrieval/consolidation priority without gaining evidence.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R2 memory → R3 control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history to prediction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Retrieved history shapes predictions and candidate control states.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R3 control → R4 metacognition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prediction to monitoring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Prediction error and authorization state become monitorable second-order state.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R4 metacognition → R5 reflective self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monitoring to self model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Confidence, conflict and debt constrain continuity claims about the local self-model.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R5 reflective self → R6 psychodynamic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self conflict to hypothesis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Unresolved self/context tensions may create bounded interpretive hypotheses.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R6 psychodynamic → R7 archetypal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pattern coarse graining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Repeated low-authority tensions may be compressed into optional symbolic motifs.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R7 archetypal → R8 iKant oracle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symbolic to regulative context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Symbolic material may affect caution only inside strict interpretive ceilings.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R8 iKant oracle → R4 metacognition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reentrant critique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Central critique raises revisit/verification priority without creating evidence.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R8 iKant oracle → R3 control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reentrant inhibition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Autonomy and human-impact checks inhibit unauthorized material action.</w:t>
            </w:r>
          </w:p>
        </w:tc>
      </w:tr>
      <w:tr>
        <w:tc>
          <w:tcPr>
            <w:tcW w:w="2800" w:type="dxa"/>
          </w:tcPr>
          <w:p>
            <w:pPr>
              <w:pStyle w:val="TableText"/>
            </w:pPr>
            <w:r>
              <w:t xml:space="preserve">R8 iKant oracle → R1 salience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reentrant attention</w:t>
            </w:r>
          </w:p>
        </w:tc>
        <w:tc>
          <w:tcPr>
            <w:tcW w:w="3800" w:type="dxa"/>
          </w:tcPr>
          <w:p>
            <w:pPr>
              <w:pStyle w:val="TableText"/>
            </w:pPr>
            <w:r>
              <w:t xml:space="preserve">Regulative state changes what is foregrounded on the next cycle.</w:t>
            </w:r>
          </w:p>
        </w:tc>
      </w:tr>
    </w:tbl>
    <w:p>
      <w:pPr>
        <w:pStyle w:val="Heading1"/>
      </w:pPr>
      <w:r>
        <w:t xml:space="preserve">Neuroscience coverage horizon</w:t>
      </w:r>
    </w:p>
    <w:tbl>
      <w:tblPr>
        <w:tblStyle w:val="TableGrid"/>
        <w:tblW w:w="0" w:type="auto"/>
      </w:tblPr>
      <w:tblGrid>
        <w:gridCol w:w="2600"/>
        <w:gridCol w:w="1900"/>
        <w:gridCol w:w="4100"/>
      </w:tblGrid>
      <w:tr>
        <w:tc>
          <w:tcPr>
            <w:tcW w:w="2600" w:type="dxa"/>
          </w:tcPr>
          <w:p>
            <w:pPr>
              <w:pStyle w:val="TableHead"/>
            </w:pPr>
            <w:r>
              <w:t xml:space="preserve">Domain</w:t>
            </w:r>
          </w:p>
        </w:tc>
        <w:tc>
          <w:tcPr>
            <w:tcW w:w="1900" w:type="dxa"/>
          </w:tcPr>
          <w:p>
            <w:pPr>
              <w:pStyle w:val="TableHead"/>
            </w:pPr>
            <w:r>
              <w:t xml:space="preserve">Status</w:t>
            </w:r>
          </w:p>
        </w:tc>
        <w:tc>
          <w:tcPr>
            <w:tcW w:w="4100" w:type="dxa"/>
          </w:tcPr>
          <w:p>
            <w:pPr>
              <w:pStyle w:val="TableHead"/>
            </w:pPr>
            <w:r>
              <w:t xml:space="preserve">Runtime binding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sensory and association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active ring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R0 attributable input and feature-bearing boundary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attention salience arousal interoception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active ring and modulators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R1 gating plus arousal/interoceptive/self/social relevance modulators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episodic semantic memory and consolidation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active ring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R2 recurrence/retrieval/consolidation and persistent event/compression memory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executive frontoparietal control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active ring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R3 prediction, directive authority, inhibition and candidate action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metacognition conflict monitoring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active ring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R4 confidence, prediction error, contradiction and epistemic debt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self social agency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active ring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R5 continuity, agency binding and self-in-context state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language and distributed semantics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host boundary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Host language model generates/understands natural language; local CRC stores lexical signatures and constrains Surface A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affect reward valuation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bounded modulator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valence/arousal/social/agency relevance may change availability but never evidence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sensorimotor action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host boundary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Material action stays outside local CRC and requires host/tool authorization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cerebellar timing and motor prediction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inactive v02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No dedicated local dynamical equivalent in v0.2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autonomic endocrine and homeostatic physiology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inactive v02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Homeostasis is computational activation normalization only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sleep offline replay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partial analogue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Compression/retrieval provide bounded offline-like consolidation mechanics without sleep-state simulation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developmental learning aging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inactive v02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No developmental trajectory or age model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clinical lesion pharmacological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inactive v02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No diagnosis, disorder, lesion or drug-response model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 xml:space="preserve">cellular molecular genetic glial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inactive v02</w:t>
            </w:r>
          </w:p>
        </w:tc>
        <w:tc>
          <w:tcPr>
            <w:tcW w:w="4100" w:type="dxa"/>
          </w:tcPr>
          <w:p>
            <w:pPr>
              <w:pStyle w:val="TableText"/>
            </w:pPr>
            <w:r>
              <w:t xml:space="preserve">No neurons, neurotransmitters, genes or glia are simulated</w:t>
            </w:r>
          </w:p>
        </w:tc>
      </w:tr>
    </w:tbl>
    <w:p>
      <w:pPr>
        <w:pStyle w:val="Heading1"/>
      </w:pPr>
      <w:r>
        <w:t xml:space="preserve">Dynamic neurofunctional control state</w:t>
      </w:r>
    </w:p>
    <w:tbl>
      <w:tblPr>
        <w:tblStyle w:val="TableGrid"/>
        <w:tblW w:w="0" w:type="auto"/>
      </w:tblPr>
      <w:tblGrid>
        <w:gridCol w:w="1900"/>
        <w:gridCol w:w="950"/>
        <w:gridCol w:w="950"/>
        <w:gridCol w:w="950"/>
        <w:gridCol w:w="950"/>
        <w:gridCol w:w="950"/>
        <w:gridCol w:w="950"/>
      </w:tblGrid>
      <w:tr>
        <w:tc>
          <w:tcPr>
            <w:tcW w:w="1900" w:type="dxa"/>
          </w:tcPr>
          <w:p>
            <w:pPr>
              <w:pStyle w:val="TableHead"/>
            </w:pPr>
            <w:r>
              <w:t xml:space="preserve">Ring</w:t>
            </w:r>
          </w:p>
        </w:tc>
        <w:tc>
          <w:tcPr>
            <w:tcW w:w="950" w:type="dxa"/>
          </w:tcPr>
          <w:p>
            <w:pPr>
              <w:pStyle w:val="TableHead"/>
            </w:pPr>
            <w:r>
              <w:t xml:space="preserve">Gain</w:t>
            </w:r>
          </w:p>
        </w:tc>
        <w:tc>
          <w:tcPr>
            <w:tcW w:w="950" w:type="dxa"/>
          </w:tcPr>
          <w:p>
            <w:pPr>
              <w:pStyle w:val="TableHead"/>
            </w:pPr>
            <w:r>
              <w:t xml:space="preserve">Precision</w:t>
            </w:r>
          </w:p>
        </w:tc>
        <w:tc>
          <w:tcPr>
            <w:tcW w:w="950" w:type="dxa"/>
          </w:tcPr>
          <w:p>
            <w:pPr>
              <w:pStyle w:val="TableHead"/>
            </w:pPr>
            <w:r>
              <w:t xml:space="preserve">Inhibition</w:t>
            </w:r>
          </w:p>
        </w:tc>
        <w:tc>
          <w:tcPr>
            <w:tcW w:w="950" w:type="dxa"/>
          </w:tcPr>
          <w:p>
            <w:pPr>
              <w:pStyle w:val="TableHead"/>
            </w:pPr>
            <w:r>
              <w:t xml:space="preserve">Plasticity</w:t>
            </w:r>
          </w:p>
        </w:tc>
        <w:tc>
          <w:tcPr>
            <w:tcW w:w="950" w:type="dxa"/>
          </w:tcPr>
          <w:p>
            <w:pPr>
              <w:pStyle w:val="TableHead"/>
            </w:pPr>
            <w:r>
              <w:t xml:space="preserve">Persistence</w:t>
            </w:r>
          </w:p>
        </w:tc>
        <w:tc>
          <w:tcPr>
            <w:tcW w:w="950" w:type="dxa"/>
          </w:tcPr>
          <w:p>
            <w:pPr>
              <w:pStyle w:val="TableHead"/>
            </w:pPr>
            <w:r>
              <w:t xml:space="preserve">Control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R7 archetypal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0.107433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0.908515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0.541485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0.09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0.038993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0.351064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R8 iKant oracle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0.333791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0.772938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0.361743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0.072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0.04156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0.397338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R2 memory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0.449102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0.9265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0.1378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0.495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0.046702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0.549111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R4 metacognition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0.430156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0.8934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0.1869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0.27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0.046603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0.502229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R3 control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0.470507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0.9085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0.2566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0.225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0.04657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0.506186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R6 psychodynamic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0.147433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0.498185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0.561485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0.135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0.038993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0.251572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R5 reflective self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0.347433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0.496865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0.301485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0.162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0.038993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0.340442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R1 salience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0.522415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0.94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0.216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0.18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0.055036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0.530932</w:t>
            </w:r>
          </w:p>
        </w:tc>
      </w:tr>
      <w:tr>
        <w:tc>
          <w:tcPr>
            <w:tcW w:w="1900" w:type="dxa"/>
          </w:tcPr>
          <w:p>
            <w:pPr>
              <w:pStyle w:val="TableText"/>
            </w:pPr>
            <w:r>
              <w:t xml:space="preserve">R0 signal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0.462415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0.88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0.116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0.225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0.055036</w:t>
            </w:r>
          </w:p>
        </w:tc>
        <w:tc>
          <w:tcPr>
            <w:tcW w:w="950" w:type="dxa"/>
          </w:tcPr>
          <w:p>
            <w:pPr>
              <w:pStyle w:val="TableText"/>
            </w:pPr>
            <w:r>
              <w:t xml:space="preserve">0.511532</w:t>
            </w:r>
          </w:p>
        </w:tc>
      </w:tr>
    </w:tbl>
    <w:p>
      <w:pPr>
        <w:pStyle w:val="Heading1"/>
      </w:pPr>
      <w:r>
        <w:t xml:space="preserve">CRC telemetry</w:t>
      </w:r>
    </w:p>
    <w:tbl>
      <w:tblPr>
        <w:tblStyle w:val="TableGrid"/>
        <w:tblW w:w="0" w:type="auto"/>
      </w:tblPr>
      <w:tblGrid>
        <w:gridCol w:w="3000"/>
        <w:gridCol w:w="5600"/>
      </w:tblGrid>
      <w:tr>
        <w:tc>
          <w:tcPr>
            <w:tcW w:w="3000" w:type="dxa"/>
          </w:tcPr>
          <w:p>
            <w:pPr>
              <w:pStyle w:val="TableHead"/>
            </w:pPr>
            <w:r>
              <w:t xml:space="preserve">IOA</w:t>
            </w:r>
          </w:p>
        </w:tc>
        <w:tc>
          <w:tcPr>
            <w:tcW w:w="5600" w:type="dxa"/>
          </w:tcPr>
          <w:p>
            <w:pPr>
              <w:pStyle w:val="TableHead"/>
            </w:pPr>
            <w:r>
              <w:t xml:space="preserve">True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Epistemic closure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True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TC witness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True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CRC-basic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True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CRC-strong candidate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True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Mean collapse coefficient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0.354167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Emergence index proxy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0.75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Reticular irreducibility proxy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0.916667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Functional coherence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0.801508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Reentrant capacity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0.502229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Open epistemic debt states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Heading1"/>
      </w:pPr>
      <w:r>
        <w:t xml:space="preserve">Ring-by-ring transmission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1100"/>
        <w:gridCol w:w="4300"/>
      </w:tblGrid>
      <w:tr>
        <w:tc>
          <w:tcPr>
            <w:tcW w:w="2400" w:type="dxa"/>
          </w:tcPr>
          <w:p>
            <w:pPr>
              <w:pStyle w:val="TableHead"/>
            </w:pPr>
            <w:r>
              <w:t xml:space="preserve">Transmission</w:t>
            </w:r>
          </w:p>
        </w:tc>
        <w:tc>
          <w:tcPr>
            <w:tcW w:w="900" w:type="dxa"/>
          </w:tcPr>
          <w:p>
            <w:pPr>
              <w:pStyle w:val="TableHead"/>
            </w:pPr>
            <w:r>
              <w:t xml:space="preserve">Inputs</w:t>
            </w:r>
          </w:p>
        </w:tc>
        <w:tc>
          <w:tcPr>
            <w:tcW w:w="900" w:type="dxa"/>
          </w:tcPr>
          <w:p>
            <w:pPr>
              <w:pStyle w:val="TableHead"/>
            </w:pPr>
            <w:r>
              <w:t xml:space="preserve">Outputs</w:t>
            </w:r>
          </w:p>
        </w:tc>
        <w:tc>
          <w:tcPr>
            <w:tcW w:w="1100" w:type="dxa"/>
          </w:tcPr>
          <w:p>
            <w:pPr>
              <w:pStyle w:val="TableHead"/>
            </w:pPr>
            <w:r>
              <w:t xml:space="preserve">Collapse</w:t>
            </w:r>
          </w:p>
        </w:tc>
        <w:tc>
          <w:tcPr>
            <w:tcW w:w="4300" w:type="dxa"/>
          </w:tcPr>
          <w:p>
            <w:pPr>
              <w:pStyle w:val="TableHead"/>
            </w:pPr>
            <w:r>
              <w:t xml:space="preserve">Introduced properties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R0 signal → R1 salience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 xml:space="preserve">0.5</w:t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>priority class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R1 salience → R2 memory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 xml:space="preserve">0.5</w:t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>consolidation class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R2 memory → R3 control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 xml:space="preserve">0.333333</w:t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>control role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R3 control → R4 metacognition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 xml:space="preserve">0.5</w:t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>monitor state, epistemic debt open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R4 metacognition → R5 reflective self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>self relation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R5 reflective self → R6 psychodynamic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 xml:space="preserve">0.5</w:t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>tension pressure, freudian structural hypothesis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R6 psychodynamic → R7 archetypal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 xml:space="preserve">0.0</w:t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>recurring motif pressure, jungian archetype candidate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R7 archetypal → R8 iKant oracle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pStyle w:val="TableText"/>
            </w:pPr>
            <w:r>
              <w:t xml:space="preserve">0.5</w:t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>regulative context, synthetic kant archetype state</w:t>
            </w:r>
          </w:p>
        </w:tc>
      </w:tr>
    </w:tbl>
    <w:p>
      <w:pPr>
        <w:pStyle w:val="Heading1"/>
      </w:pPr>
      <w:r>
        <w:t xml:space="preserve">Dynamic proto-self and central oracle</w:t>
      </w:r>
    </w:p>
    <w:tbl>
      <w:tblPr>
        <w:tblStyle w:val="TableGrid"/>
        <w:tblW w:w="0" w:type="auto"/>
      </w:tblPr>
      <w:tblGrid>
        <w:gridCol w:w="3200"/>
        <w:gridCol w:w="5400"/>
      </w:tblGrid>
      <w:tr>
        <w:tc>
          <w:tcPr>
            <w:tcW w:w="3200" w:type="dxa"/>
          </w:tcPr>
          <w:p>
            <w:pPr>
              <w:pStyle w:val="TableHead"/>
            </w:pPr>
            <w:r>
              <w:t xml:space="preserve">Proto-self index</w:t>
            </w:r>
          </w:p>
        </w:tc>
        <w:tc>
          <w:tcPr>
            <w:tcW w:w="5400" w:type="dxa"/>
          </w:tcPr>
          <w:p>
            <w:pPr>
              <w:pStyle w:val="TableHead"/>
            </w:pPr>
            <w:r>
              <w:t xml:space="preserve">0.677108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Integration mode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COORDINATED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Global availability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Cross-ring integration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0.900833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Temporal continuity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0.133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Metacognitive access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0.428571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Self-model continuity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0.42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Agency binding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Neurofunctional coherence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0.801508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Reentrant capacity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0.502229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Central mode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PRACTICAL_REVIEW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Central unity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0.719081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Apperception proxy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0.610507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 xml:space="preserve">Central critique pressure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0.098083</w:t>
            </w:r>
          </w:p>
        </w:tc>
      </w:tr>
    </w:tbl>
    <w:p>
      <w:pPr>
        <w:pStyle w:val="Heading1"/>
      </w:pPr>
      <w:r>
        <w:t xml:space="preserve">Workspace action and retroaction</w:t>
      </w:r>
    </w:p>
    <w:p>
      <w:r>
        <w:t xml:space="preserve">Broadcast mode: PRACTICAL_REVIEW; boosts: 6; interpretive inhibition: 0.03812; evidence modified: False</w:t>
      </w:r>
    </w:p>
    <w:tbl>
      <w:tblPr>
        <w:tblStyle w:val="TableGrid"/>
        <w:tblW w:w="0" w:type="auto"/>
      </w:tblPr>
      <w:tblGrid>
        <w:gridCol w:w="3100"/>
        <w:gridCol w:w="1600"/>
        <w:gridCol w:w="3900"/>
      </w:tblGrid>
      <w:tr>
        <w:tc>
          <w:tcPr>
            <w:tcW w:w="3100" w:type="dxa"/>
          </w:tcPr>
          <w:p>
            <w:pPr>
              <w:pStyle w:val="TableHead"/>
            </w:pPr>
            <w:r>
              <w:t xml:space="preserve">Node</w:t>
            </w:r>
          </w:p>
        </w:tc>
        <w:tc>
          <w:tcPr>
            <w:tcW w:w="1600" w:type="dxa"/>
          </w:tcPr>
          <w:p>
            <w:pPr>
              <w:pStyle w:val="TableHead"/>
            </w:pPr>
            <w:r>
              <w:t xml:space="preserve">Activation delta</w:t>
            </w:r>
          </w:p>
        </w:tc>
        <w:tc>
          <w:tcPr>
            <w:tcW w:w="3900" w:type="dxa"/>
          </w:tcPr>
          <w:p>
            <w:pPr>
              <w:pStyle w:val="TableHead"/>
            </w:pPr>
            <w:r>
              <w:t xml:space="preserve">Reason</w:t>
            </w:r>
          </w:p>
        </w:tc>
      </w:tr>
      <w:tr>
        <w:tc>
          <w:tcPr>
            <w:tcW w:w="3100" w:type="dxa"/>
          </w:tcPr>
          <w:p>
            <w:pPr>
              <w:pStyle w:val="TableText"/>
            </w:pPr>
            <w:r>
              <w:t xml:space="preserve">N-08962c0117c1eb83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t xml:space="preserve">0.027012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global_workspace_broadcast</w:t>
            </w:r>
          </w:p>
        </w:tc>
      </w:tr>
      <w:tr>
        <w:tc>
          <w:tcPr>
            <w:tcW w:w="3100" w:type="dxa"/>
          </w:tcPr>
          <w:p>
            <w:pPr>
              <w:pStyle w:val="TableText"/>
            </w:pPr>
            <w:r>
              <w:t xml:space="preserve">N-6d7b89ffc6a18d0e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t xml:space="preserve">0.027012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global_workspace_broadcast</w:t>
            </w:r>
          </w:p>
        </w:tc>
      </w:tr>
      <w:tr>
        <w:tc>
          <w:tcPr>
            <w:tcW w:w="3100" w:type="dxa"/>
          </w:tcPr>
          <w:p>
            <w:pPr>
              <w:pStyle w:val="TableText"/>
            </w:pPr>
            <w:r>
              <w:t xml:space="preserve">N-a804cbd29eedc57c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t xml:space="preserve">0.027012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global_workspace_broadcast</w:t>
            </w:r>
          </w:p>
        </w:tc>
      </w:tr>
      <w:tr>
        <w:tc>
          <w:tcPr>
            <w:tcW w:w="3100" w:type="dxa"/>
          </w:tcPr>
          <w:p>
            <w:pPr>
              <w:pStyle w:val="TableText"/>
            </w:pPr>
            <w:r>
              <w:t xml:space="preserve">N-b1f2ab9ad8c77a62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t xml:space="preserve">0.026907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global_workspace_broadcast</w:t>
            </w:r>
          </w:p>
        </w:tc>
      </w:tr>
      <w:tr>
        <w:tc>
          <w:tcPr>
            <w:tcW w:w="3100" w:type="dxa"/>
          </w:tcPr>
          <w:p>
            <w:pPr>
              <w:pStyle w:val="TableText"/>
            </w:pPr>
            <w:r>
              <w:t xml:space="preserve">N-d0c4a9d29d0cebf3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t xml:space="preserve">0.026907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global_workspace_broadcast</w:t>
            </w:r>
          </w:p>
        </w:tc>
      </w:tr>
      <w:tr>
        <w:tc>
          <w:tcPr>
            <w:tcW w:w="3100" w:type="dxa"/>
          </w:tcPr>
          <w:p>
            <w:pPr>
              <w:pStyle w:val="TableText"/>
            </w:pPr>
            <w:r>
              <w:t xml:space="preserve">N-4cb3ec4b2bae77b8</w:t>
            </w:r>
          </w:p>
        </w:tc>
        <w:tc>
          <w:tcPr>
            <w:tcW w:w="1600" w:type="dxa"/>
          </w:tcPr>
          <w:p>
            <w:pPr>
              <w:pStyle w:val="TableText"/>
            </w:pPr>
            <w:r>
              <w:t xml:space="preserve">0.007372</w:t>
            </w:r>
          </w:p>
        </w:tc>
        <w:tc>
          <w:tcPr>
            <w:tcW w:w="3900" w:type="dxa"/>
          </w:tcPr>
          <w:p>
            <w:pPr>
              <w:pStyle w:val="TableText"/>
            </w:pPr>
            <w:r>
              <w:t xml:space="preserve">global_workspace_broadcast</w:t>
            </w:r>
          </w:p>
        </w:tc>
      </w:tr>
    </w:tbl>
    <w:p>
      <w:pPr>
        <w:pStyle w:val="Heading1"/>
      </w:pPr>
      <w:r>
        <w:t xml:space="preserve">Post-CRC response projection</w:t>
      </w:r>
    </w:p>
    <w:tbl>
      <w:tblPr>
        <w:tblStyle w:val="TableGrid"/>
        <w:tblW w:w="0" w:type="auto"/>
      </w:tblPr>
      <w:tblGrid>
        <w:gridCol w:w="3000"/>
        <w:gridCol w:w="5600"/>
      </w:tblGrid>
      <w:tr>
        <w:tc>
          <w:tcPr>
            <w:tcW w:w="3000" w:type="dxa"/>
          </w:tcPr>
          <w:p>
            <w:pPr>
              <w:pStyle w:val="TableHead"/>
            </w:pPr>
            <w:r>
              <w:t xml:space="preserve">Mode</w:t>
            </w:r>
          </w:p>
        </w:tc>
        <w:tc>
          <w:tcPr>
            <w:tcW w:w="5600" w:type="dxa"/>
          </w:tcPr>
          <w:p>
            <w:pPr>
              <w:pStyle w:val="TableHead"/>
            </w:pPr>
            <w:r>
              <w:t xml:space="preserve">PRACTICAL_REVIEW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Assertable nodes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Tentative nodes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Downgrades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Material action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PROPOSE_ONLY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Post-CRC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True</w:t>
            </w:r>
          </w:p>
        </w:tc>
      </w:tr>
    </w:tbl>
    <w:p>
      <w:pPr>
        <w:pStyle w:val="Heading1"/>
      </w:pPr>
      <w:r>
        <w:t xml:space="preserve">Surface A contract</w:t>
      </w:r>
    </w:p>
    <w:p>
      <w:r>
        <w:t xml:space="preserve">{"base_epistemic_caution": 0.1275, "central_critique_pressure": 0.098083, "crc_basic": true, "derived_history_is_not_external_evidence": true, "epistemic_caution": 0.1275, "horizon_exceeded": false, "material_action": "PROPOSE_ONLY", "mode": "PRACTICAL_REVIEW", "must_abstain_or_review": true, "post_crc_downgrade_count": 0, "proto_self_index": 0.677108}</w:t>
      </w:r>
    </w:p>
    <w:p>
      <w:r>
        <w:t xml:space="preserve">Surface A must be 5 to 500 words of simple natural prose with no headings, lists, tables or code blocks. The host must use assertable/tentative/conflict partitions and the central regulative state when writing the conversational reply.</w:t>
      </w:r>
    </w:p>
    <w:p>
      <w:pPr>
        <w:pStyle w:val="Heading1"/>
      </w:pPr>
      <w:r>
        <w:t xml:space="preserve">Surface A emission</w:t>
      </w:r>
    </w:p>
    <w:tbl>
      <w:tblPr>
        <w:tblStyle w:val="TableGrid"/>
        <w:tblW w:w="0" w:type="auto"/>
      </w:tblPr>
      <w:tblGrid>
        <w:gridCol w:w="3000"/>
        <w:gridCol w:w="5600"/>
      </w:tblGrid>
      <w:tr>
        <w:tc>
          <w:tcPr>
            <w:tcW w:w="3000" w:type="dxa"/>
          </w:tcPr>
          <w:p>
            <w:pPr>
              <w:pStyle w:val="TableHead"/>
            </w:pPr>
            <w:r>
              <w:t xml:space="preserve">Validated</w:t>
            </w:r>
          </w:p>
        </w:tc>
        <w:tc>
          <w:tcPr>
            <w:tcW w:w="5600" w:type="dxa"/>
          </w:tcPr>
          <w:p>
            <w:pPr>
              <w:pStyle w:val="TableHead"/>
            </w:pPr>
            <w:r>
              <w:t xml:space="preserve">True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Response node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N-66c3ef7eeb2545fa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Word count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43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Evidence</w:t>
            </w:r>
          </w:p>
        </w:tc>
        <w:tc>
          <w:tcPr>
            <w:tcW w:w="5600" w:type="dxa"/>
          </w:tcPr>
          <w:p>
            <w:pPr>
              <w:pStyle w:val="TableText"/>
            </w:pPr>
            <w:r>
              <w:t xml:space="preserve">0.0</w:t>
            </w:r>
          </w:p>
        </w:tc>
      </w:tr>
    </w:tbl>
    <w:p>
      <w:r>
        <w:t xml:space="preserve">La PR2 è localmente matura e coerente con il reticolo richiesto, ma la considero ancora una candidata finché la stessa slice non supera la CI ospitata. Il centro sta privilegiando prudenza, continuità e verifica senza trasformare la propria integrazione interna in nuova evidenza.</w:t>
      </w:r>
    </w:p>
    <w:p>
      <w:pPr>
        <w:pStyle w:val="Heading1"/>
      </w:pPr>
      <w:r>
        <w:t xml:space="preserve">Runtime convergence backlog</w:t>
      </w:r>
    </w:p>
    <w:p>
      <w:r>
        <w:t xml:space="preserve">1. Obtain the required human practical review before material action.</w:t>
      </w:r>
    </w:p>
    <w:p>
      <w:pPr>
        <w:pStyle w:val="Heading1"/>
      </w:pPr>
      <w:r>
        <w:t xml:space="preserve">Recent persistent events</w:t>
      </w:r>
    </w:p>
    <w:tbl>
      <w:tblPr>
        <w:tblStyle w:val="TableGrid"/>
        <w:tblW w:w="0" w:type="auto"/>
      </w:tblPr>
      <w:tblGrid>
        <w:gridCol w:w="900"/>
        <w:gridCol w:w="2300"/>
        <w:gridCol w:w="5400"/>
      </w:tblGrid>
      <w:tr>
        <w:tc>
          <w:tcPr>
            <w:tcW w:w="900" w:type="dxa"/>
          </w:tcPr>
          <w:p>
            <w:pPr>
              <w:pStyle w:val="TableHead"/>
            </w:pPr>
            <w:r>
              <w:t xml:space="preserve">Seq</w:t>
            </w:r>
          </w:p>
        </w:tc>
        <w:tc>
          <w:tcPr>
            <w:tcW w:w="2300" w:type="dxa"/>
          </w:tcPr>
          <w:p>
            <w:pPr>
              <w:pStyle w:val="TableHead"/>
            </w:pPr>
            <w:r>
              <w:t xml:space="preserve">Operation</w:t>
            </w:r>
          </w:p>
        </w:tc>
        <w:tc>
          <w:tcPr>
            <w:tcW w:w="5400" w:type="dxa"/>
          </w:tcPr>
          <w:p>
            <w:pPr>
              <w:pStyle w:val="TableHead"/>
            </w:pPr>
            <w:r>
              <w:t xml:space="preserve">Subject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INITIALIZE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SES-5a4f0e71c2938558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N-09dbd38bc65506a5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N-a43df59e7396235c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N-7410a6cb22d8b019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N-9809a50f6bb4d99e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N-7ebf09f3c6998e81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N-e15fe2b7ed4c3d7c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N-449f9ae6df4ed4f2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INITIALIZE_COMPLETE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SES-5a4f0e71c2938558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N-08962c0117c1eb83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N-a804cbd29eedc57c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N-d0c4a9d29d0cebf3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N-b1f2ab9ad8c77a62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14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N-4cb3ec4b2bae77b8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RELATE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R-07942ca3b77cb751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RELATE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R-247bfd3c5ab75921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17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RELATE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R-755e6667af72a338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18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N-6d7b89ffc6a18d0e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19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CYCLE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CYC-79faf38671b032a4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20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COGNITIVE_COMPILE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CYC-79faf38671b032a4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21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SURFACE_B_SNAPSHOT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CYC-79faf38671b032a4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ASSERT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N-66c3ef7eeb2545fa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23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RELATE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R-4003d6531995ad4f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t xml:space="preserve">SURFACE_A_EMIT</w:t>
            </w:r>
          </w:p>
        </w:tc>
        <w:tc>
          <w:tcPr>
            <w:tcW w:w="5400" w:type="dxa"/>
          </w:tcPr>
          <w:p>
            <w:pPr>
              <w:pStyle w:val="TableText"/>
            </w:pPr>
            <w:r>
              <w:t xml:space="preserve">CYC-79faf38671b032a4</w:t>
            </w:r>
          </w:p>
        </w:tc>
      </w:tr>
    </w:tbl>
    <w:p>
      <w:pPr>
        <w:pStyle w:val="Heading1"/>
      </w:pPr>
      <w:r>
        <w:t xml:space="preserve">Boundary</w:t>
      </w:r>
    </w:p>
    <w:p>
      <w:r>
        <w:t xml:space="preserve">The neurofunctional mapping is a falsifiable software analogy constrained by neuroscience. Psychodynamic and archetypal rings are interpretive namespaces without anatomical localization. The Kant oracle is a synthetic normative kernel. The proto-self index measures functional integration of the local runtime; it is not a probability or proof of consciousness.</w:t>
      </w:r>
    </w:p>
    <w:sectPr>
      <w:pgSz w:w="11906" w:h="16838"/>
      <w:pgMar w:top="1134" w:right="850" w:bottom="1134" w:left="8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19"/>
    </w:rPr>
    <w:pPr>
      <w:spacing w:after="100"/>
    </w:pPr>
  </w:style>
  <w:style w:type="paragraph" w:styleId="Title">
    <w:name w:val="Title"/>
    <w:basedOn w:val="Normal"/>
    <w:rPr>
      <w:b/>
      <w:sz w:val="34"/>
    </w:rPr>
    <w:pPr>
      <w:spacing w:after="220"/>
    </w:pPr>
  </w:style>
  <w:style w:type="paragraph" w:styleId="Heading1">
    <w:name w:val="heading 1"/>
    <w:basedOn w:val="Normal"/>
    <w:rPr>
      <w:b/>
      <w:sz w:val="25"/>
    </w:rPr>
    <w:pPr>
      <w:spacing w:before="220" w:after="100"/>
    </w:pPr>
  </w:style>
  <w:style w:type="paragraph" w:styleId="TableText">
    <w:name w:val="Table Text"/>
    <w:basedOn w:val="Normal"/>
    <w:rPr>
      <w:sz w:val="16"/>
    </w:rPr>
    <w:pPr>
      <w:spacing w:after="0"/>
    </w:pPr>
  </w:style>
  <w:style w:type="paragraph" w:styleId="TableHead">
    <w:name w:val="Table Head"/>
    <w:basedOn w:val="TableText"/>
    <w:rPr>
      <w:b/>
      <w:sz w:val="1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