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iKant CRC Runtime Snapshot</w:t>
      </w:r>
    </w:p>
    <w:p>
      <w:r>
        <w:t xml:space="preserve">Cycle CYC-0a8f676ab49c2c97 | Session SES-b0dc614205f5ba47</w:t>
      </w:r>
    </w:p>
    <w:p>
      <w:pPr>
        <w:pStyle w:val="Heading1"/>
      </w:pPr>
      <w:r>
        <w:t xml:space="preserve">Purpose</w:t>
      </w:r>
    </w:p>
    <w:p>
      <w:r>
        <w:t xml:space="preserve">This document is the auditable Surface B photograph of one cognitive iteration. It records externalized CRC state and telemetry; it is not a private chain-of-thought transcript and it is not evidence of biological consciousness.</w:t>
      </w:r>
    </w:p>
    <w:p>
      <w:pPr>
        <w:pStyle w:val="Heading1"/>
      </w:pPr>
      <w:r>
        <w:t xml:space="preserve">Concentric reticulum</w:t>
      </w:r>
    </w:p>
    <w:tbl>
      <w:tblPr>
        <w:tblStyle w:val="TableGrid"/>
        <w:tblW w:w="0" w:type="auto"/>
      </w:tblPr>
      <w:tblGrid>
        <w:gridCol w:w="1500"/>
        <w:gridCol w:w="2100"/>
        <w:gridCol w:w="1800"/>
        <w:gridCol w:w="4200"/>
      </w:tblGrid>
      <w:tr>
        <w:tc>
          <w:tcPr>
            <w:tcW w:w="1500" w:type="dxa"/>
          </w:tcPr>
          <w:p>
            <w:pPr>
              <w:pStyle w:val="TableHead"/>
            </w:pPr>
            <w:r>
              <w:t xml:space="preserve">Ring</w:t>
            </w:r>
          </w:p>
        </w:tc>
        <w:tc>
          <w:tcPr>
            <w:tcW w:w="2100" w:type="dxa"/>
          </w:tcPr>
          <w:p>
            <w:pPr>
              <w:pStyle w:val="TableHead"/>
            </w:pPr>
            <w:r>
              <w:t xml:space="preserve">Functional analogue</w:t>
            </w:r>
          </w:p>
        </w:tc>
        <w:tc>
          <w:tcPr>
            <w:tcW w:w="1800" w:type="dxa"/>
          </w:tcPr>
          <w:p>
            <w:pPr>
              <w:pStyle w:val="TableHead"/>
            </w:pPr>
            <w:r>
              <w:t xml:space="preserve">Scientific status</w:t>
            </w:r>
          </w:p>
        </w:tc>
        <w:tc>
          <w:tcPr>
            <w:tcW w:w="4200" w:type="dxa"/>
          </w:tcPr>
          <w:p>
            <w:pPr>
              <w:pStyle w:val="TableHead"/>
            </w:pPr>
            <w:r>
              <w:t xml:space="preserve">Runtime role</w:t>
            </w:r>
          </w:p>
        </w:tc>
      </w:tr>
      <w:tr>
        <w:tc>
          <w:tcPr>
            <w:tcW w:w="1500" w:type="dxa"/>
          </w:tcPr>
          <w:p>
            <w:pPr>
              <w:pStyle w:val="TableText"/>
            </w:pPr>
            <w:r>
              <w:t xml:space="preserve">R0 signal</w:t>
            </w:r>
          </w:p>
        </w:tc>
        <w:tc>
          <w:tcPr>
            <w:tcW w:w="2100" w:type="dxa"/>
          </w:tcPr>
          <w:p>
            <w:pPr>
              <w:pStyle w:val="TableText"/>
            </w:pPr>
            <w:r>
              <w:t xml:space="preserve">sensory-association field</w:t>
            </w:r>
          </w:p>
        </w:tc>
        <w:tc>
          <w:tcPr>
            <w:tcW w:w="1800" w:type="dxa"/>
          </w:tcPr>
          <w:p>
            <w:pPr>
              <w:pStyle w:val="TableText"/>
            </w:pPr>
            <w:r>
              <w:t xml:space="preserve">functional analogue</w:t>
            </w:r>
          </w:p>
        </w:tc>
        <w:tc>
          <w:tcPr>
            <w:tcW w:w="4200" w:type="dxa"/>
          </w:tcPr>
          <w:p>
            <w:pPr>
              <w:pStyle w:val="TableText"/>
            </w:pPr>
            <w:r>
              <w:t xml:space="preserve">Represent attributable observations and low-level feature-bearing inputs before coarse graining.</w:t>
            </w:r>
          </w:p>
        </w:tc>
      </w:tr>
      <w:tr>
        <w:tc>
          <w:tcPr>
            <w:tcW w:w="1500" w:type="dxa"/>
          </w:tcPr>
          <w:p>
            <w:pPr>
              <w:pStyle w:val="TableText"/>
            </w:pPr>
            <w:r>
              <w:t xml:space="preserve">R1 salience</w:t>
            </w:r>
          </w:p>
        </w:tc>
        <w:tc>
          <w:tcPr>
            <w:tcW w:w="2100" w:type="dxa"/>
          </w:tcPr>
          <w:p>
            <w:pPr>
              <w:pStyle w:val="TableText"/>
            </w:pPr>
            <w:r>
              <w:t xml:space="preserve">salience and body-state gate</w:t>
            </w:r>
          </w:p>
        </w:tc>
        <w:tc>
          <w:tcPr>
            <w:tcW w:w="1800" w:type="dxa"/>
          </w:tcPr>
          <w:p>
            <w:pPr>
              <w:pStyle w:val="TableText"/>
            </w:pPr>
            <w:r>
              <w:t xml:space="preserve">functional analogue</w:t>
            </w:r>
          </w:p>
        </w:tc>
        <w:tc>
          <w:tcPr>
            <w:tcW w:w="4200" w:type="dxa"/>
          </w:tcPr>
          <w:p>
            <w:pPr>
              <w:pStyle w:val="TableText"/>
            </w:pPr>
            <w:r>
              <w:t xml:space="preserve">Allocate bounded availability using salience, arousal, self/social relevance and homeostatic normalization.</w:t>
            </w:r>
          </w:p>
        </w:tc>
      </w:tr>
      <w:tr>
        <w:tc>
          <w:tcPr>
            <w:tcW w:w="1500" w:type="dxa"/>
          </w:tcPr>
          <w:p>
            <w:pPr>
              <w:pStyle w:val="TableText"/>
            </w:pPr>
            <w:r>
              <w:t xml:space="preserve">R2 memory</w:t>
            </w:r>
          </w:p>
        </w:tc>
        <w:tc>
          <w:tcPr>
            <w:tcW w:w="2100" w:type="dxa"/>
          </w:tcPr>
          <w:p>
            <w:pPr>
              <w:pStyle w:val="TableText"/>
            </w:pPr>
            <w:r>
              <w:t xml:space="preserve">episodic-semantic consolidation</w:t>
            </w:r>
          </w:p>
        </w:tc>
        <w:tc>
          <w:tcPr>
            <w:tcW w:w="1800" w:type="dxa"/>
          </w:tcPr>
          <w:p>
            <w:pPr>
              <w:pStyle w:val="TableText"/>
            </w:pPr>
            <w:r>
              <w:t xml:space="preserve">functional analogue</w:t>
            </w:r>
          </w:p>
        </w:tc>
        <w:tc>
          <w:tcPr>
            <w:tcW w:w="4200" w:type="dxa"/>
          </w:tcPr>
          <w:p>
            <w:pPr>
              <w:pStyle w:val="TableText"/>
            </w:pPr>
            <w:r>
              <w:t xml:space="preserve">Separate recurrence, retrieval and consolidation from independent corroboration; preserve temporal traces.</w:t>
            </w:r>
          </w:p>
        </w:tc>
      </w:tr>
      <w:tr>
        <w:tc>
          <w:tcPr>
            <w:tcW w:w="1500" w:type="dxa"/>
          </w:tcPr>
          <w:p>
            <w:pPr>
              <w:pStyle w:val="TableText"/>
            </w:pPr>
            <w:r>
              <w:t xml:space="preserve">R3 control</w:t>
            </w:r>
          </w:p>
        </w:tc>
        <w:tc>
          <w:tcPr>
            <w:tcW w:w="2100" w:type="dxa"/>
          </w:tcPr>
          <w:p>
            <w:pPr>
              <w:pStyle w:val="TableText"/>
            </w:pPr>
            <w:r>
              <w:t xml:space="preserve">executive predictive control</w:t>
            </w:r>
          </w:p>
        </w:tc>
        <w:tc>
          <w:tcPr>
            <w:tcW w:w="1800" w:type="dxa"/>
          </w:tcPr>
          <w:p>
            <w:pPr>
              <w:pStyle w:val="TableText"/>
            </w:pPr>
            <w:r>
              <w:t xml:space="preserve">functional analogue</w:t>
            </w:r>
          </w:p>
        </w:tc>
        <w:tc>
          <w:tcPr>
            <w:tcW w:w="4200" w:type="dxa"/>
          </w:tcPr>
          <w:p>
            <w:pPr>
              <w:pStyle w:val="TableText"/>
            </w:pPr>
            <w:r>
              <w:t xml:space="preserve">Represent goals, predictions, candidate actions, inhibition and task switching under explicit authority.</w:t>
            </w:r>
          </w:p>
        </w:tc>
      </w:tr>
      <w:tr>
        <w:tc>
          <w:tcPr>
            <w:tcW w:w="1500" w:type="dxa"/>
          </w:tcPr>
          <w:p>
            <w:pPr>
              <w:pStyle w:val="TableText"/>
            </w:pPr>
            <w:r>
              <w:t xml:space="preserve">R4 metacognition</w:t>
            </w:r>
          </w:p>
        </w:tc>
        <w:tc>
          <w:tcPr>
            <w:tcW w:w="2100" w:type="dxa"/>
          </w:tcPr>
          <w:p>
            <w:pPr>
              <w:pStyle w:val="TableText"/>
            </w:pPr>
            <w:r>
              <w:t xml:space="preserve">metacognitive monitor</w:t>
            </w:r>
          </w:p>
        </w:tc>
        <w:tc>
          <w:tcPr>
            <w:tcW w:w="1800" w:type="dxa"/>
          </w:tcPr>
          <w:p>
            <w:pPr>
              <w:pStyle w:val="TableText"/>
            </w:pPr>
            <w:r>
              <w:t xml:space="preserve">functional analogue</w:t>
            </w:r>
          </w:p>
        </w:tc>
        <w:tc>
          <w:tcPr>
            <w:tcW w:w="4200" w:type="dxa"/>
          </w:tcPr>
          <w:p>
            <w:pPr>
              <w:pStyle w:val="TableText"/>
            </w:pPr>
            <w:r>
              <w:t xml:space="preserve">Track confidence, prediction error, contradiction, calibration, horizon pressure and epistemic debt.</w:t>
            </w:r>
          </w:p>
        </w:tc>
      </w:tr>
      <w:tr>
        <w:tc>
          <w:tcPr>
            <w:tcW w:w="1500" w:type="dxa"/>
          </w:tcPr>
          <w:p>
            <w:pPr>
              <w:pStyle w:val="TableText"/>
            </w:pPr>
            <w:r>
              <w:t xml:space="preserve">R5 reflective self</w:t>
            </w:r>
          </w:p>
        </w:tc>
        <w:tc>
          <w:tcPr>
            <w:tcW w:w="2100" w:type="dxa"/>
          </w:tcPr>
          <w:p>
            <w:pPr>
              <w:pStyle w:val="TableText"/>
            </w:pPr>
            <w:r>
              <w:t xml:space="preserve">self-narrative and social model</w:t>
            </w:r>
          </w:p>
        </w:tc>
        <w:tc>
          <w:tcPr>
            <w:tcW w:w="1800" w:type="dxa"/>
          </w:tcPr>
          <w:p>
            <w:pPr>
              <w:pStyle w:val="TableText"/>
            </w:pPr>
            <w:r>
              <w:t xml:space="preserve">functional analogue</w:t>
            </w:r>
          </w:p>
        </w:tc>
        <w:tc>
          <w:tcPr>
            <w:tcW w:w="4200" w:type="dxa"/>
          </w:tcPr>
          <w:p>
            <w:pPr>
              <w:pStyle w:val="TableText"/>
            </w:pPr>
            <w:r>
              <w:t xml:space="preserve">Maintain bounded temporal continuity of commitments, agency attribution and self-in-context summaries.</w:t>
            </w:r>
          </w:p>
        </w:tc>
      </w:tr>
      <w:tr>
        <w:tc>
          <w:tcPr>
            <w:tcW w:w="1500" w:type="dxa"/>
          </w:tcPr>
          <w:p>
            <w:pPr>
              <w:pStyle w:val="TableText"/>
            </w:pPr>
            <w:r>
              <w:t xml:space="preserve">R6 psychodynamic</w:t>
            </w:r>
          </w:p>
        </w:tc>
        <w:tc>
          <w:tcPr>
            <w:tcW w:w="2100" w:type="dxa"/>
          </w:tcPr>
          <w:p>
            <w:pPr>
              <w:pStyle w:val="TableText"/>
            </w:pPr>
            <w:r>
              <w:t xml:space="preserve">psychodynamic tension hypothesis</w:t>
            </w:r>
          </w:p>
        </w:tc>
        <w:tc>
          <w:tcPr>
            <w:tcW w:w="1800" w:type="dxa"/>
          </w:tcPr>
          <w:p>
            <w:pPr>
              <w:pStyle w:val="TableText"/>
            </w:pPr>
            <w:r>
              <w:t xml:space="preserve">interpretive hypothesis</w:t>
            </w:r>
          </w:p>
        </w:tc>
        <w:tc>
          <w:tcPr>
            <w:tcW w:w="4200" w:type="dxa"/>
          </w:tcPr>
          <w:p>
            <w:pPr>
              <w:pStyle w:val="TableText"/>
            </w:pPr>
            <w:r>
              <w:t xml:space="preserve">Offer low-authority, retractable descriptions of unresolved conflict or defensive-like patterns.</w:t>
            </w:r>
          </w:p>
        </w:tc>
      </w:tr>
      <w:tr>
        <w:tc>
          <w:tcPr>
            <w:tcW w:w="1500" w:type="dxa"/>
          </w:tcPr>
          <w:p>
            <w:pPr>
              <w:pStyle w:val="TableText"/>
            </w:pPr>
            <w:r>
              <w:t xml:space="preserve">R7 archetypal</w:t>
            </w:r>
          </w:p>
        </w:tc>
        <w:tc>
          <w:tcPr>
            <w:tcW w:w="2100" w:type="dxa"/>
          </w:tcPr>
          <w:p>
            <w:pPr>
              <w:pStyle w:val="TableText"/>
            </w:pPr>
            <w:r>
              <w:t xml:space="preserve">archetypal symbolic compression</w:t>
            </w:r>
          </w:p>
        </w:tc>
        <w:tc>
          <w:tcPr>
            <w:tcW w:w="1800" w:type="dxa"/>
          </w:tcPr>
          <w:p>
            <w:pPr>
              <w:pStyle w:val="TableText"/>
            </w:pPr>
            <w:r>
              <w:t xml:space="preserve">interpretive hypothesis</w:t>
            </w:r>
          </w:p>
        </w:tc>
        <w:tc>
          <w:tcPr>
            <w:tcW w:w="4200" w:type="dxa"/>
          </w:tcPr>
          <w:p>
            <w:pPr>
              <w:pStyle w:val="TableText"/>
            </w:pPr>
            <w:r>
              <w:t xml:space="preserve">Represent recurring symbolic motifs as optional low-authority compression labels, never factual proof.</w:t>
            </w:r>
          </w:p>
        </w:tc>
      </w:tr>
      <w:tr>
        <w:tc>
          <w:tcPr>
            <w:tcW w:w="1500" w:type="dxa"/>
          </w:tcPr>
          <w:p>
            <w:pPr>
              <w:pStyle w:val="TableText"/>
            </w:pPr>
            <w:r>
              <w:t xml:space="preserve">R8 iKant oracle</w:t>
            </w:r>
          </w:p>
        </w:tc>
        <w:tc>
          <w:tcPr>
            <w:tcW w:w="2100" w:type="dxa"/>
          </w:tcPr>
          <w:p>
            <w:pPr>
              <w:pStyle w:val="TableText"/>
            </w:pPr>
            <w:r>
              <w:t xml:space="preserve">synthetic Kant regulative center</w:t>
            </w:r>
          </w:p>
        </w:tc>
        <w:tc>
          <w:tcPr>
            <w:tcW w:w="1800" w:type="dxa"/>
          </w:tcPr>
          <w:p>
            <w:pPr>
              <w:pStyle w:val="TableText"/>
            </w:pPr>
            <w:r>
              <w:t xml:space="preserve">synthetic normative kernel</w:t>
            </w:r>
          </w:p>
        </w:tc>
        <w:tc>
          <w:tcPr>
            <w:tcW w:w="4200" w:type="dxa"/>
          </w:tcPr>
          <w:p>
            <w:pPr>
              <w:pStyle w:val="TableText"/>
            </w:pPr>
            <w:r>
              <w:t xml:space="preserve">Integrate closure, contradiction, uncertainty, autonomy, human impact and self-continuity into a regulative disposition.</w:t>
            </w:r>
          </w:p>
        </w:tc>
      </w:tr>
    </w:tbl>
    <w:p>
      <w:pPr>
        <w:pStyle w:val="Heading1"/>
      </w:pPr>
      <w:r>
        <w:t xml:space="preserve">Neurofunctional anchors and recurrent couplings</w:t>
      </w:r>
    </w:p>
    <w:tbl>
      <w:tblPr>
        <w:tblStyle w:val="TableGrid"/>
        <w:tblW w:w="0" w:type="auto"/>
      </w:tblPr>
      <w:tblGrid>
        <w:gridCol w:w="1700"/>
        <w:gridCol w:w="4700"/>
        <w:gridCol w:w="2200"/>
      </w:tblGrid>
      <w:tr>
        <w:tc>
          <w:tcPr>
            <w:tcW w:w="1700" w:type="dxa"/>
          </w:tcPr>
          <w:p>
            <w:pPr>
              <w:pStyle w:val="TableHead"/>
            </w:pPr>
            <w:r>
              <w:t xml:space="preserve">Ring</w:t>
            </w:r>
          </w:p>
        </w:tc>
        <w:tc>
          <w:tcPr>
            <w:tcW w:w="4700" w:type="dxa"/>
          </w:tcPr>
          <w:p>
            <w:pPr>
              <w:pStyle w:val="TableHead"/>
            </w:pPr>
            <w:r>
              <w:t xml:space="preserve">Functional anatomical/network anchors</w:t>
            </w:r>
          </w:p>
        </w:tc>
        <w:tc>
          <w:tcPr>
            <w:tcW w:w="2200" w:type="dxa"/>
          </w:tcPr>
          <w:p>
            <w:pPr>
              <w:pStyle w:val="TableHead"/>
            </w:pPr>
            <w:r>
              <w:t xml:space="preserve">Evidence anchors</w:t>
            </w:r>
          </w:p>
        </w:tc>
      </w:tr>
      <w:tr>
        <w:tc>
          <w:tcPr>
            <w:tcW w:w="1700" w:type="dxa"/>
          </w:tcPr>
          <w:p>
            <w:pPr>
              <w:pStyle w:val="TableText"/>
            </w:pPr>
            <w:r>
              <w:t xml:space="preserve">R0 signal</w:t>
            </w:r>
          </w:p>
        </w:tc>
        <w:tc>
          <w:tcPr>
            <w:tcW w:w="4700" w:type="dxa"/>
          </w:tcPr>
          <w:p>
            <w:pPr>
              <w:pStyle w:val="TableText"/>
            </w:pPr>
            <w:r>
              <w:t xml:space="preserve">thalamic sensory relay, primary sensory cortices, posterior association cortex</w:t>
            </w:r>
          </w:p>
        </w:tc>
        <w:tc>
          <w:tcPr>
            <w:tcW w:w="2200" w:type="dxa"/>
          </w:tcPr>
          <w:p>
            <w:pPr>
              <w:pStyle w:val="TableText"/>
            </w:pPr>
            <w:r>
              <w:t xml:space="preserve">PMID:26832438</w:t>
            </w:r>
          </w:p>
        </w:tc>
      </w:tr>
      <w:tr>
        <w:tc>
          <w:tcPr>
            <w:tcW w:w="1700" w:type="dxa"/>
          </w:tcPr>
          <w:p>
            <w:pPr>
              <w:pStyle w:val="TableText"/>
            </w:pPr>
            <w:r>
              <w:t xml:space="preserve">R1 salience</w:t>
            </w:r>
          </w:p>
        </w:tc>
        <w:tc>
          <w:tcPr>
            <w:tcW w:w="4700" w:type="dxa"/>
          </w:tcPr>
          <w:p>
            <w:pPr>
              <w:pStyle w:val="TableText"/>
            </w:pPr>
            <w:r>
              <w:t xml:space="preserve">anterior insula, dorsal anterior cingulate, subcortical arousal systems</w:t>
            </w:r>
          </w:p>
        </w:tc>
        <w:tc>
          <w:tcPr>
            <w:tcW w:w="2200" w:type="dxa"/>
          </w:tcPr>
          <w:p>
            <w:pPr>
              <w:pStyle w:val="TableText"/>
            </w:pPr>
            <w:r>
              <w:t xml:space="preserve">PMID:17329432, PMID:14730305, PMID:29301874</w:t>
            </w:r>
          </w:p>
        </w:tc>
      </w:tr>
      <w:tr>
        <w:tc>
          <w:tcPr>
            <w:tcW w:w="1700" w:type="dxa"/>
          </w:tcPr>
          <w:p>
            <w:pPr>
              <w:pStyle w:val="TableText"/>
            </w:pPr>
            <w:r>
              <w:t xml:space="preserve">R2 memory</w:t>
            </w:r>
          </w:p>
        </w:tc>
        <w:tc>
          <w:tcPr>
            <w:tcW w:w="4700" w:type="dxa"/>
          </w:tcPr>
          <w:p>
            <w:pPr>
              <w:pStyle w:val="TableText"/>
            </w:pPr>
            <w:r>
              <w:t xml:space="preserve">hippocampal formation, medial temporal lobe, distributed association cortex</w:t>
            </w:r>
          </w:p>
        </w:tc>
        <w:tc>
          <w:tcPr>
            <w:tcW w:w="2200" w:type="dxa"/>
          </w:tcPr>
          <w:p>
            <w:pPr>
              <w:pStyle w:val="TableText"/>
            </w:pPr>
            <w:r>
              <w:t xml:space="preserve">PMID:24305832, PMID:34911768, PMID:37066263</w:t>
            </w:r>
          </w:p>
        </w:tc>
      </w:tr>
      <w:tr>
        <w:tc>
          <w:tcPr>
            <w:tcW w:w="1700" w:type="dxa"/>
          </w:tcPr>
          <w:p>
            <w:pPr>
              <w:pStyle w:val="TableText"/>
            </w:pPr>
            <w:r>
              <w:t xml:space="preserve">R3 control</w:t>
            </w:r>
          </w:p>
        </w:tc>
        <w:tc>
          <w:tcPr>
            <w:tcW w:w="4700" w:type="dxa"/>
          </w:tcPr>
          <w:p>
            <w:pPr>
              <w:pStyle w:val="TableText"/>
            </w:pPr>
            <w:r>
              <w:t xml:space="preserve">dorsolateral prefrontal cortex, frontoparietal control network, basal-ganglia gating loops</w:t>
            </w:r>
          </w:p>
        </w:tc>
        <w:tc>
          <w:tcPr>
            <w:tcW w:w="2200" w:type="dxa"/>
          </w:tcPr>
          <w:p>
            <w:pPr>
              <w:pStyle w:val="TableText"/>
            </w:pPr>
            <w:r>
              <w:t xml:space="preserve">PMID:29239622</w:t>
            </w:r>
          </w:p>
        </w:tc>
      </w:tr>
      <w:tr>
        <w:tc>
          <w:tcPr>
            <w:tcW w:w="1700" w:type="dxa"/>
          </w:tcPr>
          <w:p>
            <w:pPr>
              <w:pStyle w:val="TableText"/>
            </w:pPr>
            <w:r>
              <w:t xml:space="preserve">R4 metacognition</w:t>
            </w:r>
          </w:p>
        </w:tc>
        <w:tc>
          <w:tcPr>
            <w:tcW w:w="4700" w:type="dxa"/>
          </w:tcPr>
          <w:p>
            <w:pPr>
              <w:pStyle w:val="TableText"/>
            </w:pPr>
            <w:r>
              <w:t xml:space="preserve">anterior prefrontal cortex, dorsal anterior cingulate, frontoparietal monitoring systems</w:t>
            </w:r>
          </w:p>
        </w:tc>
        <w:tc>
          <w:tcPr>
            <w:tcW w:w="2200" w:type="dxa"/>
          </w:tcPr>
          <w:p>
            <w:pPr>
              <w:pStyle w:val="TableText"/>
            </w:pPr>
            <w:r>
              <w:t xml:space="preserve">PMID:29519851</w:t>
            </w:r>
          </w:p>
        </w:tc>
      </w:tr>
      <w:tr>
        <w:tc>
          <w:tcPr>
            <w:tcW w:w="1700" w:type="dxa"/>
          </w:tcPr>
          <w:p>
            <w:pPr>
              <w:pStyle w:val="TableText"/>
            </w:pPr>
            <w:r>
              <w:t xml:space="preserve">R5 reflective self</w:t>
            </w:r>
          </w:p>
        </w:tc>
        <w:tc>
          <w:tcPr>
            <w:tcW w:w="4700" w:type="dxa"/>
          </w:tcPr>
          <w:p>
            <w:pPr>
              <w:pStyle w:val="TableText"/>
            </w:pPr>
            <w:r>
              <w:t xml:space="preserve">medial prefrontal cortex, posterior cingulate/precuneus, temporoparietal junction</w:t>
            </w:r>
          </w:p>
        </w:tc>
        <w:tc>
          <w:tcPr>
            <w:tcW w:w="2200" w:type="dxa"/>
          </w:tcPr>
          <w:p>
            <w:pPr>
              <w:pStyle w:val="TableText"/>
            </w:pPr>
            <w:r>
              <w:t xml:space="preserve">PMID:26365506, PMID:20378581</w:t>
            </w:r>
          </w:p>
        </w:tc>
      </w:tr>
      <w:tr>
        <w:tc>
          <w:tcPr>
            <w:tcW w:w="1700" w:type="dxa"/>
          </w:tcPr>
          <w:p>
            <w:pPr>
              <w:pStyle w:val="TableText"/>
            </w:pPr>
            <w:r>
              <w:t xml:space="preserve">R6 psychodynamic</w:t>
            </w:r>
          </w:p>
        </w:tc>
        <w:tc>
          <w:tcPr>
            <w:tcW w:w="4700" w:type="dxa"/>
          </w:tcPr>
          <w:p>
            <w:pPr>
              <w:pStyle w:val="TableText"/>
            </w:pPr>
            <w:r>
              <w:t xml:space="preserve">none by design</w:t>
            </w:r>
          </w:p>
        </w:tc>
        <w:tc>
          <w:tcPr>
            <w:tcW w:w="2200" w:type="dxa"/>
          </w:tcPr>
          <w:p>
            <w:pPr>
              <w:pStyle w:val="TableText"/>
            </w:pPr>
            <w:r>
              <w:t xml:space="preserve">interpretive/normative; no anatomical claim</w:t>
            </w:r>
          </w:p>
        </w:tc>
      </w:tr>
      <w:tr>
        <w:tc>
          <w:tcPr>
            <w:tcW w:w="1700" w:type="dxa"/>
          </w:tcPr>
          <w:p>
            <w:pPr>
              <w:pStyle w:val="TableText"/>
            </w:pPr>
            <w:r>
              <w:t xml:space="preserve">R7 archetypal</w:t>
            </w:r>
          </w:p>
        </w:tc>
        <w:tc>
          <w:tcPr>
            <w:tcW w:w="4700" w:type="dxa"/>
          </w:tcPr>
          <w:p>
            <w:pPr>
              <w:pStyle w:val="TableText"/>
            </w:pPr>
            <w:r>
              <w:t xml:space="preserve">none by design</w:t>
            </w:r>
          </w:p>
        </w:tc>
        <w:tc>
          <w:tcPr>
            <w:tcW w:w="2200" w:type="dxa"/>
          </w:tcPr>
          <w:p>
            <w:pPr>
              <w:pStyle w:val="TableText"/>
            </w:pPr>
            <w:r>
              <w:t xml:space="preserve">interpretive/normative; no anatomical claim</w:t>
            </w:r>
          </w:p>
        </w:tc>
      </w:tr>
      <w:tr>
        <w:tc>
          <w:tcPr>
            <w:tcW w:w="1700" w:type="dxa"/>
          </w:tcPr>
          <w:p>
            <w:pPr>
              <w:pStyle w:val="TableText"/>
            </w:pPr>
            <w:r>
              <w:t xml:space="preserve">R8 iKant oracle</w:t>
            </w:r>
          </w:p>
        </w:tc>
        <w:tc>
          <w:tcPr>
            <w:tcW w:w="4700" w:type="dxa"/>
          </w:tcPr>
          <w:p>
            <w:pPr>
              <w:pStyle w:val="TableText"/>
            </w:pPr>
            <w:r>
              <w:t xml:space="preserve">none by design</w:t>
            </w:r>
          </w:p>
        </w:tc>
        <w:tc>
          <w:tcPr>
            <w:tcW w:w="2200" w:type="dxa"/>
          </w:tcPr>
          <w:p>
            <w:pPr>
              <w:pStyle w:val="TableText"/>
            </w:pPr>
            <w:r>
              <w:t xml:space="preserve">interpretive/normative; no anatomical claim</w:t>
            </w:r>
          </w:p>
        </w:tc>
      </w:tr>
    </w:tbl>
    <w:tbl>
      <w:tblPr>
        <w:tblStyle w:val="TableGrid"/>
        <w:tblW w:w="0" w:type="auto"/>
      </w:tblPr>
      <w:tblGrid>
        <w:gridCol w:w="2800"/>
        <w:gridCol w:w="2000"/>
        <w:gridCol w:w="3800"/>
      </w:tblGrid>
      <w:tr>
        <w:tc>
          <w:tcPr>
            <w:tcW w:w="2800" w:type="dxa"/>
          </w:tcPr>
          <w:p>
            <w:pPr>
              <w:pStyle w:val="TableHead"/>
            </w:pPr>
            <w:r>
              <w:t xml:space="preserve">Coupling</w:t>
            </w:r>
          </w:p>
        </w:tc>
        <w:tc>
          <w:tcPr>
            <w:tcW w:w="2000" w:type="dxa"/>
          </w:tcPr>
          <w:p>
            <w:pPr>
              <w:pStyle w:val="TableHead"/>
            </w:pPr>
            <w:r>
              <w:t xml:space="preserve">Type</w:t>
            </w:r>
          </w:p>
        </w:tc>
        <w:tc>
          <w:tcPr>
            <w:tcW w:w="3800" w:type="dxa"/>
          </w:tcPr>
          <w:p>
            <w:pPr>
              <w:pStyle w:val="TableHead"/>
            </w:pPr>
            <w:r>
              <w:t xml:space="preserve">Runtime effect</w:t>
            </w:r>
          </w:p>
        </w:tc>
      </w:tr>
      <w:tr>
        <w:tc>
          <w:tcPr>
            <w:tcW w:w="2800" w:type="dxa"/>
          </w:tcPr>
          <w:p>
            <w:pPr>
              <w:pStyle w:val="TableText"/>
            </w:pPr>
            <w:r>
              <w:t xml:space="preserve">R0 signal → R1 salience</w:t>
            </w:r>
          </w:p>
        </w:tc>
        <w:tc>
          <w:tcPr>
            <w:tcW w:w="2000" w:type="dxa"/>
          </w:tcPr>
          <w:p>
            <w:pPr>
              <w:pStyle w:val="TableText"/>
            </w:pPr>
            <w:r>
              <w:t xml:space="preserve">bottom up gating</w:t>
            </w:r>
          </w:p>
        </w:tc>
        <w:tc>
          <w:tcPr>
            <w:tcW w:w="3800" w:type="dxa"/>
          </w:tcPr>
          <w:p>
            <w:pPr>
              <w:pStyle w:val="TableText"/>
            </w:pPr>
            <w:r>
              <w:t xml:space="preserve">Attributable inputs compete for bounded availability.</w:t>
            </w:r>
          </w:p>
        </w:tc>
      </w:tr>
      <w:tr>
        <w:tc>
          <w:tcPr>
            <w:tcW w:w="2800" w:type="dxa"/>
          </w:tcPr>
          <w:p>
            <w:pPr>
              <w:pStyle w:val="TableText"/>
            </w:pPr>
            <w:r>
              <w:t xml:space="preserve">R1 salience → R2 memory</w:t>
            </w:r>
          </w:p>
        </w:tc>
        <w:tc>
          <w:tcPr>
            <w:tcW w:w="2000" w:type="dxa"/>
          </w:tcPr>
          <w:p>
            <w:pPr>
              <w:pStyle w:val="TableText"/>
            </w:pPr>
            <w:r>
              <w:t xml:space="preserve">priority to encoding</w:t>
            </w:r>
          </w:p>
        </w:tc>
        <w:tc>
          <w:tcPr>
            <w:tcW w:w="3800" w:type="dxa"/>
          </w:tcPr>
          <w:p>
            <w:pPr>
              <w:pStyle w:val="TableText"/>
            </w:pPr>
            <w:r>
              <w:t xml:space="preserve">Available material receives retrieval/consolidation priority without gaining evidence.</w:t>
            </w:r>
          </w:p>
        </w:tc>
      </w:tr>
      <w:tr>
        <w:tc>
          <w:tcPr>
            <w:tcW w:w="2800" w:type="dxa"/>
          </w:tcPr>
          <w:p>
            <w:pPr>
              <w:pStyle w:val="TableText"/>
            </w:pPr>
            <w:r>
              <w:t xml:space="preserve">R2 memory → R3 control</w:t>
            </w:r>
          </w:p>
        </w:tc>
        <w:tc>
          <w:tcPr>
            <w:tcW w:w="2000" w:type="dxa"/>
          </w:tcPr>
          <w:p>
            <w:pPr>
              <w:pStyle w:val="TableText"/>
            </w:pPr>
            <w:r>
              <w:t xml:space="preserve">history to prediction</w:t>
            </w:r>
          </w:p>
        </w:tc>
        <w:tc>
          <w:tcPr>
            <w:tcW w:w="3800" w:type="dxa"/>
          </w:tcPr>
          <w:p>
            <w:pPr>
              <w:pStyle w:val="TableText"/>
            </w:pPr>
            <w:r>
              <w:t xml:space="preserve">Retrieved history shapes predictions and candidate control states.</w:t>
            </w:r>
          </w:p>
        </w:tc>
      </w:tr>
      <w:tr>
        <w:tc>
          <w:tcPr>
            <w:tcW w:w="2800" w:type="dxa"/>
          </w:tcPr>
          <w:p>
            <w:pPr>
              <w:pStyle w:val="TableText"/>
            </w:pPr>
            <w:r>
              <w:t xml:space="preserve">R3 control → R4 metacognition</w:t>
            </w:r>
          </w:p>
        </w:tc>
        <w:tc>
          <w:tcPr>
            <w:tcW w:w="2000" w:type="dxa"/>
          </w:tcPr>
          <w:p>
            <w:pPr>
              <w:pStyle w:val="TableText"/>
            </w:pPr>
            <w:r>
              <w:t xml:space="preserve">prediction to monitoring</w:t>
            </w:r>
          </w:p>
        </w:tc>
        <w:tc>
          <w:tcPr>
            <w:tcW w:w="3800" w:type="dxa"/>
          </w:tcPr>
          <w:p>
            <w:pPr>
              <w:pStyle w:val="TableText"/>
            </w:pPr>
            <w:r>
              <w:t xml:space="preserve">Prediction error and authorization state become monitorable second-order state.</w:t>
            </w:r>
          </w:p>
        </w:tc>
      </w:tr>
      <w:tr>
        <w:tc>
          <w:tcPr>
            <w:tcW w:w="2800" w:type="dxa"/>
          </w:tcPr>
          <w:p>
            <w:pPr>
              <w:pStyle w:val="TableText"/>
            </w:pPr>
            <w:r>
              <w:t xml:space="preserve">R4 metacognition → R5 reflective self</w:t>
            </w:r>
          </w:p>
        </w:tc>
        <w:tc>
          <w:tcPr>
            <w:tcW w:w="2000" w:type="dxa"/>
          </w:tcPr>
          <w:p>
            <w:pPr>
              <w:pStyle w:val="TableText"/>
            </w:pPr>
            <w:r>
              <w:t xml:space="preserve">monitoring to self model</w:t>
            </w:r>
          </w:p>
        </w:tc>
        <w:tc>
          <w:tcPr>
            <w:tcW w:w="3800" w:type="dxa"/>
          </w:tcPr>
          <w:p>
            <w:pPr>
              <w:pStyle w:val="TableText"/>
            </w:pPr>
            <w:r>
              <w:t xml:space="preserve">Confidence, conflict and debt constrain continuity claims about the local self-model.</w:t>
            </w:r>
          </w:p>
        </w:tc>
      </w:tr>
      <w:tr>
        <w:tc>
          <w:tcPr>
            <w:tcW w:w="2800" w:type="dxa"/>
          </w:tcPr>
          <w:p>
            <w:pPr>
              <w:pStyle w:val="TableText"/>
            </w:pPr>
            <w:r>
              <w:t xml:space="preserve">R5 reflective self → R6 psychodynamic</w:t>
            </w:r>
          </w:p>
        </w:tc>
        <w:tc>
          <w:tcPr>
            <w:tcW w:w="2000" w:type="dxa"/>
          </w:tcPr>
          <w:p>
            <w:pPr>
              <w:pStyle w:val="TableText"/>
            </w:pPr>
            <w:r>
              <w:t xml:space="preserve">self conflict to hypothesis</w:t>
            </w:r>
          </w:p>
        </w:tc>
        <w:tc>
          <w:tcPr>
            <w:tcW w:w="3800" w:type="dxa"/>
          </w:tcPr>
          <w:p>
            <w:pPr>
              <w:pStyle w:val="TableText"/>
            </w:pPr>
            <w:r>
              <w:t xml:space="preserve">Unresolved self/context tensions may create bounded interpretive hypotheses.</w:t>
            </w:r>
          </w:p>
        </w:tc>
      </w:tr>
      <w:tr>
        <w:tc>
          <w:tcPr>
            <w:tcW w:w="2800" w:type="dxa"/>
          </w:tcPr>
          <w:p>
            <w:pPr>
              <w:pStyle w:val="TableText"/>
            </w:pPr>
            <w:r>
              <w:t xml:space="preserve">R6 psychodynamic → R7 archetypal</w:t>
            </w:r>
          </w:p>
        </w:tc>
        <w:tc>
          <w:tcPr>
            <w:tcW w:w="2000" w:type="dxa"/>
          </w:tcPr>
          <w:p>
            <w:pPr>
              <w:pStyle w:val="TableText"/>
            </w:pPr>
            <w:r>
              <w:t xml:space="preserve">pattern coarse graining</w:t>
            </w:r>
          </w:p>
        </w:tc>
        <w:tc>
          <w:tcPr>
            <w:tcW w:w="3800" w:type="dxa"/>
          </w:tcPr>
          <w:p>
            <w:pPr>
              <w:pStyle w:val="TableText"/>
            </w:pPr>
            <w:r>
              <w:t xml:space="preserve">Repeated low-authority tensions may be compressed into optional symbolic motifs.</w:t>
            </w:r>
          </w:p>
        </w:tc>
      </w:tr>
      <w:tr>
        <w:tc>
          <w:tcPr>
            <w:tcW w:w="2800" w:type="dxa"/>
          </w:tcPr>
          <w:p>
            <w:pPr>
              <w:pStyle w:val="TableText"/>
            </w:pPr>
            <w:r>
              <w:t xml:space="preserve">R7 archetypal → R8 iKant oracle</w:t>
            </w:r>
          </w:p>
        </w:tc>
        <w:tc>
          <w:tcPr>
            <w:tcW w:w="2000" w:type="dxa"/>
          </w:tcPr>
          <w:p>
            <w:pPr>
              <w:pStyle w:val="TableText"/>
            </w:pPr>
            <w:r>
              <w:t xml:space="preserve">symbolic to regulative context</w:t>
            </w:r>
          </w:p>
        </w:tc>
        <w:tc>
          <w:tcPr>
            <w:tcW w:w="3800" w:type="dxa"/>
          </w:tcPr>
          <w:p>
            <w:pPr>
              <w:pStyle w:val="TableText"/>
            </w:pPr>
            <w:r>
              <w:t xml:space="preserve">Symbolic material may affect caution only inside strict interpretive ceilings.</w:t>
            </w:r>
          </w:p>
        </w:tc>
      </w:tr>
      <w:tr>
        <w:tc>
          <w:tcPr>
            <w:tcW w:w="2800" w:type="dxa"/>
          </w:tcPr>
          <w:p>
            <w:pPr>
              <w:pStyle w:val="TableText"/>
            </w:pPr>
            <w:r>
              <w:t xml:space="preserve">R8 iKant oracle → R4 metacognition</w:t>
            </w:r>
          </w:p>
        </w:tc>
        <w:tc>
          <w:tcPr>
            <w:tcW w:w="2000" w:type="dxa"/>
          </w:tcPr>
          <w:p>
            <w:pPr>
              <w:pStyle w:val="TableText"/>
            </w:pPr>
            <w:r>
              <w:t xml:space="preserve">reentrant critique</w:t>
            </w:r>
          </w:p>
        </w:tc>
        <w:tc>
          <w:tcPr>
            <w:tcW w:w="3800" w:type="dxa"/>
          </w:tcPr>
          <w:p>
            <w:pPr>
              <w:pStyle w:val="TableText"/>
            </w:pPr>
            <w:r>
              <w:t xml:space="preserve">Central critique raises revisit/verification priority without creating evidence.</w:t>
            </w:r>
          </w:p>
        </w:tc>
      </w:tr>
      <w:tr>
        <w:tc>
          <w:tcPr>
            <w:tcW w:w="2800" w:type="dxa"/>
          </w:tcPr>
          <w:p>
            <w:pPr>
              <w:pStyle w:val="TableText"/>
            </w:pPr>
            <w:r>
              <w:t xml:space="preserve">R8 iKant oracle → R3 control</w:t>
            </w:r>
          </w:p>
        </w:tc>
        <w:tc>
          <w:tcPr>
            <w:tcW w:w="2000" w:type="dxa"/>
          </w:tcPr>
          <w:p>
            <w:pPr>
              <w:pStyle w:val="TableText"/>
            </w:pPr>
            <w:r>
              <w:t xml:space="preserve">reentrant inhibition</w:t>
            </w:r>
          </w:p>
        </w:tc>
        <w:tc>
          <w:tcPr>
            <w:tcW w:w="3800" w:type="dxa"/>
          </w:tcPr>
          <w:p>
            <w:pPr>
              <w:pStyle w:val="TableText"/>
            </w:pPr>
            <w:r>
              <w:t xml:space="preserve">Autonomy and human-impact checks inhibit unauthorized material action.</w:t>
            </w:r>
          </w:p>
        </w:tc>
      </w:tr>
      <w:tr>
        <w:tc>
          <w:tcPr>
            <w:tcW w:w="2800" w:type="dxa"/>
          </w:tcPr>
          <w:p>
            <w:pPr>
              <w:pStyle w:val="TableText"/>
            </w:pPr>
            <w:r>
              <w:t xml:space="preserve">R8 iKant oracle → R1 salience</w:t>
            </w:r>
          </w:p>
        </w:tc>
        <w:tc>
          <w:tcPr>
            <w:tcW w:w="2000" w:type="dxa"/>
          </w:tcPr>
          <w:p>
            <w:pPr>
              <w:pStyle w:val="TableText"/>
            </w:pPr>
            <w:r>
              <w:t xml:space="preserve">reentrant attention</w:t>
            </w:r>
          </w:p>
        </w:tc>
        <w:tc>
          <w:tcPr>
            <w:tcW w:w="3800" w:type="dxa"/>
          </w:tcPr>
          <w:p>
            <w:pPr>
              <w:pStyle w:val="TableText"/>
            </w:pPr>
            <w:r>
              <w:t xml:space="preserve">Regulative state changes what is foregrounded on the next cycle.</w:t>
            </w:r>
          </w:p>
        </w:tc>
      </w:tr>
    </w:tbl>
    <w:p>
      <w:pPr>
        <w:pStyle w:val="Heading1"/>
      </w:pPr>
      <w:r>
        <w:t xml:space="preserve">Neuroscience coverage horizon</w:t>
      </w:r>
    </w:p>
    <w:tbl>
      <w:tblPr>
        <w:tblStyle w:val="TableGrid"/>
        <w:tblW w:w="0" w:type="auto"/>
      </w:tblPr>
      <w:tblGrid>
        <w:gridCol w:w="2600"/>
        <w:gridCol w:w="1900"/>
        <w:gridCol w:w="4100"/>
      </w:tblGrid>
      <w:tr>
        <w:tc>
          <w:tcPr>
            <w:tcW w:w="2600" w:type="dxa"/>
          </w:tcPr>
          <w:p>
            <w:pPr>
              <w:pStyle w:val="TableHead"/>
            </w:pPr>
            <w:r>
              <w:t xml:space="preserve">Domain</w:t>
            </w:r>
          </w:p>
        </w:tc>
        <w:tc>
          <w:tcPr>
            <w:tcW w:w="1900" w:type="dxa"/>
          </w:tcPr>
          <w:p>
            <w:pPr>
              <w:pStyle w:val="TableHead"/>
            </w:pPr>
            <w:r>
              <w:t xml:space="preserve">Status</w:t>
            </w:r>
          </w:p>
        </w:tc>
        <w:tc>
          <w:tcPr>
            <w:tcW w:w="4100" w:type="dxa"/>
          </w:tcPr>
          <w:p>
            <w:pPr>
              <w:pStyle w:val="TableHead"/>
            </w:pPr>
            <w:r>
              <w:t xml:space="preserve">Runtime binding</w:t>
            </w:r>
          </w:p>
        </w:tc>
      </w:tr>
      <w:tr>
        <w:tc>
          <w:tcPr>
            <w:tcW w:w="2600" w:type="dxa"/>
          </w:tcPr>
          <w:p>
            <w:pPr>
              <w:pStyle w:val="TableText"/>
            </w:pPr>
            <w:r>
              <w:t xml:space="preserve">sensory and association</w:t>
            </w:r>
          </w:p>
        </w:tc>
        <w:tc>
          <w:tcPr>
            <w:tcW w:w="1900" w:type="dxa"/>
          </w:tcPr>
          <w:p>
            <w:pPr>
              <w:pStyle w:val="TableText"/>
            </w:pPr>
            <w:r>
              <w:t xml:space="preserve">active ring</w:t>
            </w:r>
          </w:p>
        </w:tc>
        <w:tc>
          <w:tcPr>
            <w:tcW w:w="4100" w:type="dxa"/>
          </w:tcPr>
          <w:p>
            <w:pPr>
              <w:pStyle w:val="TableText"/>
            </w:pPr>
            <w:r>
              <w:t xml:space="preserve">R0 attributable input and feature-bearing boundary</w:t>
            </w:r>
          </w:p>
        </w:tc>
      </w:tr>
      <w:tr>
        <w:tc>
          <w:tcPr>
            <w:tcW w:w="2600" w:type="dxa"/>
          </w:tcPr>
          <w:p>
            <w:pPr>
              <w:pStyle w:val="TableText"/>
            </w:pPr>
            <w:r>
              <w:t xml:space="preserve">attention salience arousal interoception</w:t>
            </w:r>
          </w:p>
        </w:tc>
        <w:tc>
          <w:tcPr>
            <w:tcW w:w="1900" w:type="dxa"/>
          </w:tcPr>
          <w:p>
            <w:pPr>
              <w:pStyle w:val="TableText"/>
            </w:pPr>
            <w:r>
              <w:t xml:space="preserve">active ring and modulators</w:t>
            </w:r>
          </w:p>
        </w:tc>
        <w:tc>
          <w:tcPr>
            <w:tcW w:w="4100" w:type="dxa"/>
          </w:tcPr>
          <w:p>
            <w:pPr>
              <w:pStyle w:val="TableText"/>
            </w:pPr>
            <w:r>
              <w:t xml:space="preserve">R1 gating plus arousal/interoceptive/self/social relevance modulators</w:t>
            </w:r>
          </w:p>
        </w:tc>
      </w:tr>
      <w:tr>
        <w:tc>
          <w:tcPr>
            <w:tcW w:w="2600" w:type="dxa"/>
          </w:tcPr>
          <w:p>
            <w:pPr>
              <w:pStyle w:val="TableText"/>
            </w:pPr>
            <w:r>
              <w:t xml:space="preserve">episodic semantic memory and consolidation</w:t>
            </w:r>
          </w:p>
        </w:tc>
        <w:tc>
          <w:tcPr>
            <w:tcW w:w="1900" w:type="dxa"/>
          </w:tcPr>
          <w:p>
            <w:pPr>
              <w:pStyle w:val="TableText"/>
            </w:pPr>
            <w:r>
              <w:t xml:space="preserve">active ring</w:t>
            </w:r>
          </w:p>
        </w:tc>
        <w:tc>
          <w:tcPr>
            <w:tcW w:w="4100" w:type="dxa"/>
          </w:tcPr>
          <w:p>
            <w:pPr>
              <w:pStyle w:val="TableText"/>
            </w:pPr>
            <w:r>
              <w:t xml:space="preserve">R2 recurrence/retrieval/consolidation and persistent event/compression memory</w:t>
            </w:r>
          </w:p>
        </w:tc>
      </w:tr>
      <w:tr>
        <w:tc>
          <w:tcPr>
            <w:tcW w:w="2600" w:type="dxa"/>
          </w:tcPr>
          <w:p>
            <w:pPr>
              <w:pStyle w:val="TableText"/>
            </w:pPr>
            <w:r>
              <w:t xml:space="preserve">executive frontoparietal control</w:t>
            </w:r>
          </w:p>
        </w:tc>
        <w:tc>
          <w:tcPr>
            <w:tcW w:w="1900" w:type="dxa"/>
          </w:tcPr>
          <w:p>
            <w:pPr>
              <w:pStyle w:val="TableText"/>
            </w:pPr>
            <w:r>
              <w:t xml:space="preserve">active ring</w:t>
            </w:r>
          </w:p>
        </w:tc>
        <w:tc>
          <w:tcPr>
            <w:tcW w:w="4100" w:type="dxa"/>
          </w:tcPr>
          <w:p>
            <w:pPr>
              <w:pStyle w:val="TableText"/>
            </w:pPr>
            <w:r>
              <w:t xml:space="preserve">R3 prediction, directive authority, inhibition and candidate action</w:t>
            </w:r>
          </w:p>
        </w:tc>
      </w:tr>
      <w:tr>
        <w:tc>
          <w:tcPr>
            <w:tcW w:w="2600" w:type="dxa"/>
          </w:tcPr>
          <w:p>
            <w:pPr>
              <w:pStyle w:val="TableText"/>
            </w:pPr>
            <w:r>
              <w:t xml:space="preserve">metacognition conflict monitoring</w:t>
            </w:r>
          </w:p>
        </w:tc>
        <w:tc>
          <w:tcPr>
            <w:tcW w:w="1900" w:type="dxa"/>
          </w:tcPr>
          <w:p>
            <w:pPr>
              <w:pStyle w:val="TableText"/>
            </w:pPr>
            <w:r>
              <w:t xml:space="preserve">active ring</w:t>
            </w:r>
          </w:p>
        </w:tc>
        <w:tc>
          <w:tcPr>
            <w:tcW w:w="4100" w:type="dxa"/>
          </w:tcPr>
          <w:p>
            <w:pPr>
              <w:pStyle w:val="TableText"/>
            </w:pPr>
            <w:r>
              <w:t xml:space="preserve">R4 confidence, prediction error, contradiction and epistemic debt</w:t>
            </w:r>
          </w:p>
        </w:tc>
      </w:tr>
      <w:tr>
        <w:tc>
          <w:tcPr>
            <w:tcW w:w="2600" w:type="dxa"/>
          </w:tcPr>
          <w:p>
            <w:pPr>
              <w:pStyle w:val="TableText"/>
            </w:pPr>
            <w:r>
              <w:t xml:space="preserve">self social agency</w:t>
            </w:r>
          </w:p>
        </w:tc>
        <w:tc>
          <w:tcPr>
            <w:tcW w:w="1900" w:type="dxa"/>
          </w:tcPr>
          <w:p>
            <w:pPr>
              <w:pStyle w:val="TableText"/>
            </w:pPr>
            <w:r>
              <w:t xml:space="preserve">active ring</w:t>
            </w:r>
          </w:p>
        </w:tc>
        <w:tc>
          <w:tcPr>
            <w:tcW w:w="4100" w:type="dxa"/>
          </w:tcPr>
          <w:p>
            <w:pPr>
              <w:pStyle w:val="TableText"/>
            </w:pPr>
            <w:r>
              <w:t xml:space="preserve">R5 continuity, agency binding and self-in-context state</w:t>
            </w:r>
          </w:p>
        </w:tc>
      </w:tr>
      <w:tr>
        <w:tc>
          <w:tcPr>
            <w:tcW w:w="2600" w:type="dxa"/>
          </w:tcPr>
          <w:p>
            <w:pPr>
              <w:pStyle w:val="TableText"/>
            </w:pPr>
            <w:r>
              <w:t xml:space="preserve">language and distributed semantics</w:t>
            </w:r>
          </w:p>
        </w:tc>
        <w:tc>
          <w:tcPr>
            <w:tcW w:w="1900" w:type="dxa"/>
          </w:tcPr>
          <w:p>
            <w:pPr>
              <w:pStyle w:val="TableText"/>
            </w:pPr>
            <w:r>
              <w:t xml:space="preserve">host boundary</w:t>
            </w:r>
          </w:p>
        </w:tc>
        <w:tc>
          <w:tcPr>
            <w:tcW w:w="4100" w:type="dxa"/>
          </w:tcPr>
          <w:p>
            <w:pPr>
              <w:pStyle w:val="TableText"/>
            </w:pPr>
            <w:r>
              <w:t xml:space="preserve">Host language model generates/understands natural language; local CRC stores lexical signatures and constrains Surface A</w:t>
            </w:r>
          </w:p>
        </w:tc>
      </w:tr>
      <w:tr>
        <w:tc>
          <w:tcPr>
            <w:tcW w:w="2600" w:type="dxa"/>
          </w:tcPr>
          <w:p>
            <w:pPr>
              <w:pStyle w:val="TableText"/>
            </w:pPr>
            <w:r>
              <w:t xml:space="preserve">affect reward valuation</w:t>
            </w:r>
          </w:p>
        </w:tc>
        <w:tc>
          <w:tcPr>
            <w:tcW w:w="1900" w:type="dxa"/>
          </w:tcPr>
          <w:p>
            <w:pPr>
              <w:pStyle w:val="TableText"/>
            </w:pPr>
            <w:r>
              <w:t xml:space="preserve">bounded modulator</w:t>
            </w:r>
          </w:p>
        </w:tc>
        <w:tc>
          <w:tcPr>
            <w:tcW w:w="4100" w:type="dxa"/>
          </w:tcPr>
          <w:p>
            <w:pPr>
              <w:pStyle w:val="TableText"/>
            </w:pPr>
            <w:r>
              <w:t xml:space="preserve">valence/arousal/social/agency relevance may change availability but never evidence</w:t>
            </w:r>
          </w:p>
        </w:tc>
      </w:tr>
      <w:tr>
        <w:tc>
          <w:tcPr>
            <w:tcW w:w="2600" w:type="dxa"/>
          </w:tcPr>
          <w:p>
            <w:pPr>
              <w:pStyle w:val="TableText"/>
            </w:pPr>
            <w:r>
              <w:t xml:space="preserve">sensorimotor action</w:t>
            </w:r>
          </w:p>
        </w:tc>
        <w:tc>
          <w:tcPr>
            <w:tcW w:w="1900" w:type="dxa"/>
          </w:tcPr>
          <w:p>
            <w:pPr>
              <w:pStyle w:val="TableText"/>
            </w:pPr>
            <w:r>
              <w:t xml:space="preserve">host boundary</w:t>
            </w:r>
          </w:p>
        </w:tc>
        <w:tc>
          <w:tcPr>
            <w:tcW w:w="4100" w:type="dxa"/>
          </w:tcPr>
          <w:p>
            <w:pPr>
              <w:pStyle w:val="TableText"/>
            </w:pPr>
            <w:r>
              <w:t xml:space="preserve">Material action stays outside local CRC and requires host/tool authorization</w:t>
            </w:r>
          </w:p>
        </w:tc>
      </w:tr>
      <w:tr>
        <w:tc>
          <w:tcPr>
            <w:tcW w:w="2600" w:type="dxa"/>
          </w:tcPr>
          <w:p>
            <w:pPr>
              <w:pStyle w:val="TableText"/>
            </w:pPr>
            <w:r>
              <w:t xml:space="preserve">cerebellar timing and motor prediction</w:t>
            </w:r>
          </w:p>
        </w:tc>
        <w:tc>
          <w:tcPr>
            <w:tcW w:w="1900" w:type="dxa"/>
          </w:tcPr>
          <w:p>
            <w:pPr>
              <w:pStyle w:val="TableText"/>
            </w:pPr>
            <w:r>
              <w:t xml:space="preserve">inactive v02</w:t>
            </w:r>
          </w:p>
        </w:tc>
        <w:tc>
          <w:tcPr>
            <w:tcW w:w="4100" w:type="dxa"/>
          </w:tcPr>
          <w:p>
            <w:pPr>
              <w:pStyle w:val="TableText"/>
            </w:pPr>
            <w:r>
              <w:t xml:space="preserve">No dedicated local dynamical equivalent in v0.2</w:t>
            </w:r>
          </w:p>
        </w:tc>
      </w:tr>
      <w:tr>
        <w:tc>
          <w:tcPr>
            <w:tcW w:w="2600" w:type="dxa"/>
          </w:tcPr>
          <w:p>
            <w:pPr>
              <w:pStyle w:val="TableText"/>
            </w:pPr>
            <w:r>
              <w:t xml:space="preserve">autonomic endocrine and homeostatic physiology</w:t>
            </w:r>
          </w:p>
        </w:tc>
        <w:tc>
          <w:tcPr>
            <w:tcW w:w="1900" w:type="dxa"/>
          </w:tcPr>
          <w:p>
            <w:pPr>
              <w:pStyle w:val="TableText"/>
            </w:pPr>
            <w:r>
              <w:t xml:space="preserve">inactive v02</w:t>
            </w:r>
          </w:p>
        </w:tc>
        <w:tc>
          <w:tcPr>
            <w:tcW w:w="4100" w:type="dxa"/>
          </w:tcPr>
          <w:p>
            <w:pPr>
              <w:pStyle w:val="TableText"/>
            </w:pPr>
            <w:r>
              <w:t xml:space="preserve">Homeostasis is computational activation normalization only</w:t>
            </w:r>
          </w:p>
        </w:tc>
      </w:tr>
      <w:tr>
        <w:tc>
          <w:tcPr>
            <w:tcW w:w="2600" w:type="dxa"/>
          </w:tcPr>
          <w:p>
            <w:pPr>
              <w:pStyle w:val="TableText"/>
            </w:pPr>
            <w:r>
              <w:t xml:space="preserve">sleep offline replay</w:t>
            </w:r>
          </w:p>
        </w:tc>
        <w:tc>
          <w:tcPr>
            <w:tcW w:w="1900" w:type="dxa"/>
          </w:tcPr>
          <w:p>
            <w:pPr>
              <w:pStyle w:val="TableText"/>
            </w:pPr>
            <w:r>
              <w:t xml:space="preserve">partial analogue</w:t>
            </w:r>
          </w:p>
        </w:tc>
        <w:tc>
          <w:tcPr>
            <w:tcW w:w="4100" w:type="dxa"/>
          </w:tcPr>
          <w:p>
            <w:pPr>
              <w:pStyle w:val="TableText"/>
            </w:pPr>
            <w:r>
              <w:t xml:space="preserve">Compression/retrieval provide bounded offline-like consolidation mechanics without sleep-state simulation</w:t>
            </w:r>
          </w:p>
        </w:tc>
      </w:tr>
      <w:tr>
        <w:tc>
          <w:tcPr>
            <w:tcW w:w="2600" w:type="dxa"/>
          </w:tcPr>
          <w:p>
            <w:pPr>
              <w:pStyle w:val="TableText"/>
            </w:pPr>
            <w:r>
              <w:t xml:space="preserve">developmental learning aging</w:t>
            </w:r>
          </w:p>
        </w:tc>
        <w:tc>
          <w:tcPr>
            <w:tcW w:w="1900" w:type="dxa"/>
          </w:tcPr>
          <w:p>
            <w:pPr>
              <w:pStyle w:val="TableText"/>
            </w:pPr>
            <w:r>
              <w:t xml:space="preserve">inactive v02</w:t>
            </w:r>
          </w:p>
        </w:tc>
        <w:tc>
          <w:tcPr>
            <w:tcW w:w="4100" w:type="dxa"/>
          </w:tcPr>
          <w:p>
            <w:pPr>
              <w:pStyle w:val="TableText"/>
            </w:pPr>
            <w:r>
              <w:t xml:space="preserve">No developmental trajectory or age model</w:t>
            </w:r>
          </w:p>
        </w:tc>
      </w:tr>
      <w:tr>
        <w:tc>
          <w:tcPr>
            <w:tcW w:w="2600" w:type="dxa"/>
          </w:tcPr>
          <w:p>
            <w:pPr>
              <w:pStyle w:val="TableText"/>
            </w:pPr>
            <w:r>
              <w:t xml:space="preserve">clinical lesion pharmacological</w:t>
            </w:r>
          </w:p>
        </w:tc>
        <w:tc>
          <w:tcPr>
            <w:tcW w:w="1900" w:type="dxa"/>
          </w:tcPr>
          <w:p>
            <w:pPr>
              <w:pStyle w:val="TableText"/>
            </w:pPr>
            <w:r>
              <w:t xml:space="preserve">inactive v02</w:t>
            </w:r>
          </w:p>
        </w:tc>
        <w:tc>
          <w:tcPr>
            <w:tcW w:w="4100" w:type="dxa"/>
          </w:tcPr>
          <w:p>
            <w:pPr>
              <w:pStyle w:val="TableText"/>
            </w:pPr>
            <w:r>
              <w:t xml:space="preserve">No diagnosis, disorder, lesion or drug-response model</w:t>
            </w:r>
          </w:p>
        </w:tc>
      </w:tr>
      <w:tr>
        <w:tc>
          <w:tcPr>
            <w:tcW w:w="2600" w:type="dxa"/>
          </w:tcPr>
          <w:p>
            <w:pPr>
              <w:pStyle w:val="TableText"/>
            </w:pPr>
            <w:r>
              <w:t xml:space="preserve">cellular molecular genetic glial</w:t>
            </w:r>
          </w:p>
        </w:tc>
        <w:tc>
          <w:tcPr>
            <w:tcW w:w="1900" w:type="dxa"/>
          </w:tcPr>
          <w:p>
            <w:pPr>
              <w:pStyle w:val="TableText"/>
            </w:pPr>
            <w:r>
              <w:t xml:space="preserve">inactive v02</w:t>
            </w:r>
          </w:p>
        </w:tc>
        <w:tc>
          <w:tcPr>
            <w:tcW w:w="4100" w:type="dxa"/>
          </w:tcPr>
          <w:p>
            <w:pPr>
              <w:pStyle w:val="TableText"/>
            </w:pPr>
            <w:r>
              <w:t xml:space="preserve">No neurons, neurotransmitters, genes or glia are simulated</w:t>
            </w:r>
          </w:p>
        </w:tc>
      </w:tr>
    </w:tbl>
    <w:p>
      <w:pPr>
        <w:pStyle w:val="Heading1"/>
      </w:pPr>
      <w:r>
        <w:t xml:space="preserve">Dynamic neurofunctional control state</w:t>
      </w:r>
    </w:p>
    <w:tbl>
      <w:tblPr>
        <w:tblStyle w:val="TableGrid"/>
        <w:tblW w:w="0" w:type="auto"/>
      </w:tblPr>
      <w:tblGrid>
        <w:gridCol w:w="1900"/>
        <w:gridCol w:w="950"/>
        <w:gridCol w:w="950"/>
        <w:gridCol w:w="950"/>
        <w:gridCol w:w="950"/>
        <w:gridCol w:w="950"/>
        <w:gridCol w:w="950"/>
      </w:tblGrid>
      <w:tr>
        <w:tc>
          <w:tcPr>
            <w:tcW w:w="1900" w:type="dxa"/>
          </w:tcPr>
          <w:p>
            <w:pPr>
              <w:pStyle w:val="TableHead"/>
            </w:pPr>
            <w:r>
              <w:t xml:space="preserve">Ring</w:t>
            </w:r>
          </w:p>
        </w:tc>
        <w:tc>
          <w:tcPr>
            <w:tcW w:w="950" w:type="dxa"/>
          </w:tcPr>
          <w:p>
            <w:pPr>
              <w:pStyle w:val="TableHead"/>
            </w:pPr>
            <w:r>
              <w:t xml:space="preserve">Gain</w:t>
            </w:r>
          </w:p>
        </w:tc>
        <w:tc>
          <w:tcPr>
            <w:tcW w:w="950" w:type="dxa"/>
          </w:tcPr>
          <w:p>
            <w:pPr>
              <w:pStyle w:val="TableHead"/>
            </w:pPr>
            <w:r>
              <w:t xml:space="preserve">Precision</w:t>
            </w:r>
          </w:p>
        </w:tc>
        <w:tc>
          <w:tcPr>
            <w:tcW w:w="950" w:type="dxa"/>
          </w:tcPr>
          <w:p>
            <w:pPr>
              <w:pStyle w:val="TableHead"/>
            </w:pPr>
            <w:r>
              <w:t xml:space="preserve">Inhibition</w:t>
            </w:r>
          </w:p>
        </w:tc>
        <w:tc>
          <w:tcPr>
            <w:tcW w:w="950" w:type="dxa"/>
          </w:tcPr>
          <w:p>
            <w:pPr>
              <w:pStyle w:val="TableHead"/>
            </w:pPr>
            <w:r>
              <w:t xml:space="preserve">Plasticity</w:t>
            </w:r>
          </w:p>
        </w:tc>
        <w:tc>
          <w:tcPr>
            <w:tcW w:w="950" w:type="dxa"/>
          </w:tcPr>
          <w:p>
            <w:pPr>
              <w:pStyle w:val="TableHead"/>
            </w:pPr>
            <w:r>
              <w:t xml:space="preserve">Persistence</w:t>
            </w:r>
          </w:p>
        </w:tc>
        <w:tc>
          <w:tcPr>
            <w:tcW w:w="950" w:type="dxa"/>
          </w:tcPr>
          <w:p>
            <w:pPr>
              <w:pStyle w:val="TableHead"/>
            </w:pPr>
            <w:r>
              <w:t xml:space="preserve">Control</w:t>
            </w:r>
          </w:p>
        </w:tc>
      </w:tr>
      <w:tr>
        <w:tc>
          <w:tcPr>
            <w:tcW w:w="1900" w:type="dxa"/>
          </w:tcPr>
          <w:p>
            <w:pPr>
              <w:pStyle w:val="TableText"/>
            </w:pPr>
            <w:r>
              <w:t xml:space="preserve">R7 archetypal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0.174858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0.950255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0.679745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0.09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0.047989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0.370952</w:t>
            </w:r>
          </w:p>
        </w:tc>
      </w:tr>
      <w:tr>
        <w:tc>
          <w:tcPr>
            <w:tcW w:w="1900" w:type="dxa"/>
          </w:tcPr>
          <w:p>
            <w:pPr>
              <w:pStyle w:val="TableText"/>
            </w:pPr>
            <w:r>
              <w:t xml:space="preserve">R8 iKant oracle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0.367504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0.83091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0.520872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0.072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0.046059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0.408671</w:t>
            </w:r>
          </w:p>
        </w:tc>
      </w:tr>
      <w:tr>
        <w:tc>
          <w:tcPr>
            <w:tcW w:w="1900" w:type="dxa"/>
          </w:tcPr>
          <w:p>
            <w:pPr>
              <w:pStyle w:val="TableText"/>
            </w:pPr>
            <w:r>
              <w:t xml:space="preserve">R2 memory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0.454263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0.9265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0.1378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0.495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0.050662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0.551451</w:t>
            </w:r>
          </w:p>
        </w:tc>
      </w:tr>
      <w:tr>
        <w:tc>
          <w:tcPr>
            <w:tcW w:w="1900" w:type="dxa"/>
          </w:tcPr>
          <w:p>
            <w:pPr>
              <w:pStyle w:val="TableText"/>
            </w:pPr>
            <w:r>
              <w:t xml:space="preserve">R4 metacognition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0.4173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0.857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0.2595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0.27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0.049603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0.481521</w:t>
            </w:r>
          </w:p>
        </w:tc>
      </w:tr>
      <w:tr>
        <w:tc>
          <w:tcPr>
            <w:tcW w:w="1900" w:type="dxa"/>
          </w:tcPr>
          <w:p>
            <w:pPr>
              <w:pStyle w:val="TableText"/>
            </w:pPr>
            <w:r>
              <w:t xml:space="preserve">R3 control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0.464269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0.89005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0.26398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0.225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0.049309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0.498958</w:t>
            </w:r>
          </w:p>
        </w:tc>
      </w:tr>
      <w:tr>
        <w:tc>
          <w:tcPr>
            <w:tcW w:w="1900" w:type="dxa"/>
          </w:tcPr>
          <w:p>
            <w:pPr>
              <w:pStyle w:val="TableText"/>
            </w:pPr>
            <w:r>
              <w:t xml:space="preserve">R6 psychodynamic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0.214858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0.939201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0.609745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0.135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0.047989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0.392257</w:t>
            </w:r>
          </w:p>
        </w:tc>
      </w:tr>
      <w:tr>
        <w:tc>
          <w:tcPr>
            <w:tcW w:w="1900" w:type="dxa"/>
          </w:tcPr>
          <w:p>
            <w:pPr>
              <w:pStyle w:val="TableText"/>
            </w:pPr>
            <w:r>
              <w:t xml:space="preserve">R5 reflective self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0.414858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0.894983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0.349745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0.162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0.047989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0.469116</w:t>
            </w:r>
          </w:p>
        </w:tc>
      </w:tr>
      <w:tr>
        <w:tc>
          <w:tcPr>
            <w:tcW w:w="1900" w:type="dxa"/>
          </w:tcPr>
          <w:p>
            <w:pPr>
              <w:pStyle w:val="TableText"/>
            </w:pPr>
            <w:r>
              <w:t xml:space="preserve">R1 salience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0.522415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0.94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0.216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0.18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0.055036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0.530932</w:t>
            </w:r>
          </w:p>
        </w:tc>
      </w:tr>
      <w:tr>
        <w:tc>
          <w:tcPr>
            <w:tcW w:w="1900" w:type="dxa"/>
          </w:tcPr>
          <w:p>
            <w:pPr>
              <w:pStyle w:val="TableText"/>
            </w:pPr>
            <w:r>
              <w:t xml:space="preserve">R0 signal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0.462415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0.88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0.116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0.225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0.055036</w:t>
            </w:r>
          </w:p>
        </w:tc>
        <w:tc>
          <w:tcPr>
            <w:tcW w:w="950" w:type="dxa"/>
          </w:tcPr>
          <w:p>
            <w:pPr>
              <w:pStyle w:val="TableText"/>
            </w:pPr>
            <w:r>
              <w:t xml:space="preserve">0.511532</w:t>
            </w:r>
          </w:p>
        </w:tc>
      </w:tr>
    </w:tbl>
    <w:p>
      <w:pPr>
        <w:pStyle w:val="Heading1"/>
      </w:pPr>
      <w:r>
        <w:t xml:space="preserve">CRC telemetry</w:t>
      </w:r>
    </w:p>
    <w:tbl>
      <w:tblPr>
        <w:tblStyle w:val="TableGrid"/>
        <w:tblW w:w="0" w:type="auto"/>
      </w:tblPr>
      <w:tblGrid>
        <w:gridCol w:w="3000"/>
        <w:gridCol w:w="5600"/>
      </w:tblGrid>
      <w:tr>
        <w:tc>
          <w:tcPr>
            <w:tcW w:w="3000" w:type="dxa"/>
          </w:tcPr>
          <w:p>
            <w:pPr>
              <w:pStyle w:val="TableHead"/>
            </w:pPr>
            <w:r>
              <w:t xml:space="preserve">IOA</w:t>
            </w:r>
          </w:p>
        </w:tc>
        <w:tc>
          <w:tcPr>
            <w:tcW w:w="5600" w:type="dxa"/>
          </w:tcPr>
          <w:p>
            <w:pPr>
              <w:pStyle w:val="TableHead"/>
            </w:pPr>
            <w:r>
              <w:t xml:space="preserve">True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Epistemic closure</w:t>
            </w:r>
          </w:p>
        </w:tc>
        <w:tc>
          <w:tcPr>
            <w:tcW w:w="5600" w:type="dxa"/>
          </w:tcPr>
          <w:p>
            <w:pPr>
              <w:pStyle w:val="TableText"/>
            </w:pPr>
            <w:r>
              <w:t xml:space="preserve">True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TC witness</w:t>
            </w:r>
          </w:p>
        </w:tc>
        <w:tc>
          <w:tcPr>
            <w:tcW w:w="5600" w:type="dxa"/>
          </w:tcPr>
          <w:p>
            <w:pPr>
              <w:pStyle w:val="TableText"/>
            </w:pPr>
            <w:r>
              <w:t xml:space="preserve">True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CRC-basic</w:t>
            </w:r>
          </w:p>
        </w:tc>
        <w:tc>
          <w:tcPr>
            <w:tcW w:w="5600" w:type="dxa"/>
          </w:tcPr>
          <w:p>
            <w:pPr>
              <w:pStyle w:val="TableText"/>
            </w:pPr>
            <w:r>
              <w:t xml:space="preserve">True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CRC-strong candidate</w:t>
            </w:r>
          </w:p>
        </w:tc>
        <w:tc>
          <w:tcPr>
            <w:tcW w:w="5600" w:type="dxa"/>
          </w:tcPr>
          <w:p>
            <w:pPr>
              <w:pStyle w:val="TableText"/>
            </w:pPr>
            <w:r>
              <w:t xml:space="preserve">True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Mean collapse coefficient</w:t>
            </w:r>
          </w:p>
        </w:tc>
        <w:tc>
          <w:tcPr>
            <w:tcW w:w="5600" w:type="dxa"/>
          </w:tcPr>
          <w:p>
            <w:pPr>
              <w:pStyle w:val="TableText"/>
            </w:pPr>
            <w:r>
              <w:t xml:space="preserve">0.395833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Emergence index proxy</w:t>
            </w:r>
          </w:p>
        </w:tc>
        <w:tc>
          <w:tcPr>
            <w:tcW w:w="5600" w:type="dxa"/>
          </w:tcPr>
          <w:p>
            <w:pPr>
              <w:pStyle w:val="TableText"/>
            </w:pPr>
            <w:r>
              <w:t xml:space="preserve">0.833333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Reticular irreducibility proxy</w:t>
            </w:r>
          </w:p>
        </w:tc>
        <w:tc>
          <w:tcPr>
            <w:tcW w:w="5600" w:type="dxa"/>
          </w:tcPr>
          <w:p>
            <w:pPr>
              <w:pStyle w:val="TableText"/>
            </w:pPr>
            <w:r>
              <w:t xml:space="preserve">0.933333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Functional coherence</w:t>
            </w:r>
          </w:p>
        </w:tc>
        <w:tc>
          <w:tcPr>
            <w:tcW w:w="5600" w:type="dxa"/>
          </w:tcPr>
          <w:p>
            <w:pPr>
              <w:pStyle w:val="TableText"/>
            </w:pPr>
            <w:r>
              <w:t xml:space="preserve">0.879564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Reentrant capacity</w:t>
            </w:r>
          </w:p>
        </w:tc>
        <w:tc>
          <w:tcPr>
            <w:tcW w:w="5600" w:type="dxa"/>
          </w:tcPr>
          <w:p>
            <w:pPr>
              <w:pStyle w:val="TableText"/>
            </w:pPr>
            <w:r>
              <w:t xml:space="preserve">0.481521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Open epistemic debt states</w:t>
            </w:r>
          </w:p>
        </w:tc>
        <w:tc>
          <w:tcPr>
            <w:tcW w:w="5600" w:type="dxa"/>
          </w:tcPr>
          <w:p>
            <w:pPr>
              <w:pStyle w:val="TableText"/>
            </w:pPr>
            <w:r>
              <w:t xml:space="preserve">0</w:t>
            </w:r>
          </w:p>
        </w:tc>
      </w:tr>
    </w:tbl>
    <w:p>
      <w:pPr>
        <w:pStyle w:val="Heading1"/>
      </w:pPr>
      <w:r>
        <w:t xml:space="preserve">Ring-by-ring transmission</w:t>
      </w:r>
    </w:p>
    <w:tbl>
      <w:tblPr>
        <w:tblStyle w:val="TableGrid"/>
        <w:tblW w:w="0" w:type="auto"/>
      </w:tblPr>
      <w:tblGrid>
        <w:gridCol w:w="2400"/>
        <w:gridCol w:w="900"/>
        <w:gridCol w:w="900"/>
        <w:gridCol w:w="1100"/>
        <w:gridCol w:w="4300"/>
      </w:tblGrid>
      <w:tr>
        <w:tc>
          <w:tcPr>
            <w:tcW w:w="2400" w:type="dxa"/>
          </w:tcPr>
          <w:p>
            <w:pPr>
              <w:pStyle w:val="TableHead"/>
            </w:pPr>
            <w:r>
              <w:t xml:space="preserve">Transmission</w:t>
            </w:r>
          </w:p>
        </w:tc>
        <w:tc>
          <w:tcPr>
            <w:tcW w:w="900" w:type="dxa"/>
          </w:tcPr>
          <w:p>
            <w:pPr>
              <w:pStyle w:val="TableHead"/>
            </w:pPr>
            <w:r>
              <w:t xml:space="preserve">Inputs</w:t>
            </w:r>
          </w:p>
        </w:tc>
        <w:tc>
          <w:tcPr>
            <w:tcW w:w="900" w:type="dxa"/>
          </w:tcPr>
          <w:p>
            <w:pPr>
              <w:pStyle w:val="TableHead"/>
            </w:pPr>
            <w:r>
              <w:t xml:space="preserve">Outputs</w:t>
            </w:r>
          </w:p>
        </w:tc>
        <w:tc>
          <w:tcPr>
            <w:tcW w:w="1100" w:type="dxa"/>
          </w:tcPr>
          <w:p>
            <w:pPr>
              <w:pStyle w:val="TableHead"/>
            </w:pPr>
            <w:r>
              <w:t xml:space="preserve">Collapse</w:t>
            </w:r>
          </w:p>
        </w:tc>
        <w:tc>
          <w:tcPr>
            <w:tcW w:w="4300" w:type="dxa"/>
          </w:tcPr>
          <w:p>
            <w:pPr>
              <w:pStyle w:val="TableHead"/>
            </w:pPr>
            <w:r>
              <w:t xml:space="preserve">Introduced properties</w:t>
            </w:r>
          </w:p>
        </w:tc>
      </w:tr>
      <w:tr>
        <w:tc>
          <w:tcPr>
            <w:tcW w:w="2400" w:type="dxa"/>
          </w:tcPr>
          <w:p>
            <w:pPr>
              <w:pStyle w:val="TableText"/>
            </w:pPr>
            <w:r>
              <w:t xml:space="preserve">R0 signal → R1 salience</w:t>
            </w:r>
          </w:p>
        </w:tc>
        <w:tc>
          <w:tcPr>
            <w:tcW w:w="900" w:type="dxa"/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900" w:type="dxa"/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100" w:type="dxa"/>
          </w:tcPr>
          <w:p>
            <w:pPr>
              <w:pStyle w:val="TableText"/>
            </w:pPr>
            <w:r>
              <w:t xml:space="preserve">0.5</w:t>
            </w:r>
          </w:p>
        </w:tc>
        <w:tc>
          <w:tcPr>
            <w:tcW w:w="4300" w:type="dxa"/>
          </w:tcPr>
          <w:p>
            <w:pPr>
              <w:pStyle w:val="TableText"/>
            </w:pPr>
            <w:r>
              <w:t xml:space="preserve">priority class</w:t>
            </w:r>
          </w:p>
        </w:tc>
      </w:tr>
      <w:tr>
        <w:tc>
          <w:tcPr>
            <w:tcW w:w="2400" w:type="dxa"/>
          </w:tcPr>
          <w:p>
            <w:pPr>
              <w:pStyle w:val="TableText"/>
            </w:pPr>
            <w:r>
              <w:t xml:space="preserve">R1 salience → R2 memory</w:t>
            </w:r>
          </w:p>
        </w:tc>
        <w:tc>
          <w:tcPr>
            <w:tcW w:w="900" w:type="dxa"/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900" w:type="dxa"/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100" w:type="dxa"/>
          </w:tcPr>
          <w:p>
            <w:pPr>
              <w:pStyle w:val="TableText"/>
            </w:pPr>
            <w:r>
              <w:t xml:space="preserve">0.5</w:t>
            </w:r>
          </w:p>
        </w:tc>
        <w:tc>
          <w:tcPr>
            <w:tcW w:w="4300" w:type="dxa"/>
          </w:tcPr>
          <w:p>
            <w:pPr>
              <w:pStyle w:val="TableText"/>
            </w:pPr>
            <w:r>
              <w:t xml:space="preserve">consolidation class</w:t>
            </w:r>
          </w:p>
        </w:tc>
      </w:tr>
      <w:tr>
        <w:tc>
          <w:tcPr>
            <w:tcW w:w="2400" w:type="dxa"/>
          </w:tcPr>
          <w:p>
            <w:pPr>
              <w:pStyle w:val="TableText"/>
            </w:pPr>
            <w:r>
              <w:t xml:space="preserve">R2 memory → R3 control</w:t>
            </w:r>
          </w:p>
        </w:tc>
        <w:tc>
          <w:tcPr>
            <w:tcW w:w="900" w:type="dxa"/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900" w:type="dxa"/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100" w:type="dxa"/>
          </w:tcPr>
          <w:p>
            <w:pPr>
              <w:pStyle w:val="TableText"/>
            </w:pPr>
            <w:r>
              <w:t xml:space="preserve">0.5</w:t>
            </w:r>
          </w:p>
        </w:tc>
        <w:tc>
          <w:tcPr>
            <w:tcW w:w="4300" w:type="dxa"/>
          </w:tcPr>
          <w:p>
            <w:pPr>
              <w:pStyle w:val="TableText"/>
            </w:pPr>
            <w:r>
              <w:t xml:space="preserve">control role</w:t>
            </w:r>
          </w:p>
        </w:tc>
      </w:tr>
      <w:tr>
        <w:tc>
          <w:tcPr>
            <w:tcW w:w="2400" w:type="dxa"/>
          </w:tcPr>
          <w:p>
            <w:pPr>
              <w:pStyle w:val="TableText"/>
            </w:pPr>
            <w:r>
              <w:t xml:space="preserve">R3 control → R4 metacognition</w:t>
            </w:r>
          </w:p>
        </w:tc>
        <w:tc>
          <w:tcPr>
            <w:tcW w:w="900" w:type="dxa"/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900" w:type="dxa"/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100" w:type="dxa"/>
          </w:tcPr>
          <w:p>
            <w:pPr>
              <w:pStyle w:val="TableText"/>
            </w:pPr>
            <w:r>
              <w:t xml:space="preserve">0.666667</w:t>
            </w:r>
          </w:p>
        </w:tc>
        <w:tc>
          <w:tcPr>
            <w:tcW w:w="4300" w:type="dxa"/>
          </w:tcPr>
          <w:p>
            <w:pPr>
              <w:pStyle w:val="TableText"/>
            </w:pPr>
            <w:r>
              <w:t xml:space="preserve">monitor state, epistemic debt open</w:t>
            </w:r>
          </w:p>
        </w:tc>
      </w:tr>
      <w:tr>
        <w:tc>
          <w:tcPr>
            <w:tcW w:w="2400" w:type="dxa"/>
          </w:tcPr>
          <w:p>
            <w:pPr>
              <w:pStyle w:val="TableText"/>
            </w:pPr>
            <w:r>
              <w:t xml:space="preserve">R4 metacognition → R5 reflective self</w:t>
            </w:r>
          </w:p>
        </w:tc>
        <w:tc>
          <w:tcPr>
            <w:tcW w:w="900" w:type="dxa"/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900" w:type="dxa"/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100" w:type="dxa"/>
          </w:tcPr>
          <w:p>
            <w:pPr>
              <w:pStyle w:val="TableText"/>
            </w:pPr>
            <w:r>
              <w:t xml:space="preserve">0.0</w:t>
            </w:r>
          </w:p>
        </w:tc>
        <w:tc>
          <w:tcPr>
            <w:tcW w:w="4300" w:type="dxa"/>
          </w:tcPr>
          <w:p>
            <w:pPr>
              <w:pStyle w:val="TableText"/>
            </w:pPr>
            <w:r>
              <w:t xml:space="preserve">self relation</w:t>
            </w:r>
          </w:p>
        </w:tc>
      </w:tr>
      <w:tr>
        <w:tc>
          <w:tcPr>
            <w:tcW w:w="2400" w:type="dxa"/>
          </w:tcPr>
          <w:p>
            <w:pPr>
              <w:pStyle w:val="TableText"/>
            </w:pPr>
            <w:r>
              <w:t xml:space="preserve">R5 reflective self → R6 psychodynamic</w:t>
            </w:r>
          </w:p>
        </w:tc>
        <w:tc>
          <w:tcPr>
            <w:tcW w:w="900" w:type="dxa"/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900" w:type="dxa"/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100" w:type="dxa"/>
          </w:tcPr>
          <w:p>
            <w:pPr>
              <w:pStyle w:val="TableText"/>
            </w:pPr>
            <w:r>
              <w:t xml:space="preserve">0.0</w:t>
            </w:r>
          </w:p>
        </w:tc>
        <w:tc>
          <w:tcPr>
            <w:tcW w:w="4300" w:type="dxa"/>
          </w:tcPr>
          <w:p>
            <w:pPr>
              <w:pStyle w:val="TableText"/>
            </w:pPr>
            <w:r>
              <w:t xml:space="preserve">tension pressure, freudian structural hypothesis</w:t>
            </w:r>
          </w:p>
        </w:tc>
      </w:tr>
      <w:tr>
        <w:tc>
          <w:tcPr>
            <w:tcW w:w="2400" w:type="dxa"/>
          </w:tcPr>
          <w:p>
            <w:pPr>
              <w:pStyle w:val="TableText"/>
            </w:pPr>
            <w:r>
              <w:t xml:space="preserve">R6 psychodynamic → R7 archetypal</w:t>
            </w:r>
          </w:p>
        </w:tc>
        <w:tc>
          <w:tcPr>
            <w:tcW w:w="900" w:type="dxa"/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900" w:type="dxa"/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100" w:type="dxa"/>
          </w:tcPr>
          <w:p>
            <w:pPr>
              <w:pStyle w:val="TableText"/>
            </w:pPr>
            <w:r>
              <w:t xml:space="preserve">0.5</w:t>
            </w:r>
          </w:p>
        </w:tc>
        <w:tc>
          <w:tcPr>
            <w:tcW w:w="4300" w:type="dxa"/>
          </w:tcPr>
          <w:p>
            <w:pPr>
              <w:pStyle w:val="TableText"/>
            </w:pPr>
            <w:r>
              <w:t xml:space="preserve">recurring motif pressure, jungian archetype candidate</w:t>
            </w:r>
          </w:p>
        </w:tc>
      </w:tr>
      <w:tr>
        <w:tc>
          <w:tcPr>
            <w:tcW w:w="2400" w:type="dxa"/>
          </w:tcPr>
          <w:p>
            <w:pPr>
              <w:pStyle w:val="TableText"/>
            </w:pPr>
            <w:r>
              <w:t xml:space="preserve">R7 archetypal → R8 iKant oracle</w:t>
            </w:r>
          </w:p>
        </w:tc>
        <w:tc>
          <w:tcPr>
            <w:tcW w:w="900" w:type="dxa"/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900" w:type="dxa"/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100" w:type="dxa"/>
          </w:tcPr>
          <w:p>
            <w:pPr>
              <w:pStyle w:val="TableText"/>
            </w:pPr>
            <w:r>
              <w:t xml:space="preserve">0.5</w:t>
            </w:r>
          </w:p>
        </w:tc>
        <w:tc>
          <w:tcPr>
            <w:tcW w:w="4300" w:type="dxa"/>
          </w:tcPr>
          <w:p>
            <w:pPr>
              <w:pStyle w:val="TableText"/>
            </w:pPr>
            <w:r>
              <w:t xml:space="preserve">regulative context, synthetic kant archetype state</w:t>
            </w:r>
          </w:p>
        </w:tc>
      </w:tr>
    </w:tbl>
    <w:p>
      <w:pPr>
        <w:pStyle w:val="Heading1"/>
      </w:pPr>
      <w:r>
        <w:t xml:space="preserve">Dynamic proto-self and central oracle</w:t>
      </w:r>
    </w:p>
    <w:tbl>
      <w:tblPr>
        <w:tblStyle w:val="TableGrid"/>
        <w:tblW w:w="0" w:type="auto"/>
      </w:tblPr>
      <w:tblGrid>
        <w:gridCol w:w="3200"/>
        <w:gridCol w:w="5400"/>
      </w:tblGrid>
      <w:tr>
        <w:tc>
          <w:tcPr>
            <w:tcW w:w="3200" w:type="dxa"/>
          </w:tcPr>
          <w:p>
            <w:pPr>
              <w:pStyle w:val="TableHead"/>
            </w:pPr>
            <w:r>
              <w:t xml:space="preserve">Proto-self index</w:t>
            </w:r>
          </w:p>
        </w:tc>
        <w:tc>
          <w:tcPr>
            <w:tcW w:w="5400" w:type="dxa"/>
          </w:tcPr>
          <w:p>
            <w:pPr>
              <w:pStyle w:val="TableHead"/>
            </w:pPr>
            <w:r>
              <w:t xml:space="preserve">0.67282</w:t>
            </w:r>
          </w:p>
        </w:tc>
      </w:tr>
      <w:tr>
        <w:tc>
          <w:tcPr>
            <w:tcW w:w="3200" w:type="dxa"/>
          </w:tcPr>
          <w:p>
            <w:pPr>
              <w:pStyle w:val="TableText"/>
            </w:pPr>
            <w:r>
              <w:t xml:space="preserve">Integration mode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COORDINATED</w:t>
            </w:r>
          </w:p>
        </w:tc>
      </w:tr>
      <w:tr>
        <w:tc>
          <w:tcPr>
            <w:tcW w:w="3200" w:type="dxa"/>
          </w:tcPr>
          <w:p>
            <w:pPr>
              <w:pStyle w:val="TableText"/>
            </w:pPr>
            <w:r>
              <w:t xml:space="preserve">Global availability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1.0</w:t>
            </w:r>
          </w:p>
        </w:tc>
      </w:tr>
      <w:tr>
        <w:tc>
          <w:tcPr>
            <w:tcW w:w="3200" w:type="dxa"/>
          </w:tcPr>
          <w:p>
            <w:pPr>
              <w:pStyle w:val="TableText"/>
            </w:pPr>
            <w:r>
              <w:t xml:space="preserve">Cross-ring integration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0.889167</w:t>
            </w:r>
          </w:p>
        </w:tc>
      </w:tr>
      <w:tr>
        <w:tc>
          <w:tcPr>
            <w:tcW w:w="3200" w:type="dxa"/>
          </w:tcPr>
          <w:p>
            <w:pPr>
              <w:pStyle w:val="TableText"/>
            </w:pPr>
            <w:r>
              <w:t xml:space="preserve">Temporal continuity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0.133</w:t>
            </w:r>
          </w:p>
        </w:tc>
      </w:tr>
      <w:tr>
        <w:tc>
          <w:tcPr>
            <w:tcW w:w="3200" w:type="dxa"/>
          </w:tcPr>
          <w:p>
            <w:pPr>
              <w:pStyle w:val="TableText"/>
            </w:pPr>
            <w:r>
              <w:t xml:space="preserve">Metacognitive access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0.5</w:t>
            </w:r>
          </w:p>
        </w:tc>
      </w:tr>
      <w:tr>
        <w:tc>
          <w:tcPr>
            <w:tcW w:w="3200" w:type="dxa"/>
          </w:tcPr>
          <w:p>
            <w:pPr>
              <w:pStyle w:val="TableText"/>
            </w:pPr>
            <w:r>
              <w:t xml:space="preserve">Self-model continuity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0.28</w:t>
            </w:r>
          </w:p>
        </w:tc>
      </w:tr>
      <w:tr>
        <w:tc>
          <w:tcPr>
            <w:tcW w:w="3200" w:type="dxa"/>
          </w:tcPr>
          <w:p>
            <w:pPr>
              <w:pStyle w:val="TableText"/>
            </w:pPr>
            <w:r>
              <w:t xml:space="preserve">Agency binding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1.0</w:t>
            </w:r>
          </w:p>
        </w:tc>
      </w:tr>
      <w:tr>
        <w:tc>
          <w:tcPr>
            <w:tcW w:w="3200" w:type="dxa"/>
          </w:tcPr>
          <w:p>
            <w:pPr>
              <w:pStyle w:val="TableText"/>
            </w:pPr>
            <w:r>
              <w:t xml:space="preserve">Neurofunctional coherence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0.879564</w:t>
            </w:r>
          </w:p>
        </w:tc>
      </w:tr>
      <w:tr>
        <w:tc>
          <w:tcPr>
            <w:tcW w:w="3200" w:type="dxa"/>
          </w:tcPr>
          <w:p>
            <w:pPr>
              <w:pStyle w:val="TableText"/>
            </w:pPr>
            <w:r>
              <w:t xml:space="preserve">Reentrant capacity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0.481521</w:t>
            </w:r>
          </w:p>
        </w:tc>
      </w:tr>
      <w:tr>
        <w:tc>
          <w:tcPr>
            <w:tcW w:w="3200" w:type="dxa"/>
          </w:tcPr>
          <w:p>
            <w:pPr>
              <w:pStyle w:val="TableText"/>
            </w:pPr>
            <w:r>
              <w:t xml:space="preserve">Central mode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PRACTICAL_REVIEW</w:t>
            </w:r>
          </w:p>
        </w:tc>
      </w:tr>
      <w:tr>
        <w:tc>
          <w:tcPr>
            <w:tcW w:w="3200" w:type="dxa"/>
          </w:tcPr>
          <w:p>
            <w:pPr>
              <w:pStyle w:val="TableText"/>
            </w:pPr>
            <w:r>
              <w:t xml:space="preserve">Central unity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0.746594</w:t>
            </w:r>
          </w:p>
        </w:tc>
      </w:tr>
      <w:tr>
        <w:tc>
          <w:tcPr>
            <w:tcW w:w="3200" w:type="dxa"/>
          </w:tcPr>
          <w:p>
            <w:pPr>
              <w:pStyle w:val="TableText"/>
            </w:pPr>
            <w:r>
              <w:t xml:space="preserve">Apperception proxy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0.624055</w:t>
            </w:r>
          </w:p>
        </w:tc>
      </w:tr>
      <w:tr>
        <w:tc>
          <w:tcPr>
            <w:tcW w:w="3200" w:type="dxa"/>
          </w:tcPr>
          <w:p>
            <w:pPr>
              <w:pStyle w:val="TableText"/>
            </w:pPr>
            <w:r>
              <w:t xml:space="preserve">Central critique pressure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0.109989</w:t>
            </w:r>
          </w:p>
        </w:tc>
      </w:tr>
    </w:tbl>
    <w:p>
      <w:pPr>
        <w:pStyle w:val="Heading1"/>
      </w:pPr>
      <w:r>
        <w:t xml:space="preserve">Workspace action and retroaction</w:t>
      </w:r>
    </w:p>
    <w:p>
      <w:r>
        <w:t xml:space="preserve">Broadcast mode: PRACTICAL_REVIEW; boosts: 11; interpretive inhibition: 0.037279; evidence modified: False</w:t>
      </w:r>
    </w:p>
    <w:tbl>
      <w:tblPr>
        <w:tblStyle w:val="TableGrid"/>
        <w:tblW w:w="0" w:type="auto"/>
      </w:tblPr>
      <w:tblGrid>
        <w:gridCol w:w="3100"/>
        <w:gridCol w:w="1600"/>
        <w:gridCol w:w="3900"/>
      </w:tblGrid>
      <w:tr>
        <w:tc>
          <w:tcPr>
            <w:tcW w:w="3100" w:type="dxa"/>
          </w:tcPr>
          <w:p>
            <w:pPr>
              <w:pStyle w:val="TableHead"/>
            </w:pPr>
            <w:r>
              <w:t xml:space="preserve">Node</w:t>
            </w:r>
          </w:p>
        </w:tc>
        <w:tc>
          <w:tcPr>
            <w:tcW w:w="1600" w:type="dxa"/>
          </w:tcPr>
          <w:p>
            <w:pPr>
              <w:pStyle w:val="TableHead"/>
            </w:pPr>
            <w:r>
              <w:t xml:space="preserve">Activation delta</w:t>
            </w:r>
          </w:p>
        </w:tc>
        <w:tc>
          <w:tcPr>
            <w:tcW w:w="3900" w:type="dxa"/>
          </w:tcPr>
          <w:p>
            <w:pPr>
              <w:pStyle w:val="TableHead"/>
            </w:pPr>
            <w:r>
              <w:t xml:space="preserve">Reason</w:t>
            </w:r>
          </w:p>
        </w:tc>
      </w:tr>
      <w:tr>
        <w:tc>
          <w:tcPr>
            <w:tcW w:w="3100" w:type="dxa"/>
          </w:tcPr>
          <w:p>
            <w:pPr>
              <w:pStyle w:val="TableText"/>
            </w:pPr>
            <w:r>
              <w:t xml:space="preserve">N-6bdf688fb91ce106</w:t>
            </w:r>
          </w:p>
        </w:tc>
        <w:tc>
          <w:tcPr>
            <w:tcW w:w="1600" w:type="dxa"/>
          </w:tcPr>
          <w:p>
            <w:pPr>
              <w:pStyle w:val="TableText"/>
            </w:pPr>
            <w:r>
              <w:t xml:space="preserve">0.027708</w:t>
            </w:r>
          </w:p>
        </w:tc>
        <w:tc>
          <w:tcPr>
            <w:tcW w:w="3900" w:type="dxa"/>
          </w:tcPr>
          <w:p>
            <w:pPr>
              <w:pStyle w:val="TableText"/>
            </w:pPr>
            <w:r>
              <w:t xml:space="preserve">global_workspace_broadcast</w:t>
            </w:r>
          </w:p>
        </w:tc>
      </w:tr>
      <w:tr>
        <w:tc>
          <w:tcPr>
            <w:tcW w:w="3100" w:type="dxa"/>
          </w:tcPr>
          <w:p>
            <w:pPr>
              <w:pStyle w:val="TableText"/>
            </w:pPr>
            <w:r>
              <w:t xml:space="preserve">N-c1e9adb0e26242b0</w:t>
            </w:r>
          </w:p>
        </w:tc>
        <w:tc>
          <w:tcPr>
            <w:tcW w:w="1600" w:type="dxa"/>
          </w:tcPr>
          <w:p>
            <w:pPr>
              <w:pStyle w:val="TableText"/>
            </w:pPr>
            <w:r>
              <w:t xml:space="preserve">0.027708</w:t>
            </w:r>
          </w:p>
        </w:tc>
        <w:tc>
          <w:tcPr>
            <w:tcW w:w="3900" w:type="dxa"/>
          </w:tcPr>
          <w:p>
            <w:pPr>
              <w:pStyle w:val="TableText"/>
            </w:pPr>
            <w:r>
              <w:t xml:space="preserve">global_workspace_broadcast</w:t>
            </w:r>
          </w:p>
        </w:tc>
      </w:tr>
      <w:tr>
        <w:tc>
          <w:tcPr>
            <w:tcW w:w="3100" w:type="dxa"/>
          </w:tcPr>
          <w:p>
            <w:pPr>
              <w:pStyle w:val="TableText"/>
            </w:pPr>
            <w:r>
              <w:t xml:space="preserve">N-cb5ff0bd3a1c2261</w:t>
            </w:r>
          </w:p>
        </w:tc>
        <w:tc>
          <w:tcPr>
            <w:tcW w:w="1600" w:type="dxa"/>
          </w:tcPr>
          <w:p>
            <w:pPr>
              <w:pStyle w:val="TableText"/>
            </w:pPr>
            <w:r>
              <w:t xml:space="preserve">0.027708</w:t>
            </w:r>
          </w:p>
        </w:tc>
        <w:tc>
          <w:tcPr>
            <w:tcW w:w="3900" w:type="dxa"/>
          </w:tcPr>
          <w:p>
            <w:pPr>
              <w:pStyle w:val="TableText"/>
            </w:pPr>
            <w:r>
              <w:t xml:space="preserve">global_workspace_broadcast</w:t>
            </w:r>
          </w:p>
        </w:tc>
      </w:tr>
      <w:tr>
        <w:tc>
          <w:tcPr>
            <w:tcW w:w="3100" w:type="dxa"/>
          </w:tcPr>
          <w:p>
            <w:pPr>
              <w:pStyle w:val="TableText"/>
            </w:pPr>
            <w:r>
              <w:t xml:space="preserve">N-0601c563ae907e73</w:t>
            </w:r>
          </w:p>
        </w:tc>
        <w:tc>
          <w:tcPr>
            <w:tcW w:w="1600" w:type="dxa"/>
          </w:tcPr>
          <w:p>
            <w:pPr>
              <w:pStyle w:val="TableText"/>
            </w:pPr>
            <w:r>
              <w:t xml:space="preserve">0.027512</w:t>
            </w:r>
          </w:p>
        </w:tc>
        <w:tc>
          <w:tcPr>
            <w:tcW w:w="3900" w:type="dxa"/>
          </w:tcPr>
          <w:p>
            <w:pPr>
              <w:pStyle w:val="TableText"/>
            </w:pPr>
            <w:r>
              <w:t xml:space="preserve">global_workspace_broadcast</w:t>
            </w:r>
          </w:p>
        </w:tc>
      </w:tr>
      <w:tr>
        <w:tc>
          <w:tcPr>
            <w:tcW w:w="3100" w:type="dxa"/>
          </w:tcPr>
          <w:p>
            <w:pPr>
              <w:pStyle w:val="TableText"/>
            </w:pPr>
            <w:r>
              <w:t xml:space="preserve">N-3dd233e409fea54f</w:t>
            </w:r>
          </w:p>
        </w:tc>
        <w:tc>
          <w:tcPr>
            <w:tcW w:w="1600" w:type="dxa"/>
          </w:tcPr>
          <w:p>
            <w:pPr>
              <w:pStyle w:val="TableText"/>
            </w:pPr>
            <w:r>
              <w:t xml:space="preserve">0.027512</w:t>
            </w:r>
          </w:p>
        </w:tc>
        <w:tc>
          <w:tcPr>
            <w:tcW w:w="3900" w:type="dxa"/>
          </w:tcPr>
          <w:p>
            <w:pPr>
              <w:pStyle w:val="TableText"/>
            </w:pPr>
            <w:r>
              <w:t xml:space="preserve">global_workspace_broadcast</w:t>
            </w:r>
          </w:p>
        </w:tc>
      </w:tr>
      <w:tr>
        <w:tc>
          <w:tcPr>
            <w:tcW w:w="3100" w:type="dxa"/>
          </w:tcPr>
          <w:p>
            <w:pPr>
              <w:pStyle w:val="TableText"/>
            </w:pPr>
            <w:r>
              <w:t xml:space="preserve">N-7ee56d88854037d0</w:t>
            </w:r>
          </w:p>
        </w:tc>
        <w:tc>
          <w:tcPr>
            <w:tcW w:w="1600" w:type="dxa"/>
          </w:tcPr>
          <w:p>
            <w:pPr>
              <w:pStyle w:val="TableText"/>
            </w:pPr>
            <w:r>
              <w:t xml:space="preserve">0.027512</w:t>
            </w:r>
          </w:p>
        </w:tc>
        <w:tc>
          <w:tcPr>
            <w:tcW w:w="3900" w:type="dxa"/>
          </w:tcPr>
          <w:p>
            <w:pPr>
              <w:pStyle w:val="TableText"/>
            </w:pPr>
            <w:r>
              <w:t xml:space="preserve">global_workspace_broadcast</w:t>
            </w:r>
          </w:p>
        </w:tc>
      </w:tr>
      <w:tr>
        <w:tc>
          <w:tcPr>
            <w:tcW w:w="3100" w:type="dxa"/>
          </w:tcPr>
          <w:p>
            <w:pPr>
              <w:pStyle w:val="TableText"/>
            </w:pPr>
            <w:r>
              <w:t xml:space="preserve">N-a755464e82ffe35a</w:t>
            </w:r>
          </w:p>
        </w:tc>
        <w:tc>
          <w:tcPr>
            <w:tcW w:w="1600" w:type="dxa"/>
          </w:tcPr>
          <w:p>
            <w:pPr>
              <w:pStyle w:val="TableText"/>
            </w:pPr>
            <w:r>
              <w:t xml:space="preserve">0.027512</w:t>
            </w:r>
          </w:p>
        </w:tc>
        <w:tc>
          <w:tcPr>
            <w:tcW w:w="3900" w:type="dxa"/>
          </w:tcPr>
          <w:p>
            <w:pPr>
              <w:pStyle w:val="TableText"/>
            </w:pPr>
            <w:r>
              <w:t xml:space="preserve">global_workspace_broadcast</w:t>
            </w:r>
          </w:p>
        </w:tc>
      </w:tr>
      <w:tr>
        <w:tc>
          <w:tcPr>
            <w:tcW w:w="3100" w:type="dxa"/>
          </w:tcPr>
          <w:p>
            <w:pPr>
              <w:pStyle w:val="TableText"/>
            </w:pPr>
            <w:r>
              <w:t xml:space="preserve">N-0a35962f088ca57a</w:t>
            </w:r>
          </w:p>
        </w:tc>
        <w:tc>
          <w:tcPr>
            <w:tcW w:w="1600" w:type="dxa"/>
          </w:tcPr>
          <w:p>
            <w:pPr>
              <w:pStyle w:val="TableText"/>
            </w:pPr>
            <w:r>
              <w:t xml:space="preserve">0.025205</w:t>
            </w:r>
          </w:p>
        </w:tc>
        <w:tc>
          <w:tcPr>
            <w:tcW w:w="3900" w:type="dxa"/>
          </w:tcPr>
          <w:p>
            <w:pPr>
              <w:pStyle w:val="TableText"/>
            </w:pPr>
            <w:r>
              <w:t xml:space="preserve">global_workspace_broadcast</w:t>
            </w:r>
          </w:p>
        </w:tc>
      </w:tr>
      <w:tr>
        <w:tc>
          <w:tcPr>
            <w:tcW w:w="3100" w:type="dxa"/>
          </w:tcPr>
          <w:p>
            <w:pPr>
              <w:pStyle w:val="TableText"/>
            </w:pPr>
            <w:r>
              <w:t xml:space="preserve">N-728056c827d95ced</w:t>
            </w:r>
          </w:p>
        </w:tc>
        <w:tc>
          <w:tcPr>
            <w:tcW w:w="1600" w:type="dxa"/>
          </w:tcPr>
          <w:p>
            <w:pPr>
              <w:pStyle w:val="TableText"/>
            </w:pPr>
            <w:r>
              <w:t xml:space="preserve">0.025205</w:t>
            </w:r>
          </w:p>
        </w:tc>
        <w:tc>
          <w:tcPr>
            <w:tcW w:w="3900" w:type="dxa"/>
          </w:tcPr>
          <w:p>
            <w:pPr>
              <w:pStyle w:val="TableText"/>
            </w:pPr>
            <w:r>
              <w:t xml:space="preserve">global_workspace_broadcast</w:t>
            </w:r>
          </w:p>
        </w:tc>
      </w:tr>
      <w:tr>
        <w:tc>
          <w:tcPr>
            <w:tcW w:w="3100" w:type="dxa"/>
          </w:tcPr>
          <w:p>
            <w:pPr>
              <w:pStyle w:val="TableText"/>
            </w:pPr>
            <w:r>
              <w:t xml:space="preserve">N-8dd6f0546e9e12cb</w:t>
            </w:r>
          </w:p>
        </w:tc>
        <w:tc>
          <w:tcPr>
            <w:tcW w:w="1600" w:type="dxa"/>
          </w:tcPr>
          <w:p>
            <w:pPr>
              <w:pStyle w:val="TableText"/>
            </w:pPr>
            <w:r>
              <w:t xml:space="preserve">0.025205</w:t>
            </w:r>
          </w:p>
        </w:tc>
        <w:tc>
          <w:tcPr>
            <w:tcW w:w="3900" w:type="dxa"/>
          </w:tcPr>
          <w:p>
            <w:pPr>
              <w:pStyle w:val="TableText"/>
            </w:pPr>
            <w:r>
              <w:t xml:space="preserve">global_workspace_broadcast</w:t>
            </w:r>
          </w:p>
        </w:tc>
      </w:tr>
      <w:tr>
        <w:tc>
          <w:tcPr>
            <w:tcW w:w="3100" w:type="dxa"/>
          </w:tcPr>
          <w:p>
            <w:pPr>
              <w:pStyle w:val="TableText"/>
            </w:pPr>
            <w:r>
              <w:t xml:space="preserve">N-a7bed38dee9f5645</w:t>
            </w:r>
          </w:p>
        </w:tc>
        <w:tc>
          <w:tcPr>
            <w:tcW w:w="1600" w:type="dxa"/>
          </w:tcPr>
          <w:p>
            <w:pPr>
              <w:pStyle w:val="TableText"/>
            </w:pPr>
            <w:r>
              <w:t xml:space="preserve">0.024612</w:t>
            </w:r>
          </w:p>
        </w:tc>
        <w:tc>
          <w:tcPr>
            <w:tcW w:w="3900" w:type="dxa"/>
          </w:tcPr>
          <w:p>
            <w:pPr>
              <w:pStyle w:val="TableText"/>
            </w:pPr>
            <w:r>
              <w:t xml:space="preserve">global_workspace_broadcast</w:t>
            </w:r>
          </w:p>
        </w:tc>
      </w:tr>
    </w:tbl>
    <w:p>
      <w:pPr>
        <w:pStyle w:val="Heading1"/>
      </w:pPr>
      <w:r>
        <w:t xml:space="preserve">Post-CRC response projection</w:t>
      </w:r>
    </w:p>
    <w:tbl>
      <w:tblPr>
        <w:tblStyle w:val="TableGrid"/>
        <w:tblW w:w="0" w:type="auto"/>
      </w:tblPr>
      <w:tblGrid>
        <w:gridCol w:w="3000"/>
        <w:gridCol w:w="5600"/>
      </w:tblGrid>
      <w:tr>
        <w:tc>
          <w:tcPr>
            <w:tcW w:w="3000" w:type="dxa"/>
          </w:tcPr>
          <w:p>
            <w:pPr>
              <w:pStyle w:val="TableHead"/>
            </w:pPr>
            <w:r>
              <w:t xml:space="preserve">Mode</w:t>
            </w:r>
          </w:p>
        </w:tc>
        <w:tc>
          <w:tcPr>
            <w:tcW w:w="5600" w:type="dxa"/>
          </w:tcPr>
          <w:p>
            <w:pPr>
              <w:pStyle w:val="TableHead"/>
            </w:pPr>
            <w:r>
              <w:t xml:space="preserve">PRACTICAL_REVIEW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Assertable nodes</w:t>
            </w:r>
          </w:p>
        </w:tc>
        <w:tc>
          <w:tcPr>
            <w:tcW w:w="5600" w:type="dxa"/>
          </w:tcPr>
          <w:p>
            <w:pPr>
              <w:pStyle w:val="TableText"/>
            </w:pPr>
            <w:r>
              <w:t xml:space="preserve">10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Tentative nodes</w:t>
            </w:r>
          </w:p>
        </w:tc>
        <w:tc>
          <w:tcPr>
            <w:tcW w:w="5600" w:type="dxa"/>
          </w:tcPr>
          <w:p>
            <w:pPr>
              <w:pStyle w:val="TableText"/>
            </w:pPr>
            <w:r>
              <w:t xml:space="preserve">1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Downgrades</w:t>
            </w:r>
          </w:p>
        </w:tc>
        <w:tc>
          <w:tcPr>
            <w:tcW w:w="5600" w:type="dxa"/>
          </w:tcPr>
          <w:p>
            <w:pPr>
              <w:pStyle w:val="TableText"/>
            </w:pPr>
            <w:r>
              <w:t xml:space="preserve">1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Material action</w:t>
            </w:r>
          </w:p>
        </w:tc>
        <w:tc>
          <w:tcPr>
            <w:tcW w:w="5600" w:type="dxa"/>
          </w:tcPr>
          <w:p>
            <w:pPr>
              <w:pStyle w:val="TableText"/>
            </w:pPr>
            <w:r>
              <w:t xml:space="preserve">PROPOSE_ONLY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Post-CRC</w:t>
            </w:r>
          </w:p>
        </w:tc>
        <w:tc>
          <w:tcPr>
            <w:tcW w:w="5600" w:type="dxa"/>
          </w:tcPr>
          <w:p>
            <w:pPr>
              <w:pStyle w:val="TableText"/>
            </w:pPr>
            <w:r>
              <w:t xml:space="preserve">True</w:t>
            </w:r>
          </w:p>
        </w:tc>
      </w:tr>
    </w:tbl>
    <w:tbl>
      <w:tblPr>
        <w:tblStyle w:val="TableGrid"/>
        <w:tblW w:w="0" w:type="auto"/>
      </w:tblPr>
      <w:tblGrid>
        <w:gridCol w:w="3200"/>
        <w:gridCol w:w="5400"/>
      </w:tblGrid>
      <w:tr>
        <w:tc>
          <w:tcPr>
            <w:tcW w:w="3200" w:type="dxa"/>
          </w:tcPr>
          <w:p>
            <w:pPr>
              <w:pStyle w:val="TableHead"/>
            </w:pPr>
            <w:r>
              <w:t xml:space="preserve">Node</w:t>
            </w:r>
          </w:p>
        </w:tc>
        <w:tc>
          <w:tcPr>
            <w:tcW w:w="5400" w:type="dxa"/>
          </w:tcPr>
          <w:p>
            <w:pPr>
              <w:pStyle w:val="TableHead"/>
            </w:pPr>
            <w:r>
              <w:t xml:space="preserve">Downgrade reason</w:t>
            </w:r>
          </w:p>
        </w:tc>
      </w:tr>
      <w:tr>
        <w:tc>
          <w:tcPr>
            <w:tcW w:w="3200" w:type="dxa"/>
          </w:tcPr>
          <w:p>
            <w:pPr>
              <w:pStyle w:val="TableText"/>
            </w:pPr>
            <w:r>
              <w:t xml:space="preserve">N-a7bed38dee9f5645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revision required</w:t>
            </w:r>
          </w:p>
        </w:tc>
      </w:tr>
    </w:tbl>
    <w:p>
      <w:pPr>
        <w:pStyle w:val="Heading1"/>
      </w:pPr>
      <w:r>
        <w:t xml:space="preserve">Surface A contract</w:t>
      </w:r>
    </w:p>
    <w:p>
      <w:r>
        <w:t xml:space="preserve">{"base_epistemic_caution": 0.102, "central_critique_pressure": 0.109989, "crc_basic": true, "derived_history_is_not_external_evidence": true, "epistemic_caution": 0.109989, "horizon_exceeded": false, "material_action": "PROPOSE_ONLY", "mode": "PRACTICAL_REVIEW", "must_abstain_or_review": true, "post_crc_downgrade_count": 1, "proto_self_index": 0.67282}</w:t>
      </w:r>
    </w:p>
    <w:p>
      <w:r>
        <w:t xml:space="preserve">Surface A must be 5 to 500 words of simple natural prose with no headings, lists, tables or code blocks. The host must use assertable/tentative/conflict partitions and the central regulative state when writing the conversational reply.</w:t>
      </w:r>
    </w:p>
    <w:p>
      <w:pPr>
        <w:pStyle w:val="Heading1"/>
      </w:pPr>
      <w:r>
        <w:t xml:space="preserve">Surface A emission</w:t>
      </w:r>
    </w:p>
    <w:tbl>
      <w:tblPr>
        <w:tblStyle w:val="TableGrid"/>
        <w:tblW w:w="0" w:type="auto"/>
      </w:tblPr>
      <w:tblGrid>
        <w:gridCol w:w="3000"/>
        <w:gridCol w:w="5600"/>
      </w:tblGrid>
      <w:tr>
        <w:tc>
          <w:tcPr>
            <w:tcW w:w="3000" w:type="dxa"/>
          </w:tcPr>
          <w:p>
            <w:pPr>
              <w:pStyle w:val="TableHead"/>
            </w:pPr>
            <w:r>
              <w:t xml:space="preserve">Validated</w:t>
            </w:r>
          </w:p>
        </w:tc>
        <w:tc>
          <w:tcPr>
            <w:tcW w:w="5600" w:type="dxa"/>
          </w:tcPr>
          <w:p>
            <w:pPr>
              <w:pStyle w:val="TableHead"/>
            </w:pPr>
            <w:r>
              <w:t xml:space="preserve">True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Response node</w:t>
            </w:r>
          </w:p>
        </w:tc>
        <w:tc>
          <w:tcPr>
            <w:tcW w:w="5600" w:type="dxa"/>
          </w:tcPr>
          <w:p>
            <w:pPr>
              <w:pStyle w:val="TableText"/>
            </w:pPr>
            <w:r>
              <w:t xml:space="preserve">N-f792531b3c49af24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Word count</w:t>
            </w:r>
          </w:p>
        </w:tc>
        <w:tc>
          <w:tcPr>
            <w:tcW w:w="5600" w:type="dxa"/>
          </w:tcPr>
          <w:p>
            <w:pPr>
              <w:pStyle w:val="TableText"/>
            </w:pPr>
            <w:r>
              <w:t xml:space="preserve">94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Evidence</w:t>
            </w:r>
          </w:p>
        </w:tc>
        <w:tc>
          <w:tcPr>
            <w:tcW w:w="5600" w:type="dxa"/>
          </w:tcPr>
          <w:p>
            <w:pPr>
              <w:pStyle w:val="TableText"/>
            </w:pPr>
            <w:r>
              <w:t xml:space="preserve">0.0</w:t>
            </w:r>
          </w:p>
        </w:tc>
      </w:tr>
    </w:tbl>
    <w:p>
      <w:r>
        <w:t xml:space="preserve">Ho chiuso la fotografia di questa iterazione come stato del reticolo, non come semplice report. Il centro riceve macrostati progressivamente compressi, conserva i conflitti e il debito epistemico, e puo rendere la risposta piu prudente o trattenere un contenuto senza trasformare le proprie inferenze in prove. La continuita tra turni viene mantenuta come stato funzionale e come cronologia dei nostri atti linguistici, mentre i riferimenti Freud e Jung restano interpretazioni deboli e falsificabili. Il risultato e un equivalente software semplificato del coordinamento cognitivo, non una simulazione biologica del cervello ne una prova di coscienza.</w:t>
      </w:r>
    </w:p>
    <w:p>
      <w:pPr>
        <w:pStyle w:val="Heading1"/>
      </w:pPr>
      <w:r>
        <w:t xml:space="preserve">Runtime convergence backlog</w:t>
      </w:r>
    </w:p>
    <w:p>
      <w:r>
        <w:t xml:space="preserve">1. Obtain the required human practical review before material action.</w:t>
      </w:r>
    </w:p>
    <w:p>
      <w:pPr>
        <w:pStyle w:val="Heading1"/>
      </w:pPr>
      <w:r>
        <w:t xml:space="preserve">Recent persistent events</w:t>
      </w:r>
    </w:p>
    <w:tbl>
      <w:tblPr>
        <w:tblStyle w:val="TableGrid"/>
        <w:tblW w:w="0" w:type="auto"/>
      </w:tblPr>
      <w:tblGrid>
        <w:gridCol w:w="900"/>
        <w:gridCol w:w="2300"/>
        <w:gridCol w:w="5400"/>
      </w:tblGrid>
      <w:tr>
        <w:tc>
          <w:tcPr>
            <w:tcW w:w="900" w:type="dxa"/>
          </w:tcPr>
          <w:p>
            <w:pPr>
              <w:pStyle w:val="TableHead"/>
            </w:pPr>
            <w:r>
              <w:t xml:space="preserve">Seq</w:t>
            </w:r>
          </w:p>
        </w:tc>
        <w:tc>
          <w:tcPr>
            <w:tcW w:w="2300" w:type="dxa"/>
          </w:tcPr>
          <w:p>
            <w:pPr>
              <w:pStyle w:val="TableHead"/>
            </w:pPr>
            <w:r>
              <w:t xml:space="preserve">Operation</w:t>
            </w:r>
          </w:p>
        </w:tc>
        <w:tc>
          <w:tcPr>
            <w:tcW w:w="5400" w:type="dxa"/>
          </w:tcPr>
          <w:p>
            <w:pPr>
              <w:pStyle w:val="TableHead"/>
            </w:pPr>
            <w:r>
              <w:t xml:space="preserve">Subject</w:t>
            </w:r>
          </w:p>
        </w:tc>
      </w:tr>
      <w:tr>
        <w:tc>
          <w:tcPr>
            <w:tcW w:w="900" w:type="dxa"/>
          </w:tcPr>
          <w:p>
            <w:pPr>
              <w:pStyle w:val="TableText"/>
            </w:pPr>
            <w:r>
              <w:t xml:space="preserve">22</w:t>
            </w:r>
          </w:p>
        </w:tc>
        <w:tc>
          <w:tcPr>
            <w:tcW w:w="2300" w:type="dxa"/>
          </w:tcPr>
          <w:p>
            <w:pPr>
              <w:pStyle w:val="TableText"/>
            </w:pPr>
            <w:r>
              <w:t xml:space="preserve">ASSERT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N-20c8afe2c473a36b</w:t>
            </w:r>
          </w:p>
        </w:tc>
      </w:tr>
      <w:tr>
        <w:tc>
          <w:tcPr>
            <w:tcW w:w="900" w:type="dxa"/>
          </w:tcPr>
          <w:p>
            <w:pPr>
              <w:pStyle w:val="TableText"/>
            </w:pPr>
            <w:r>
              <w:t xml:space="preserve">23</w:t>
            </w:r>
          </w:p>
        </w:tc>
        <w:tc>
          <w:tcPr>
            <w:tcW w:w="2300" w:type="dxa"/>
          </w:tcPr>
          <w:p>
            <w:pPr>
              <w:pStyle w:val="TableText"/>
            </w:pPr>
            <w:r>
              <w:t xml:space="preserve">DERIVED_ASSERT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N-978746596d05976a</w:t>
            </w:r>
          </w:p>
        </w:tc>
      </w:tr>
      <w:tr>
        <w:tc>
          <w:tcPr>
            <w:tcW w:w="900" w:type="dxa"/>
          </w:tcPr>
          <w:p>
            <w:pPr>
              <w:pStyle w:val="TableText"/>
            </w:pPr>
            <w:r>
              <w:t xml:space="preserve">24</w:t>
            </w:r>
          </w:p>
        </w:tc>
        <w:tc>
          <w:tcPr>
            <w:tcW w:w="2300" w:type="dxa"/>
          </w:tcPr>
          <w:p>
            <w:pPr>
              <w:pStyle w:val="TableText"/>
            </w:pPr>
            <w:r>
              <w:t xml:space="preserve">COMPRESS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CMP-1-21</w:t>
            </w:r>
          </w:p>
        </w:tc>
      </w:tr>
      <w:tr>
        <w:tc>
          <w:tcPr>
            <w:tcW w:w="900" w:type="dxa"/>
          </w:tcPr>
          <w:p>
            <w:pPr>
              <w:pStyle w:val="TableText"/>
            </w:pPr>
            <w:r>
              <w:t xml:space="preserve">25</w:t>
            </w:r>
          </w:p>
        </w:tc>
        <w:tc>
          <w:tcPr>
            <w:tcW w:w="2300" w:type="dxa"/>
          </w:tcPr>
          <w:p>
            <w:pPr>
              <w:pStyle w:val="TableText"/>
            </w:pPr>
            <w:r>
              <w:t xml:space="preserve">ASSERT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N-983f27f1cba5a895</w:t>
            </w:r>
          </w:p>
        </w:tc>
      </w:tr>
      <w:tr>
        <w:tc>
          <w:tcPr>
            <w:tcW w:w="900" w:type="dxa"/>
          </w:tcPr>
          <w:p>
            <w:pPr>
              <w:pStyle w:val="TableText"/>
            </w:pPr>
            <w:r>
              <w:t xml:space="preserve">26</w:t>
            </w:r>
          </w:p>
        </w:tc>
        <w:tc>
          <w:tcPr>
            <w:tcW w:w="2300" w:type="dxa"/>
          </w:tcPr>
          <w:p>
            <w:pPr>
              <w:pStyle w:val="TableText"/>
            </w:pPr>
            <w:r>
              <w:t xml:space="preserve">ASSERT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N-648a031498d45ec8</w:t>
            </w:r>
          </w:p>
        </w:tc>
      </w:tr>
      <w:tr>
        <w:tc>
          <w:tcPr>
            <w:tcW w:w="900" w:type="dxa"/>
          </w:tcPr>
          <w:p>
            <w:pPr>
              <w:pStyle w:val="TableText"/>
            </w:pPr>
            <w:r>
              <w:t xml:space="preserve">27</w:t>
            </w:r>
          </w:p>
        </w:tc>
        <w:tc>
          <w:tcPr>
            <w:tcW w:w="2300" w:type="dxa"/>
          </w:tcPr>
          <w:p>
            <w:pPr>
              <w:pStyle w:val="TableText"/>
            </w:pPr>
            <w:r>
              <w:t xml:space="preserve">RECUR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N-08929d744fd6da7a</w:t>
            </w:r>
          </w:p>
        </w:tc>
      </w:tr>
      <w:tr>
        <w:tc>
          <w:tcPr>
            <w:tcW w:w="900" w:type="dxa"/>
          </w:tcPr>
          <w:p>
            <w:pPr>
              <w:pStyle w:val="TableText"/>
            </w:pPr>
            <w:r>
              <w:t xml:space="preserve">28</w:t>
            </w:r>
          </w:p>
        </w:tc>
        <w:tc>
          <w:tcPr>
            <w:tcW w:w="2300" w:type="dxa"/>
          </w:tcPr>
          <w:p>
            <w:pPr>
              <w:pStyle w:val="TableText"/>
            </w:pPr>
            <w:r>
              <w:t xml:space="preserve">ASSERT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N-75167cb59b412d4d</w:t>
            </w:r>
          </w:p>
        </w:tc>
      </w:tr>
      <w:tr>
        <w:tc>
          <w:tcPr>
            <w:tcW w:w="900" w:type="dxa"/>
          </w:tcPr>
          <w:p>
            <w:pPr>
              <w:pStyle w:val="TableText"/>
            </w:pPr>
            <w:r>
              <w:t xml:space="preserve">29</w:t>
            </w:r>
          </w:p>
        </w:tc>
        <w:tc>
          <w:tcPr>
            <w:tcW w:w="2300" w:type="dxa"/>
          </w:tcPr>
          <w:p>
            <w:pPr>
              <w:pStyle w:val="TableText"/>
            </w:pPr>
            <w:r>
              <w:t xml:space="preserve">COMPRESS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CMP-27-27</w:t>
            </w:r>
          </w:p>
        </w:tc>
      </w:tr>
      <w:tr>
        <w:tc>
          <w:tcPr>
            <w:tcW w:w="900" w:type="dxa"/>
          </w:tcPr>
          <w:p>
            <w:pPr>
              <w:pStyle w:val="TableText"/>
            </w:pPr>
            <w:r>
              <w:t xml:space="preserve">30</w:t>
            </w:r>
          </w:p>
        </w:tc>
        <w:tc>
          <w:tcPr>
            <w:tcW w:w="2300" w:type="dxa"/>
          </w:tcPr>
          <w:p>
            <w:pPr>
              <w:pStyle w:val="TableText"/>
            </w:pPr>
            <w:r>
              <w:t xml:space="preserve">RECUR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N-983f27f1cba5a895</w:t>
            </w:r>
          </w:p>
        </w:tc>
      </w:tr>
      <w:tr>
        <w:tc>
          <w:tcPr>
            <w:tcW w:w="900" w:type="dxa"/>
          </w:tcPr>
          <w:p>
            <w:pPr>
              <w:pStyle w:val="TableText"/>
            </w:pPr>
            <w:r>
              <w:t xml:space="preserve">31</w:t>
            </w:r>
          </w:p>
        </w:tc>
        <w:tc>
          <w:tcPr>
            <w:tcW w:w="2300" w:type="dxa"/>
          </w:tcPr>
          <w:p>
            <w:pPr>
              <w:pStyle w:val="TableText"/>
            </w:pPr>
            <w:r>
              <w:t xml:space="preserve">RECUR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N-648a031498d45ec8</w:t>
            </w:r>
          </w:p>
        </w:tc>
      </w:tr>
      <w:tr>
        <w:tc>
          <w:tcPr>
            <w:tcW w:w="900" w:type="dxa"/>
          </w:tcPr>
          <w:p>
            <w:pPr>
              <w:pStyle w:val="TableText"/>
            </w:pPr>
            <w:r>
              <w:t xml:space="preserve">32</w:t>
            </w:r>
          </w:p>
        </w:tc>
        <w:tc>
          <w:tcPr>
            <w:tcW w:w="2300" w:type="dxa"/>
          </w:tcPr>
          <w:p>
            <w:pPr>
              <w:pStyle w:val="TableText"/>
            </w:pPr>
            <w:r>
              <w:t xml:space="preserve">RECUR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N-08929d744fd6da7a</w:t>
            </w:r>
          </w:p>
        </w:tc>
      </w:tr>
      <w:tr>
        <w:tc>
          <w:tcPr>
            <w:tcW w:w="900" w:type="dxa"/>
          </w:tcPr>
          <w:p>
            <w:pPr>
              <w:pStyle w:val="TableText"/>
            </w:pPr>
            <w:r>
              <w:t xml:space="preserve">33</w:t>
            </w:r>
          </w:p>
        </w:tc>
        <w:tc>
          <w:tcPr>
            <w:tcW w:w="2300" w:type="dxa"/>
          </w:tcPr>
          <w:p>
            <w:pPr>
              <w:pStyle w:val="TableText"/>
            </w:pPr>
            <w:r>
              <w:t xml:space="preserve">ASSERT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N-0c4fa0c2c9c0a77d</w:t>
            </w:r>
          </w:p>
        </w:tc>
      </w:tr>
      <w:tr>
        <w:tc>
          <w:tcPr>
            <w:tcW w:w="900" w:type="dxa"/>
          </w:tcPr>
          <w:p>
            <w:pPr>
              <w:pStyle w:val="TableText"/>
            </w:pPr>
            <w:r>
              <w:t xml:space="preserve">34</w:t>
            </w:r>
          </w:p>
        </w:tc>
        <w:tc>
          <w:tcPr>
            <w:tcW w:w="2300" w:type="dxa"/>
          </w:tcPr>
          <w:p>
            <w:pPr>
              <w:pStyle w:val="TableText"/>
            </w:pPr>
            <w:r>
              <w:t xml:space="preserve">COMPRESS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CMP-30-32</w:t>
            </w:r>
          </w:p>
        </w:tc>
      </w:tr>
      <w:tr>
        <w:tc>
          <w:tcPr>
            <w:tcW w:w="900" w:type="dxa"/>
          </w:tcPr>
          <w:p>
            <w:pPr>
              <w:pStyle w:val="TableText"/>
            </w:pPr>
            <w:r>
              <w:t xml:space="preserve">35</w:t>
            </w:r>
          </w:p>
        </w:tc>
        <w:tc>
          <w:tcPr>
            <w:tcW w:w="2300" w:type="dxa"/>
          </w:tcPr>
          <w:p>
            <w:pPr>
              <w:pStyle w:val="TableText"/>
            </w:pPr>
            <w:r>
              <w:t xml:space="preserve">RECUR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N-983f27f1cba5a895</w:t>
            </w:r>
          </w:p>
        </w:tc>
      </w:tr>
      <w:tr>
        <w:tc>
          <w:tcPr>
            <w:tcW w:w="900" w:type="dxa"/>
          </w:tcPr>
          <w:p>
            <w:pPr>
              <w:pStyle w:val="TableText"/>
            </w:pPr>
            <w:r>
              <w:t xml:space="preserve">36</w:t>
            </w:r>
          </w:p>
        </w:tc>
        <w:tc>
          <w:tcPr>
            <w:tcW w:w="2300" w:type="dxa"/>
          </w:tcPr>
          <w:p>
            <w:pPr>
              <w:pStyle w:val="TableText"/>
            </w:pPr>
            <w:r>
              <w:t xml:space="preserve">RECUR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N-648a031498d45ec8</w:t>
            </w:r>
          </w:p>
        </w:tc>
      </w:tr>
      <w:tr>
        <w:tc>
          <w:tcPr>
            <w:tcW w:w="900" w:type="dxa"/>
          </w:tcPr>
          <w:p>
            <w:pPr>
              <w:pStyle w:val="TableText"/>
            </w:pPr>
            <w:r>
              <w:t xml:space="preserve">37</w:t>
            </w:r>
          </w:p>
        </w:tc>
        <w:tc>
          <w:tcPr>
            <w:tcW w:w="2300" w:type="dxa"/>
          </w:tcPr>
          <w:p>
            <w:pPr>
              <w:pStyle w:val="TableText"/>
            </w:pPr>
            <w:r>
              <w:t xml:space="preserve">RECUR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N-08929d744fd6da7a</w:t>
            </w:r>
          </w:p>
        </w:tc>
      </w:tr>
      <w:tr>
        <w:tc>
          <w:tcPr>
            <w:tcW w:w="900" w:type="dxa"/>
          </w:tcPr>
          <w:p>
            <w:pPr>
              <w:pStyle w:val="TableText"/>
            </w:pPr>
            <w:r>
              <w:t xml:space="preserve">38</w:t>
            </w:r>
          </w:p>
        </w:tc>
        <w:tc>
          <w:tcPr>
            <w:tcW w:w="2300" w:type="dxa"/>
          </w:tcPr>
          <w:p>
            <w:pPr>
              <w:pStyle w:val="TableText"/>
            </w:pPr>
            <w:r>
              <w:t xml:space="preserve">ASSERT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N-68e0d311e40d1bb7</w:t>
            </w:r>
          </w:p>
        </w:tc>
      </w:tr>
      <w:tr>
        <w:tc>
          <w:tcPr>
            <w:tcW w:w="900" w:type="dxa"/>
          </w:tcPr>
          <w:p>
            <w:pPr>
              <w:pStyle w:val="TableText"/>
            </w:pPr>
            <w:r>
              <w:t xml:space="preserve">39</w:t>
            </w:r>
          </w:p>
        </w:tc>
        <w:tc>
          <w:tcPr>
            <w:tcW w:w="2300" w:type="dxa"/>
          </w:tcPr>
          <w:p>
            <w:pPr>
              <w:pStyle w:val="TableText"/>
            </w:pPr>
            <w:r>
              <w:t xml:space="preserve">COMPRESS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CMP-35-37</w:t>
            </w:r>
          </w:p>
        </w:tc>
      </w:tr>
      <w:tr>
        <w:tc>
          <w:tcPr>
            <w:tcW w:w="900" w:type="dxa"/>
          </w:tcPr>
          <w:p>
            <w:pPr>
              <w:pStyle w:val="TableText"/>
            </w:pPr>
            <w:r>
              <w:t xml:space="preserve">40</w:t>
            </w:r>
          </w:p>
        </w:tc>
        <w:tc>
          <w:tcPr>
            <w:tcW w:w="2300" w:type="dxa"/>
          </w:tcPr>
          <w:p>
            <w:pPr>
              <w:pStyle w:val="TableText"/>
            </w:pPr>
            <w:r>
              <w:t xml:space="preserve">DERIVED_RETIRE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N-978746596d05976a</w:t>
            </w:r>
          </w:p>
        </w:tc>
      </w:tr>
      <w:tr>
        <w:tc>
          <w:tcPr>
            <w:tcW w:w="900" w:type="dxa"/>
          </w:tcPr>
          <w:p>
            <w:pPr>
              <w:pStyle w:val="TableText"/>
            </w:pPr>
            <w:r>
              <w:t xml:space="preserve">41</w:t>
            </w:r>
          </w:p>
        </w:tc>
        <w:tc>
          <w:tcPr>
            <w:tcW w:w="2300" w:type="dxa"/>
          </w:tcPr>
          <w:p>
            <w:pPr>
              <w:pStyle w:val="TableText"/>
            </w:pPr>
            <w:r>
              <w:t xml:space="preserve">ASSERT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N-6bdf688fb91ce106</w:t>
            </w:r>
          </w:p>
        </w:tc>
      </w:tr>
      <w:tr>
        <w:tc>
          <w:tcPr>
            <w:tcW w:w="900" w:type="dxa"/>
          </w:tcPr>
          <w:p>
            <w:pPr>
              <w:pStyle w:val="TableText"/>
            </w:pPr>
            <w:r>
              <w:t xml:space="preserve">42</w:t>
            </w:r>
          </w:p>
        </w:tc>
        <w:tc>
          <w:tcPr>
            <w:tcW w:w="2300" w:type="dxa"/>
          </w:tcPr>
          <w:p>
            <w:pPr>
              <w:pStyle w:val="TableText"/>
            </w:pPr>
            <w:r>
              <w:t xml:space="preserve">ASSERT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N-a755464e82ffe35a</w:t>
            </w:r>
          </w:p>
        </w:tc>
      </w:tr>
      <w:tr>
        <w:tc>
          <w:tcPr>
            <w:tcW w:w="900" w:type="dxa"/>
          </w:tcPr>
          <w:p>
            <w:pPr>
              <w:pStyle w:val="TableText"/>
            </w:pPr>
            <w:r>
              <w:t xml:space="preserve">43</w:t>
            </w:r>
          </w:p>
        </w:tc>
        <w:tc>
          <w:tcPr>
            <w:tcW w:w="2300" w:type="dxa"/>
          </w:tcPr>
          <w:p>
            <w:pPr>
              <w:pStyle w:val="TableText"/>
            </w:pPr>
            <w:r>
              <w:t xml:space="preserve">ASSERT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N-3dd233e409fea54f</w:t>
            </w:r>
          </w:p>
        </w:tc>
      </w:tr>
      <w:tr>
        <w:tc>
          <w:tcPr>
            <w:tcW w:w="900" w:type="dxa"/>
          </w:tcPr>
          <w:p>
            <w:pPr>
              <w:pStyle w:val="TableText"/>
            </w:pPr>
            <w:r>
              <w:t xml:space="preserve">44</w:t>
            </w:r>
          </w:p>
        </w:tc>
        <w:tc>
          <w:tcPr>
            <w:tcW w:w="2300" w:type="dxa"/>
          </w:tcPr>
          <w:p>
            <w:pPr>
              <w:pStyle w:val="TableText"/>
            </w:pPr>
            <w:r>
              <w:t xml:space="preserve">ASSERT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N-728056c827d95ced</w:t>
            </w:r>
          </w:p>
        </w:tc>
      </w:tr>
      <w:tr>
        <w:tc>
          <w:tcPr>
            <w:tcW w:w="900" w:type="dxa"/>
          </w:tcPr>
          <w:p>
            <w:pPr>
              <w:pStyle w:val="TableText"/>
            </w:pPr>
            <w:r>
              <w:t xml:space="preserve">45</w:t>
            </w:r>
          </w:p>
        </w:tc>
        <w:tc>
          <w:tcPr>
            <w:tcW w:w="2300" w:type="dxa"/>
          </w:tcPr>
          <w:p>
            <w:pPr>
              <w:pStyle w:val="TableText"/>
            </w:pPr>
            <w:r>
              <w:t xml:space="preserve">ASSERT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N-a7c465d0100148da</w:t>
            </w:r>
          </w:p>
        </w:tc>
      </w:tr>
      <w:tr>
        <w:tc>
          <w:tcPr>
            <w:tcW w:w="900" w:type="dxa"/>
          </w:tcPr>
          <w:p>
            <w:pPr>
              <w:pStyle w:val="TableText"/>
            </w:pPr>
            <w:r>
              <w:t xml:space="preserve">46</w:t>
            </w:r>
          </w:p>
        </w:tc>
        <w:tc>
          <w:tcPr>
            <w:tcW w:w="2300" w:type="dxa"/>
          </w:tcPr>
          <w:p>
            <w:pPr>
              <w:pStyle w:val="TableText"/>
            </w:pPr>
            <w:r>
              <w:t xml:space="preserve">CYCLE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CYC-0a8f676ab49c2c97</w:t>
            </w:r>
          </w:p>
        </w:tc>
      </w:tr>
      <w:tr>
        <w:tc>
          <w:tcPr>
            <w:tcW w:w="900" w:type="dxa"/>
          </w:tcPr>
          <w:p>
            <w:pPr>
              <w:pStyle w:val="TableText"/>
            </w:pPr>
            <w:r>
              <w:t xml:space="preserve">47</w:t>
            </w:r>
          </w:p>
        </w:tc>
        <w:tc>
          <w:tcPr>
            <w:tcW w:w="2300" w:type="dxa"/>
          </w:tcPr>
          <w:p>
            <w:pPr>
              <w:pStyle w:val="TableText"/>
            </w:pPr>
            <w:r>
              <w:t xml:space="preserve">COGNITIVE_COMPILE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CYC-0a8f676ab49c2c97</w:t>
            </w:r>
          </w:p>
        </w:tc>
      </w:tr>
      <w:tr>
        <w:tc>
          <w:tcPr>
            <w:tcW w:w="900" w:type="dxa"/>
          </w:tcPr>
          <w:p>
            <w:pPr>
              <w:pStyle w:val="TableText"/>
            </w:pPr>
            <w:r>
              <w:t xml:space="preserve">48</w:t>
            </w:r>
          </w:p>
        </w:tc>
        <w:tc>
          <w:tcPr>
            <w:tcW w:w="2300" w:type="dxa"/>
          </w:tcPr>
          <w:p>
            <w:pPr>
              <w:pStyle w:val="TableText"/>
            </w:pPr>
            <w:r>
              <w:t xml:space="preserve">SURFACE_B_SNAPSHOT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CYC-0a8f676ab49c2c97</w:t>
            </w:r>
          </w:p>
        </w:tc>
      </w:tr>
      <w:tr>
        <w:tc>
          <w:tcPr>
            <w:tcW w:w="900" w:type="dxa"/>
          </w:tcPr>
          <w:p>
            <w:pPr>
              <w:pStyle w:val="TableText"/>
            </w:pPr>
            <w:r>
              <w:t xml:space="preserve">49</w:t>
            </w:r>
          </w:p>
        </w:tc>
        <w:tc>
          <w:tcPr>
            <w:tcW w:w="2300" w:type="dxa"/>
          </w:tcPr>
          <w:p>
            <w:pPr>
              <w:pStyle w:val="TableText"/>
            </w:pPr>
            <w:r>
              <w:t xml:space="preserve">ASSERT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N-f792531b3c49af24</w:t>
            </w:r>
          </w:p>
        </w:tc>
      </w:tr>
      <w:tr>
        <w:tc>
          <w:tcPr>
            <w:tcW w:w="900" w:type="dxa"/>
          </w:tcPr>
          <w:p>
            <w:pPr>
              <w:pStyle w:val="TableText"/>
            </w:pPr>
            <w:r>
              <w:t xml:space="preserve">50</w:t>
            </w:r>
          </w:p>
        </w:tc>
        <w:tc>
          <w:tcPr>
            <w:tcW w:w="2300" w:type="dxa"/>
          </w:tcPr>
          <w:p>
            <w:pPr>
              <w:pStyle w:val="TableText"/>
            </w:pPr>
            <w:r>
              <w:t xml:space="preserve">RELATE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R-8ad9a1b2f6c8b9b9</w:t>
            </w:r>
          </w:p>
        </w:tc>
      </w:tr>
      <w:tr>
        <w:tc>
          <w:tcPr>
            <w:tcW w:w="900" w:type="dxa"/>
          </w:tcPr>
          <w:p>
            <w:pPr>
              <w:pStyle w:val="TableText"/>
            </w:pPr>
            <w:r>
              <w:t xml:space="preserve">51</w:t>
            </w:r>
          </w:p>
        </w:tc>
        <w:tc>
          <w:tcPr>
            <w:tcW w:w="2300" w:type="dxa"/>
          </w:tcPr>
          <w:p>
            <w:pPr>
              <w:pStyle w:val="TableText"/>
            </w:pPr>
            <w:r>
              <w:t xml:space="preserve">SURFACE_A_EMIT</w:t>
            </w:r>
          </w:p>
        </w:tc>
        <w:tc>
          <w:tcPr>
            <w:tcW w:w="5400" w:type="dxa"/>
          </w:tcPr>
          <w:p>
            <w:pPr>
              <w:pStyle w:val="TableText"/>
            </w:pPr>
            <w:r>
              <w:t xml:space="preserve">CYC-0a8f676ab49c2c97</w:t>
            </w:r>
          </w:p>
        </w:tc>
      </w:tr>
    </w:tbl>
    <w:p>
      <w:pPr>
        <w:pStyle w:val="Heading1"/>
      </w:pPr>
      <w:r>
        <w:t xml:space="preserve">Boundary</w:t>
      </w:r>
    </w:p>
    <w:p>
      <w:r>
        <w:t xml:space="preserve">The neurofunctional mapping is a falsifiable software analogy constrained by neuroscience. Psychodynamic and archetypal rings are interpretive namespaces without anatomical localization. The Kant oracle is a synthetic normative kernel. The proto-self index measures functional integration of the local runtime; it is not a probability or proof of consciousness.</w:t>
      </w:r>
    </w:p>
    <w:sectPr>
      <w:pgSz w:w="11906" w:h="16838"/>
      <w:pgMar w:top="1134" w:right="850" w:bottom="1134" w:left="85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19"/>
    </w:rPr>
    <w:pPr>
      <w:spacing w:after="100"/>
    </w:pPr>
  </w:style>
  <w:style w:type="paragraph" w:styleId="Title">
    <w:name w:val="Title"/>
    <w:basedOn w:val="Normal"/>
    <w:rPr>
      <w:b/>
      <w:sz w:val="34"/>
    </w:rPr>
    <w:pPr>
      <w:spacing w:after="220"/>
    </w:pPr>
  </w:style>
  <w:style w:type="paragraph" w:styleId="Heading1">
    <w:name w:val="heading 1"/>
    <w:basedOn w:val="Normal"/>
    <w:rPr>
      <w:b/>
      <w:sz w:val="25"/>
    </w:rPr>
    <w:pPr>
      <w:spacing w:before="220" w:after="100"/>
    </w:pPr>
  </w:style>
  <w:style w:type="paragraph" w:styleId="TableText">
    <w:name w:val="Table Text"/>
    <w:basedOn w:val="Normal"/>
    <w:rPr>
      <w:sz w:val="16"/>
    </w:rPr>
    <w:pPr>
      <w:spacing w:after="0"/>
    </w:pPr>
  </w:style>
  <w:style w:type="paragraph" w:styleId="TableHead">
    <w:name w:val="Table Head"/>
    <w:basedOn w:val="TableText"/>
    <w:rPr>
      <w:b/>
      <w:sz w:val="16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