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r w:rsidR="0015125F">
        <w:t xml:space="preserve"> </w:t>
      </w:r>
      <w:commentRangeStart w:id="0"/>
      <w:r w:rsidR="0015125F">
        <w:t>ecosystem</w:t>
      </w:r>
      <w:commentRangeEnd w:id="0"/>
      <w:r w:rsidR="00F66332" w:rsidRPr="0014295B">
        <w:rPr>
          <w:rStyle w:val="CommentReference"/>
          <w:sz w:val="32"/>
          <w:szCs w:val="32"/>
        </w:rPr>
        <w:commentReference w:id="0"/>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1"/>
      <w:r w:rsidR="00B40B38">
        <w:rPr>
          <w:vertAlign w:val="superscript"/>
        </w:rPr>
        <w:t>^</w:t>
      </w:r>
      <w:commentRangeEnd w:id="1"/>
      <w:r w:rsidR="00DF4B39" w:rsidRPr="00376CC5">
        <w:rPr>
          <w:rStyle w:val="CommentReference"/>
          <w:sz w:val="24"/>
          <w:szCs w:val="24"/>
        </w:rPr>
        <w:commentReference w:id="1"/>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3DD317F6" w:rsidR="00CB0420" w:rsidRPr="00CB0420" w:rsidRDefault="00434324" w:rsidP="00241E61">
      <w:pPr>
        <w:pStyle w:val="AuthorList"/>
      </w:pPr>
      <w:r w:rsidRPr="003600B0">
        <w:t xml:space="preserve">KEYWORDS: </w:t>
      </w:r>
      <w:r w:rsidR="00633FF4">
        <w:t xml:space="preserve">Ichthyoplankton, </w:t>
      </w:r>
      <w:r w:rsidR="00F66332">
        <w:t>fish larvae, assemblages, multivariate analyses, North Pacific Ocean, diel vertical migration</w:t>
      </w:r>
    </w:p>
    <w:p w14:paraId="634DBDD8" w14:textId="09352E4A" w:rsidR="009A6271" w:rsidRDefault="00434324" w:rsidP="00241E61">
      <w:pPr>
        <w:pStyle w:val="AuthorList"/>
      </w:pPr>
      <w:commentRangeStart w:id="2"/>
      <w:commentRangeStart w:id="3"/>
      <w:r>
        <w:t>ABSTRACT</w:t>
      </w:r>
      <w:commentRangeEnd w:id="2"/>
      <w:r w:rsidR="00DF4B39">
        <w:rPr>
          <w:rStyle w:val="CommentReference"/>
          <w:sz w:val="24"/>
          <w:szCs w:val="24"/>
        </w:rPr>
        <w:commentReference w:id="2"/>
      </w:r>
      <w:commentRangeEnd w:id="3"/>
      <w:r w:rsidR="00F66332">
        <w:rPr>
          <w:rStyle w:val="CommentReference"/>
          <w:sz w:val="24"/>
          <w:szCs w:val="24"/>
        </w:rPr>
        <w:commentReference w:id="3"/>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4A0B2F28" w:rsidR="00EA4AC4" w:rsidRPr="00DF4B39" w:rsidRDefault="008A2030" w:rsidP="00241E61">
      <w:r w:rsidRPr="00DF4B39">
        <w:t>The northern California Current</w:t>
      </w:r>
      <w:r w:rsidR="00CC6883">
        <w:t xml:space="preserve"> ecosystem</w:t>
      </w:r>
      <w:r w:rsidRPr="00DF4B39">
        <w:t xml:space="preserve"> (NCC) is a dynamic eastern boundary current system that supports </w:t>
      </w:r>
      <w:r w:rsidR="00D82DA2">
        <w:t>numerous ecologically and commercially</w:t>
      </w:r>
      <w:r w:rsidRPr="00DF4B39">
        <w:t xml:space="preserve"> important fish populations whose early life stages are tightly coupled to seasonal oceanographic processes</w:t>
      </w:r>
      <w:del w:id="4" w:author="Bobay, Luke Andrew" w:date="2026-08-28T07:41:00Z" w16du:dateUtc="2026-08-28T14:41:00Z">
        <w:r w:rsidRPr="00DF4B39" w:rsidDel="00943701">
          <w:delText xml:space="preserve"> </w:delText>
        </w:r>
      </w:del>
      <w:ins w:id="5" w:author="Bobay, Luke Andrew" w:date="2026-08-28T07:43:00Z" w16du:dateUtc="2026-08-28T14:43:00Z">
        <w:r w:rsidR="00943701">
          <w:t xml:space="preserve"> </w:t>
        </w:r>
      </w:ins>
      <w:commentRangeStart w:id="6"/>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commentRangeEnd w:id="6"/>
      <w:r w:rsidR="00943701" w:rsidRPr="00DF4B39">
        <w:rPr>
          <w:rStyle w:val="CommentReference"/>
          <w:sz w:val="24"/>
          <w:szCs w:val="24"/>
        </w:rPr>
        <w:commentReference w:id="6"/>
      </w:r>
      <w:r w:rsidRPr="00DF4B39">
        <w:t>. For many of these species</w:t>
      </w:r>
      <w:r w:rsidR="00EA4AC4" w:rsidRPr="00DF4B39">
        <w:t>, peak spawning occurs in winter during which offshore transport is minimal</w:t>
      </w:r>
      <w:del w:id="7" w:author="Bobay, Luke Andrew" w:date="2026-08-28T07:41:00Z" w16du:dateUtc="2026-08-28T14:41:00Z">
        <w:r w:rsidR="00EA4AC4" w:rsidRPr="00DF4B39" w:rsidDel="00943701">
          <w:delText xml:space="preserve"> </w:delText>
        </w:r>
      </w:del>
      <w:ins w:id="8" w:author="Bobay, Luke Andrew" w:date="2026-08-28T07:43:00Z" w16du:dateUtc="2026-08-28T14:43:00Z">
        <w:r w:rsidR="00943701">
          <w:t xml:space="preserve"> </w:t>
        </w:r>
      </w:ins>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r w:rsidR="00EA4AC4" w:rsidRPr="00DF4B39">
        <w:t>.</w:t>
      </w:r>
      <w:r w:rsidR="00073331">
        <w:t xml:space="preserve"> </w:t>
      </w:r>
      <w:r w:rsidR="00F55037">
        <w:t>In addition to replenishing adult populations</w:t>
      </w:r>
      <w:r w:rsidR="00073331">
        <w:t>,</w:t>
      </w:r>
      <w:r w:rsidR="00F55037">
        <w:t xml:space="preserve"> winter ichthyoplankton are particularly important prey for other taxa. </w:t>
      </w:r>
      <w:r w:rsidR="00C660BE">
        <w:t xml:space="preserve">The winter-spawned young of certain coastal fishes are important prey of juvenile salmon upon ocean entry, and winter ichthyoplankton biomass is positively related to salmon marine survival </w:t>
      </w:r>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ins w:id="9" w:author="Bobay, Luke Andrew" w:date="2026-08-28T08:24:00Z" w16du:dateUtc="2026-08-28T15:24:00Z">
        <w:r w:rsidR="00C660BE">
          <w:t>.</w:t>
        </w:r>
      </w:ins>
      <w:r w:rsidR="00EA4AC4" w:rsidRPr="00DF4B39">
        <w:t xml:space="preserve"> </w:t>
      </w:r>
      <w:r w:rsidR="00C660BE">
        <w:t xml:space="preserve">Therefore, understanding the </w:t>
      </w:r>
      <w:r w:rsidR="005E284A">
        <w:t xml:space="preserve">factors contributing to the composition and abundance of winter ichthyoplankton assemblages is crucial for understanding fish recruitment and food-web structuring in the NCC. </w:t>
      </w:r>
      <w:r w:rsidR="00EA4AC4" w:rsidRPr="00DF4B39">
        <w:t>However, ichthyoplankton research</w:t>
      </w:r>
      <w:r w:rsidR="00243FA2">
        <w:t xml:space="preserve"> in winter is relatively scarce</w:t>
      </w:r>
      <w:r w:rsidR="00EA4AC4" w:rsidRPr="00DF4B39">
        <w:t xml:space="preserve"> </w:t>
      </w:r>
      <w:r w:rsidR="00243FA2">
        <w:t>compared to in</w:t>
      </w:r>
      <w:r w:rsidR="00EA4AC4" w:rsidRPr="00DF4B39">
        <w:t xml:space="preserve"> spring and summer when sea conditions are more </w:t>
      </w:r>
      <w:r w:rsidR="00943701">
        <w:t>favorable for ship-based sampling</w:t>
      </w:r>
      <w:ins w:id="10" w:author="Bobay, Luke Andrew" w:date="2026-08-28T07:43:00Z" w16du:dateUtc="2026-08-28T14:43:00Z">
        <w:r w:rsidR="00943701">
          <w:t xml:space="preserve"> </w:t>
        </w:r>
      </w:ins>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11"/>
      <w:r w:rsidR="0014193D" w:rsidRPr="00DF4B39">
        <w:t xml:space="preserve">. </w:t>
      </w:r>
      <w:commentRangeEnd w:id="11"/>
      <w:r w:rsidR="00DF4B39">
        <w:rPr>
          <w:rStyle w:val="CommentReference"/>
          <w:sz w:val="24"/>
          <w:szCs w:val="24"/>
        </w:rPr>
        <w:commentReference w:id="11"/>
      </w:r>
      <w:r w:rsidR="005E284A">
        <w:t>Further, while variation in ichthyoplankton assemblages is associated with oceanographic variability</w:t>
      </w:r>
      <w:r w:rsidR="007E130E">
        <w:t xml:space="preserve"> </w:t>
      </w:r>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r w:rsidR="005E284A">
        <w:t xml:space="preserve">, </w:t>
      </w:r>
      <w:r w:rsidR="00F25CA3">
        <w:t xml:space="preserve">less attention has been paid to fine-scale spatiotemporal and environmental factors that may have </w:t>
      </w:r>
      <w:r w:rsidR="00FF2FCA">
        <w:t xml:space="preserve">influence </w:t>
      </w:r>
      <w:r w:rsidR="00F25CA3">
        <w:t>ichthyoplankton assemblage composition and abundance</w:t>
      </w:r>
      <w:r w:rsidR="00FF2FCA">
        <w:t xml:space="preserve"> through physical, ecological, and physiological mechanisms</w:t>
      </w:r>
      <w:r w:rsidR="00F25CA3">
        <w:t>.</w:t>
      </w:r>
    </w:p>
    <w:p w14:paraId="61CFCD68" w14:textId="0EA4F691" w:rsidR="00EA4AC4" w:rsidRPr="00DF4B39" w:rsidRDefault="00EA4AC4" w:rsidP="00241E61">
      <w:commentRangeStart w:id="12"/>
      <w:r w:rsidRPr="00DF4B39">
        <w:t xml:space="preserve">Broad oceanographic </w:t>
      </w:r>
      <w:r w:rsidR="00905D9C">
        <w:t>conditions</w:t>
      </w:r>
      <w:r w:rsidR="00905D9C" w:rsidRPr="00DF4B39">
        <w:t xml:space="preserve"> </w:t>
      </w:r>
      <w:r w:rsidRPr="00DF4B39">
        <w:t>such as</w:t>
      </w:r>
      <w:r w:rsidR="00905D9C">
        <w:t xml:space="preserve"> climate indices,</w:t>
      </w:r>
      <w:r w:rsidRPr="00DF4B39">
        <w:t xml:space="preserve"> </w:t>
      </w:r>
      <w:commentRangeStart w:id="13"/>
      <w:commentRangeStart w:id="14"/>
      <w:commentRangeStart w:id="15"/>
      <w:r w:rsidR="00B85AD5">
        <w:t>circulation</w:t>
      </w:r>
      <w:r w:rsidRPr="00DF4B39">
        <w:t xml:space="preserve">, and </w:t>
      </w:r>
      <w:r w:rsidR="00905D9C">
        <w:t>seafloor</w:t>
      </w:r>
      <w:r w:rsidR="00905D9C" w:rsidRPr="00DF4B39">
        <w:t xml:space="preserve"> </w:t>
      </w:r>
      <w:r w:rsidRPr="00DF4B39">
        <w:t xml:space="preserve">topography </w:t>
      </w:r>
      <w:commentRangeEnd w:id="13"/>
      <w:r w:rsidR="00DF4B39" w:rsidRPr="00DF4B39">
        <w:rPr>
          <w:rStyle w:val="CommentReference"/>
          <w:sz w:val="24"/>
          <w:szCs w:val="24"/>
        </w:rPr>
        <w:commentReference w:id="13"/>
      </w:r>
      <w:commentRangeEnd w:id="14"/>
      <w:r w:rsidR="002C0601" w:rsidRPr="00DF4B39">
        <w:rPr>
          <w:rStyle w:val="CommentReference"/>
          <w:sz w:val="24"/>
          <w:szCs w:val="24"/>
        </w:rPr>
        <w:commentReference w:id="14"/>
      </w:r>
      <w:commentRangeEnd w:id="15"/>
      <w:r w:rsidR="00D50AF7" w:rsidRPr="00DF4B39">
        <w:rPr>
          <w:rStyle w:val="CommentReference"/>
          <w:sz w:val="24"/>
          <w:szCs w:val="24"/>
        </w:rPr>
        <w:commentReference w:id="15"/>
      </w:r>
      <w:r w:rsidRPr="00DF4B39">
        <w:t>have been found to influence the composition, abundance, and distribution of larval fish</w:t>
      </w:r>
      <w:ins w:id="16" w:author="Bobay, Luke Andrew" w:date="2026-08-28T09:47:00Z" w16du:dateUtc="2026-08-28T16:47:00Z">
        <w:r w:rsidR="00E82241">
          <w:t xml:space="preserve"> </w:t>
        </w:r>
      </w:ins>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r w:rsidRPr="00DF4B39">
        <w:t xml:space="preserve">. Variability on finer spatial and temporal scales </w:t>
      </w:r>
      <w:r w:rsidR="00A31F5D">
        <w:t>also influences</w:t>
      </w:r>
      <w:r w:rsidRPr="00DF4B39">
        <w:t xml:space="preserve"> </w:t>
      </w:r>
      <w:r w:rsidR="005B1264">
        <w:t>ichthyoplankton abundance and assemblage composition</w:t>
      </w:r>
      <w:r w:rsidRPr="00DF4B39">
        <w:t xml:space="preserve">. </w:t>
      </w:r>
      <w:r w:rsidR="00416033">
        <w:t>Environmental conditions, like temperature, salinity, and dissolved oxygen, may influence ichthyoplankton abundance and assemblage composition through direct physiological effects</w:t>
      </w:r>
      <w:r w:rsidR="005E0081">
        <w:t xml:space="preserve"> </w:t>
      </w:r>
      <w:r w:rsidR="005E0081">
        <w:fldChar w:fldCharType="begin"/>
      </w:r>
      <w:r w:rsidR="005E0081">
        <w:instrText xml:space="preserve"> ADDIN ZOTERO_ITEM CSL_CITATION {"citationID":"GTuY2rgL","properties":{"unsorted":false,"formattedCitation":"(Pepin, 1991; B\\uc0\\u339{}uf and Payan, 2001; Johnson-Colegrove et al., 2015)","plainCitation":"(Pepin, 1991; Bœuf and Payan, 2001; Johnson-Colegrove et al., 2015)","noteIndex":0},"citationItems":[{"id":34,"uris":["http://zotero.org/groups/6650714/items/BISSS8AW"],"itemData":{"id":34,"type":"article-journal","abstract":"This paper presents a comprehensive summary of development, mortality, and survival rates of fish eggs, yolk-sac larvae, and postlavae in relation to temperature and size. The general temperature- and, where applicable, size-dependent models explained 30–81% of the variance in vital rates. Daily development and mortality rates generally increased with increasing temperature. Temperature had an equal but opposite effect on stage-specific cumulative mortality rates of eggs and yolk-sac larvae. Stage-specific (length-dependent) cumulative mortality rates of postlarval fish were independent of temperature due to equal effects of temperature on daily growth and daily mortality rates. Size had no significant effect on daily or cumulative mortality rates of egg and yolk-sac stages. Daily mortality rates of postlarval fish were significantly influenced by mean size (i.e. length). The compensation of temperature effects between stages and/or vital rates may reduce the impact of environmental uncertainty on survival rates. It is suggested that the general temperature- and/or size-dependent relationships described in this study can serve as basic frameworks to assess whether there are significant effects resulting from species/stock-specific characteristics or environmental factors on the vital rates of the early life history stages of fish.","container-title":"Canadian Journal of Fisheries and Aquatic Sciences","DOI":"10.1139/f91-065","ISSN":"0706-652X","issue":"3","journalAbbreviation":"Can. J. Fish. Aquat. Sci.","page":"503-518","publisher":"NRC Research Press","source":"cdnsciencepub.com (Atypon)","title":"Effect of Temperature and Size on Development, Mortality, and Survival Rates of the Pelagic Early Life History Stages of Marine Fish","volume":"48","author":[{"family":"Pepin","given":"Pierre"}],"issued":{"date-parts":[["1991",3]]}}},{"id":36,"uris":["http://zotero.org/groups/6650714/items/NP4BDW4J"],"itemData":{"id":36,"type":"article-journal","abstract":"Development and growth (continuous in fish) are controlled by ‘internal factors’ including CNS, endocrinological and neuroendocrinological systems. Among vertebrates, they also are highly dependent on environmental conditions. Among other factors, many studies have reported an influence of water salinity on fish development and growth. In most species, egg fertilization and incubation, yolk sac resorption, early embryogenesis, swimbladder inflation, larval growth are dependent on salinity. In larger fish, salinity is also a key factor in controlling growth. Do the changes in growth rate, that depend on salinity, result from an action on: (1) standard metabolic rate; (2) food intake; (3) food conversion; and/or (4) hormonal stimulation? Better growth at intermediate salinities (8–20 psu) is very often, but not systematically, correlated to a lower standard metabolic rate. Numerous studies have shown that 20 to &gt;50% of the total fish energy budget are dedicated to osmoregulation. However, recent ones indicate that the osmotic cost is not as high (roughly 10%) as this. Data are also available in terms of food intake and stimulation of food conversion, which are both dependent on the environmental salinity. Temperature and salinity have complex interactions. Many hormones are known to be active in both osmoregulation and growth regulation, e.g. in the control of food intake. All of these factors are reviewed. As often, multiple causality is likely to be at work and the interactive effects of salinity on physiology and behaviour must also be taken into account.","container-title":"Comparative Biochemistry and Physiology Part C: Toxicology &amp; Pharmacology","DOI":"10.1016/S1532-0456(01)00268-X","ISSN":"1532-0456","issue":"4","journalAbbreviation":"Comparative Biochemistry and Physiology Part C: Toxicology &amp; Pharmacology","page":"411-423","source":"ScienceDirect","title":"How should salinity influence fish growth?","volume":"130","author":[{"family":"Bœuf","given":"Gilles"},{"family":"Payan","given":"Patrick"}],"issued":{"date-parts":[["2001",12,1]]}}},{"id":38,"uris":["http://zotero.org/groups/6650714/items/6S3N7DNN"],"itemData":{"id":38,"type":"article-journal","abstract":"Nearshore hypoxia along the coast of Oregon and Washington is a seasonal phenomenon that has generated concern among scientists studying this temperate upwelling ecosystem. These waters are affected ...","DOI":"10.1111/fog.12124","language":"en","source":"onlinelibrary.wiley.com","title":"Ichthyoplankton distribution and abundance in relation to nearshore dissolved oxygen levels and other environmental variables within the Northern California Current System","URL":"https://onlinelibrary.wiley.com/doi/10.1111/fog.12124","author":[{"family":"Johnson-Colegrove","given":"Angela"},{"family":"Ciannelli","given":"Lorenzo"},{"family":"Brodeur","given":"Richard D."}],"accessed":{"date-parts":[["2026",8,28]]},"issued":{"date-parts":[["2015"]]}}}],"schema":"https://github.com/citation-style-language/schema/raw/master/csl-citation.json"} </w:instrText>
      </w:r>
      <w:r w:rsidR="005E0081">
        <w:fldChar w:fldCharType="separate"/>
      </w:r>
      <w:r w:rsidR="005E0081" w:rsidRPr="005E0081">
        <w:rPr>
          <w:kern w:val="0"/>
        </w:rPr>
        <w:t>(Pepin, 1991; Bœuf and Payan, 2001; Johnson-Colegrove et al., 2015)</w:t>
      </w:r>
      <w:r w:rsidR="005E0081">
        <w:fldChar w:fldCharType="end"/>
      </w:r>
      <w:r w:rsidR="00416033">
        <w:t>. Salinity may also be related to</w:t>
      </w:r>
      <w:r w:rsidR="00B41A14">
        <w:t xml:space="preserve"> the presence of distinct water masses that larval fishes are associated with</w:t>
      </w:r>
      <w:r w:rsidR="005E0081">
        <w:t xml:space="preserve"> </w:t>
      </w:r>
      <w:r w:rsidR="005E0081">
        <w:fldChar w:fldCharType="begin"/>
      </w:r>
      <w:r w:rsidR="005E0081">
        <w:instrText xml:space="preserve"> ADDIN ZOTERO_ITEM CSL_CITATION {"citationID":"lsv8Uobq","properties":{"unsorted":false,"formattedCitation":"(Thompson et al., 2014)","plainCitation":"(Thompson et al., 2014)","noteIndex":0},"citationItems":[{"id":17,"uris":["http://zotero.org/groups/6650714/items/U4MRMARD"],"itemData":{"id":17,"type":"article-journal","abstract":"Boundary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M."},{"family":"Watson","given":"William"}],"issued":{"date-parts":[["2014",6,23]]}}}],"schema":"https://github.com/citation-style-language/schema/raw/master/csl-citation.json"} </w:instrText>
      </w:r>
      <w:r w:rsidR="005E0081">
        <w:fldChar w:fldCharType="separate"/>
      </w:r>
      <w:r w:rsidR="005E0081" w:rsidRPr="005E0081">
        <w:t>(Thompson et al., 2014)</w:t>
      </w:r>
      <w:r w:rsidR="005E0081">
        <w:fldChar w:fldCharType="end"/>
      </w:r>
      <w:r w:rsidR="00B41A14">
        <w:t>, and chlorophyll-</w:t>
      </w:r>
      <w:r w:rsidR="00B41A14" w:rsidRPr="006878C0">
        <w:rPr>
          <w:i/>
          <w:iCs/>
        </w:rPr>
        <w:t>a</w:t>
      </w:r>
      <w:r w:rsidR="00B41A14">
        <w:t xml:space="preserve"> concentration </w:t>
      </w:r>
      <w:r w:rsidR="002A2056">
        <w:t>is related to primary</w:t>
      </w:r>
      <w:r w:rsidR="00B41A14">
        <w:t xml:space="preserve"> productivity and </w:t>
      </w:r>
      <w:r w:rsidR="005E0081">
        <w:t>may indirectly indicate favorable prey availability</w:t>
      </w:r>
      <w:r w:rsidR="00CF1DE3">
        <w:t xml:space="preserve"> </w:t>
      </w:r>
      <w:r w:rsidR="00CF1DE3">
        <w:fldChar w:fldCharType="begin"/>
      </w:r>
      <w:r w:rsidR="00CF1DE3">
        <w:instrText xml:space="preserve"> ADDIN ZOTERO_ITEM CSL_CITATION {"citationID":"o6pPZYpA","properties":{"unsorted":false,"formattedCitation":"(Whitney et al., 2021)","plainCitation":"(Whitney et al., 2021)","noteIndex":0},"citationItems":[{"id":39,"uris":["http://zotero.org/groups/6650714/items/IP7352T6"],"itemData":{"id":39,"type":"article-journal","abstract":"Most marine animals have a pelagic larval phase that develops in the coastal or open ocean. The fate of larvae has profound effects on replenishment of marine populations that are critical for human and ecosystem health. Larval ecology is expected to be tightly coupled to oceanic features, but for most taxa we know little about the interactions between larvae and the pelagic environment. Here, we provide evidence that surface slicks, a common coastal convergence feature, provide nursery habitat for diverse marine larvae, including &gt; 100 species of commercially and ecologically important fishes. The vast majority of invertebrate and larval fish taxa sampled had mean densities 2–110 times higher in slicks than in ambient water. Combining in-situ surveys with remote sensing, we estimate that slicks contain 39% of neustonic larval fishes, 26% of surface-dwelling zooplankton (prey), and 75% of floating organic debris (shelter) in our 1000 km2 study area in Hawai‘i. Results indicate late-larval fishes actively select slick habitats to capitalize on concentrations of diverse prey and shelter. By providing these survival advantages, surface slicks enhance larval supply and replenishment of adult populations from coral reef, epipelagic, and deep-water ecosystems. Our findings suggest that slicks play a critically important role in enhancing productivity in tropical marine ecosystems.","container-title":"Scientific Reports","DOI":"10.1038/s41598-021-81407-0","ISSN":"2045-2322","issue":"1","journalAbbreviation":"Sci Rep","language":"en","license":"2021 This is a U.S. Government work and not under copyright protection in the US; foreign copyright protection may apply","page":"3197","publisher":"Nature Publishing Group","source":"www.nature.com","title":"Surface slicks are pelagic nurseries for diverse ocean fauna","volume":"11","author":[{"family":"Whitney","given":"Jonathan L."},{"family":"Gove","given":"Jamison M."},{"family":"McManus","given":"Margaret A."},{"family":"Smith","given":"Katharine A."},{"family":"Lecky","given":"Joey"},{"family":"Neubauer","given":"Philipp"},{"family":"Phipps","given":"Jana E."},{"family":"Contreras","given":"Emily A."},{"family":"Kobayashi","given":"Donald R."},{"family":"Asner","given":"Gregory P."}],"issued":{"date-parts":[["2021",2,4]]}}}],"schema":"https://github.com/citation-style-language/schema/raw/master/csl-citation.json"} </w:instrText>
      </w:r>
      <w:r w:rsidR="00CF1DE3">
        <w:fldChar w:fldCharType="separate"/>
      </w:r>
      <w:r w:rsidR="00CF1DE3" w:rsidRPr="00CF1DE3">
        <w:t>(Whitney et al., 2021)</w:t>
      </w:r>
      <w:r w:rsidR="00CF1DE3">
        <w:fldChar w:fldCharType="end"/>
      </w:r>
      <w:r w:rsidR="00B41A14">
        <w:t xml:space="preserve">. </w:t>
      </w:r>
      <w:r w:rsidRPr="00DF4B39">
        <w:t>Such factors vary in space, alongside</w:t>
      </w:r>
      <w:r w:rsidR="004511A7">
        <w:t xml:space="preserve"> other factors that influence ichthyoplankton assemblages. I</w:t>
      </w:r>
      <w:r w:rsidRPr="00DF4B39">
        <w:t xml:space="preserve">chthyoplankton assemblages generally reflect the habitat </w:t>
      </w:r>
      <w:r w:rsidR="004511A7">
        <w:t>affinities</w:t>
      </w:r>
      <w:r w:rsidR="004511A7" w:rsidRPr="00DF4B39">
        <w:t xml:space="preserve"> </w:t>
      </w:r>
      <w:r w:rsidRPr="00DF4B39">
        <w:t>of adults</w:t>
      </w:r>
      <w:r w:rsidR="00FB680D">
        <w:t xml:space="preserve"> </w:t>
      </w:r>
      <w:r w:rsidR="00FB680D">
        <w:fldChar w:fldCharType="begin"/>
      </w:r>
      <w:r w:rsidR="00FB680D">
        <w:instrText xml:space="preserve"> ADDIN ZOTERO_ITEM CSL_CITATION {"citationID":"uRTi6Qgi","properties":{"unsorted":false,"formattedCitation":"(Doyle et al., 1993)","plainCitation":"(Doyle et al., 1993)","noteIndex":0},"citationItems":[{"id":25,"uris":["http://zotero.org/groups/6650714/items/KBPYEBZ4"],"itemData":{"id":25,"type":"webpage","genre":"Text","language":"en","publisher":"University of Miami - Rosenstiel School of Marine, Atmospheric &amp; Earth Science","title":"A Comparison of Larval Fish Assemblages in the Temperate Zone of the Northeast Pacific and Northwest Atlantic Oceans","URL":"https://www.ingentaconnect.com/content/umrsmas/bullmar/1993/00000053/00000002/art00011","author":[{"family":"Doyle","given":"Miriam J."},{"family":"Morse","given":"Wallace W."},{"family":"Kendall","given":"Jr"}],"accessed":{"date-parts":[["2026",8,28]]},"issued":{"date-parts":[["1993",9]]}}}],"schema":"https://github.com/citation-style-language/schema/raw/master/csl-citation.json"} </w:instrText>
      </w:r>
      <w:r w:rsidR="00FB680D">
        <w:fldChar w:fldCharType="separate"/>
      </w:r>
      <w:r w:rsidR="00FB680D" w:rsidRPr="00FB680D">
        <w:t>(Doyle et al., 1993)</w:t>
      </w:r>
      <w:r w:rsidR="00FB680D">
        <w:fldChar w:fldCharType="end"/>
      </w:r>
      <w:r w:rsidRPr="00DF4B39">
        <w:t xml:space="preserve">. </w:t>
      </w:r>
      <w:r w:rsidR="00FB680D">
        <w:t>Proximity to spawning habitat, as well as local currents, can therefore also influence horizontal structuring of ichthyoplankton assemblages</w:t>
      </w:r>
      <w:r w:rsidRPr="00DF4B39">
        <w:t xml:space="preserve"> </w:t>
      </w:r>
      <w:r w:rsidR="00FB680D">
        <w:fldChar w:fldCharType="begin"/>
      </w:r>
      <w:r w:rsidR="00FB680D">
        <w:instrText xml:space="preserve"> ADDIN ZOTERO_ITEM CSL_CITATION {"citationID":"tNX15Qzu","properties":{"unsorted":false,"formattedCitation":"(Richardson et al., 1980)","plainCitation":"(Richardson et al., 1980)","noteIndex":0},"citationItems":[{"id":27,"uris":["http://zotero.org/groups/6650714/items/4XMK55KQ"],"itemData":{"id":27,"type":"article-journal","abstract":"Consistent patterns of larval fish distributions were found to occur along the Oregon coast between the Columbia River and Cape Blanco during winter-spring months for the years 1972–1975. Six data sets from March 1972, April 1972, March 1973, April 1973, March 1974 and March 1975 were analyzed using the pattern recognition techniques of numerical classification. Data included 306 bongo net samples containing 34 029 larval fish in 93 taxa. Coastal, transitional, and offshore assemblages (station groups) were present in each of the sampling periods. The region of transition from coastal to offshore assemblages roughly paralleled the shelf-slope break. Coastal and offshore species associations (species groups) were also always present. Species in the coastal and offshore groups never co-occurred. The consistency of these patterns is probably related to the spawning location of adults and to the predominate longshore coastal circulation patterns. Differences in the extent of offshore distribution of the coastal assemblages among years reflected differences in local coastal wind patterns. Differences in the dominant taxa and their relative abundances within assemblages may reflect variation in timing of spawning and survival of larvae in the planktonic phase. Despite the differences, the persistent occurrence of three major assemblages, coastal, transitional and offshore, and three major species groups from year to year supports the idea that these patterns of larval fish distributions are constant features over the continental shelf region off Oregon. The constancy of these patterns over four years suggests that transport may not be a major cause of larval fish mortality and recruitment failure in this region.","container-title":"Estuarine and Coastal Marine Science","DOI":"10.1016/S0302-3524(80)80017-X","ISSN":"0302-3524","issue":"6","journalAbbreviation":"Estuarine and Coastal Marine Science","page":"671-699","source":"ScienceDirect","title":"Larval fish assemblages and associations in the north-east Pacific Ocean along the Oregon coast, winter-spring 1972–1975","volume":"11","author":[{"family":"Richardson","given":"Sally L."},{"family":"Laroche","given":"Joanne L."},{"family":"Richardson","given":"Michael D."}],"issued":{"date-parts":[["1980",12,1]]}}}],"schema":"https://github.com/citation-style-language/schema/raw/master/csl-citation.json"} </w:instrText>
      </w:r>
      <w:r w:rsidR="00FB680D">
        <w:fldChar w:fldCharType="separate"/>
      </w:r>
      <w:r w:rsidR="00FB680D" w:rsidRPr="00FB680D">
        <w:t>(Richardson et al., 1980)</w:t>
      </w:r>
      <w:r w:rsidR="00FB680D">
        <w:fldChar w:fldCharType="end"/>
      </w:r>
      <w:r w:rsidRPr="00DF4B39">
        <w:t xml:space="preserve">. Larvae also aggregate vertically to reach or maintain a position within water masses of ideal environmental conditions and transport potential </w:t>
      </w:r>
      <w:r w:rsidR="00494261">
        <w:fldChar w:fldCharType="begin"/>
      </w:r>
      <w:r w:rsidR="00494261">
        <w:instrText xml:space="preserve"> ADDIN ZOTERO_ITEM CSL_CITATION {"citationID":"SihNEOww","properties":{"unsorted":false,"formattedCitation":"(Huebert et al., 2010)","plainCitation":"(Huebert et al., 2010)","noteIndex":0},"citationItems":[{"id":30,"uris":["http://zotero.org/groups/6650714/items/QZL7UTUZ"],"itemData":{"id":30,"type":"article-journal","abstract":"Three seasons of vertically stratified ichthyoplankton sampling at the edge of the Florida Current revealed consistent accumulations of some coral reef fish larvae under taxon-specific environmental conditions. Environmental variability ranging from predictable (seasonal differences in temperature, diel changes in light, and vertical gradients in many variables) to stochastic (changes in wind-driven turbulence and patchiness of zooplankton) was used to model larval distributions. In five taxa, including the commercially important Epinephelini (groupers), relative larval densities were predicted with significant accuracy based entirely on sampling depth. Models yielding these predictions were cross-validated among all seasons, indicating that larval vertical distributions were remarkably unaffected by other environmental factors, while revealing strong behavioral preferences for specific ranges of hydrostatic pressure. Pomacentridae (damselfish) larvae consistently occupied shallower depths at night than during the day, demonstrating diel vertical migrations. At the community level, depth and season were two major factors structuring larval coral reef fish assemblages. Predictable vertical distributions of larvae in the Straits of Florida can facilitate modeling the same taxa elsewhere in the Western Central Atlantic.","container-title":"Canadian Journal of Fisheries and Aquatic Sciences","DOI":"10.1139/F10-116","ISSN":"0706-652X","issue":"11","journalAbbreviation":"Can. J. Fish. Aquat. Sci.","page":"1755-1767","publisher":"NRC Research Press","source":"cdnsciencepub.com (Atypon)","title":"Predicting the vertical distributions of reef fish larvae in the Straits of Florida from environmental factors","volume":"67","author":[{"family":"Huebert","given":"Klaus B."},{"family":"Sponaugle","given":"Su"},{"family":"Cowen","given":"Robert K."}],"issued":{"date-parts":[["2010",11]]}}}],"schema":"https://github.com/citation-style-language/schema/raw/master/csl-citation.json"} </w:instrText>
      </w:r>
      <w:r w:rsidR="00494261">
        <w:fldChar w:fldCharType="separate"/>
      </w:r>
      <w:r w:rsidR="00494261" w:rsidRPr="00494261">
        <w:t>(Huebert et al., 2010)</w:t>
      </w:r>
      <w:r w:rsidR="00494261">
        <w:fldChar w:fldCharType="end"/>
      </w:r>
      <w:r w:rsidR="00494261">
        <w:t xml:space="preserve">, resulting in vertical ichthyoplankton assemblage </w:t>
      </w:r>
      <w:r w:rsidR="00CB5111">
        <w:t>variation</w:t>
      </w:r>
      <w:r w:rsidR="00494261">
        <w:t xml:space="preserve"> </w:t>
      </w:r>
      <w:r w:rsidR="002A2056">
        <w:fldChar w:fldCharType="begin"/>
      </w:r>
      <w:r w:rsidR="002A2056">
        <w:instrText xml:space="preserve"> ADDIN ZOTERO_ITEM CSL_CITATION {"citationID":"NWJxTQgU","properties":{"unsorted":false,"formattedCitation":"(Auth,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2A2056">
        <w:fldChar w:fldCharType="separate"/>
      </w:r>
      <w:r w:rsidR="002A2056" w:rsidRPr="002A2056">
        <w:t>(Auth, 2007)</w:t>
      </w:r>
      <w:r w:rsidR="002A2056">
        <w:fldChar w:fldCharType="end"/>
      </w:r>
      <w:r w:rsidRPr="00DF4B39">
        <w:t xml:space="preserve">. </w:t>
      </w:r>
      <w:r w:rsidR="00661AD6">
        <w:t>Further, t</w:t>
      </w:r>
      <w:r w:rsidRPr="00DF4B39">
        <w:t xml:space="preserve">here is evidence </w:t>
      </w:r>
      <w:r w:rsidR="00CB5111">
        <w:t>of</w:t>
      </w:r>
      <w:r w:rsidR="00CB5111" w:rsidRPr="00DF4B39">
        <w:t xml:space="preserve"> </w:t>
      </w:r>
      <w:r w:rsidRPr="00DF4B39">
        <w:t xml:space="preserve">diel vertical migration (DVM) in </w:t>
      </w:r>
      <w:r w:rsidR="00661AD6">
        <w:t>some larval fishes</w:t>
      </w:r>
      <w:r w:rsidR="00CB5111">
        <w:t xml:space="preserve"> </w:t>
      </w:r>
      <w:r w:rsidR="00CB5111">
        <w:fldChar w:fldCharType="begin"/>
      </w:r>
      <w:r w:rsidR="00CB5111">
        <w:instrText xml:space="preserve"> ADDIN ZOTERO_ITEM CSL_CITATION {"citationID":"7qVpn56p","properties":{"unsorted":false,"formattedCitation":"(Auth,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CB5111">
        <w:fldChar w:fldCharType="separate"/>
      </w:r>
      <w:r w:rsidR="00CB5111" w:rsidRPr="00CB5111">
        <w:t>(Auth, 2007)</w:t>
      </w:r>
      <w:r w:rsidR="00CB5111">
        <w:fldChar w:fldCharType="end"/>
      </w:r>
      <w:r w:rsidRPr="00DF4B39">
        <w:t xml:space="preserve">, </w:t>
      </w:r>
      <w:r w:rsidR="00CB5111">
        <w:t>which may contribute to subdaily vertical variation in ichthyoplankton abundance and assemblage composition</w:t>
      </w:r>
      <w:r w:rsidRPr="00DF4B39">
        <w:t xml:space="preserve">. Diel </w:t>
      </w:r>
      <w:r w:rsidR="00C903B8">
        <w:t>variation in ichthyoplankton abundance and assemblage composition</w:t>
      </w:r>
      <w:r w:rsidR="00C903B8" w:rsidRPr="00DF4B39">
        <w:t xml:space="preserve"> </w:t>
      </w:r>
      <w:r w:rsidR="00C903B8">
        <w:t>caused by DVM is</w:t>
      </w:r>
      <w:r w:rsidRPr="00DF4B39">
        <w:t xml:space="preserve"> not accounted for, however, in common sampling schemes that are depth-integrated and </w:t>
      </w:r>
      <w:r w:rsidR="00C94D00">
        <w:t>sample once during a</w:t>
      </w:r>
      <w:r w:rsidRPr="00DF4B39">
        <w:t xml:space="preserve"> day</w:t>
      </w:r>
      <w:r w:rsidR="001A6532">
        <w:t xml:space="preserve"> and, as a result, can be biased by DVM</w:t>
      </w:r>
      <w:r w:rsidR="009625C6">
        <w:t xml:space="preserve"> </w:t>
      </w:r>
      <w:r w:rsidR="009625C6">
        <w:fldChar w:fldCharType="begin"/>
      </w:r>
      <w:r w:rsidR="00D50AF7">
        <w:instrText xml:space="preserve"> ADDIN ZOTERO_ITEM CSL_CITATION {"citationID":"OVrE7L5s","properties":{"unsorted":false,"formattedCitation":"(Neilson and Perry, 1990)","plainCitation":"(Neilson and Perry, 1990)","noteIndex":0},"citationItems":[{"id":42,"uris":["http://zotero.org/groups/6650714/items/42E562B6"],"itemData":{"id":42,"type":"article-journal","abstract":"Publisher Summary Diel vertical migrations are cyclic changes in the position of aquatic organisms in the water column that occur with 24-h periodicity. Such movements occur at various stages of the development of teleosts, although they are often more evident during the first year of life. Despite frequent study, fundamental questions concerning the nature of diel vertical migrations remain. For example, most life-history traits exhibit phenotypic plasticity in response to environmental factors during the development. From the fisheries viewpoint, an understanding of diel vertical migration is critical for surveys of abundance at all life-history stages. Such surveys of exploited populations of adult fish have long been employed during the stock assessment process and are becoming increasingly significant, particularly, in light of the difficulties associated with obtaining reliable commercial fishery statistics. This chapter presents a review of the studies of diel vertical migration of marine fish species. The extent to which fish exhibit plasticity in their patterns of diel migrations is examined, both with respect to varying environmental conditions and ontogeny. Most importantly, the chapter also assesses whether the patterns of diel vertical migration fits the criteria for endogenous circadian rhythms. Finally, it attempts to address whether the observed diel periodicity in depth occupied is a result of the endogenous effects whereby the periodicity is derived from the fishes' biochemistry or biophysics, rather than more direct effects of environmental stimuli, such as changes in light and temperature providing a cue for certain behavior.","DOI":"10.1016/S0065-2881(08)60200-X","language":"en","note":"Book Title: Advances in Marine Biology\nISBN: 9780120261260\nDOI: 10.1016/S0065-2881(08)60200-X","page":"115-168","publisher":"Elsevier","source":"Semantic Scholar","title":"Diel Vertical Migrations of Marine Fishes: an Obligate or Facultative Process?","title-short":"Diel Vertical Migrations of Marine Fishes","volume":"26","author":[{"family":"Neilson","given":"J.D."},{"family":"Perry","given":"R.I."}],"issued":{"date-parts":[["1990"]]}}}],"schema":"https://github.com/citation-style-language/schema/raw/master/csl-citation.json"} </w:instrText>
      </w:r>
      <w:r w:rsidR="009625C6">
        <w:fldChar w:fldCharType="separate"/>
      </w:r>
      <w:r w:rsidR="00D50AF7" w:rsidRPr="00D50AF7">
        <w:t>(Neilson and Perry, 1990)</w:t>
      </w:r>
      <w:r w:rsidR="009625C6">
        <w:fldChar w:fldCharType="end"/>
      </w:r>
      <w:r w:rsidR="00C94D00">
        <w:t>. We are not aware of any previous depth-stratified studies of ichthyoplankton abundance or assemblage composition during winter in the NCC</w:t>
      </w:r>
      <w:r w:rsidR="00AF7B28" w:rsidRPr="00DF4B39">
        <w:t>.</w:t>
      </w:r>
      <w:commentRangeEnd w:id="12"/>
      <w:r w:rsidR="001813A1" w:rsidRPr="00DF4B39">
        <w:rPr>
          <w:rStyle w:val="CommentReference"/>
          <w:sz w:val="24"/>
          <w:szCs w:val="24"/>
        </w:rPr>
        <w:commentReference w:id="12"/>
      </w:r>
      <w:r w:rsidR="005067C5" w:rsidRPr="00DF4B39">
        <w:t xml:space="preserve"> </w:t>
      </w:r>
      <w:r w:rsidR="00C94D00">
        <w:t xml:space="preserve">Consequently, </w:t>
      </w:r>
      <w:r w:rsidR="001A6532">
        <w:t xml:space="preserve">the degree of vertical variation in ichthyoplankton abundance and assemblage composition during winter, the time of greatest larval fish abundance and diversity in this region, </w:t>
      </w:r>
      <w:r w:rsidR="00C94D00">
        <w:t>is unknown</w:t>
      </w:r>
      <w:r w:rsidR="009625C6">
        <w:t>. Similarly,</w:t>
      </w:r>
      <w:r w:rsidR="001A6532">
        <w:t xml:space="preserve"> </w:t>
      </w:r>
      <w:r w:rsidR="009625C6">
        <w:t>the degree to which</w:t>
      </w:r>
      <w:r w:rsidR="00C94D00">
        <w:t xml:space="preserve"> </w:t>
      </w:r>
      <w:r w:rsidR="001A6532">
        <w:t xml:space="preserve">the limited research on environmental </w:t>
      </w:r>
      <w:r w:rsidR="009625C6">
        <w:t>influences on winter ichthyoplankton assemblages is biased by DVM</w:t>
      </w:r>
      <w:r w:rsidR="00D50AF7">
        <w:t xml:space="preserve"> is unknown</w:t>
      </w:r>
      <w:commentRangeStart w:id="17"/>
      <w:commentRangeStart w:id="18"/>
      <w:r w:rsidR="008544F1" w:rsidRPr="00DF4B39">
        <w:t>.</w:t>
      </w:r>
      <w:commentRangeEnd w:id="17"/>
      <w:r w:rsidR="00DF4B39" w:rsidRPr="00DF4B39">
        <w:rPr>
          <w:rStyle w:val="CommentReference"/>
          <w:sz w:val="24"/>
          <w:szCs w:val="24"/>
        </w:rPr>
        <w:commentReference w:id="17"/>
      </w:r>
      <w:commentRangeEnd w:id="18"/>
      <w:r w:rsidR="00D50AF7" w:rsidRPr="00DF4B39">
        <w:rPr>
          <w:rStyle w:val="CommentReference"/>
          <w:sz w:val="24"/>
          <w:szCs w:val="24"/>
        </w:rPr>
        <w:commentReference w:id="18"/>
      </w:r>
    </w:p>
    <w:p w14:paraId="57A65343" w14:textId="08151A62" w:rsidR="00CB0420" w:rsidRPr="00DF4B39" w:rsidRDefault="00EA4AC4" w:rsidP="00241E61">
      <w:r w:rsidRPr="00DF4B39">
        <w:lastRenderedPageBreak/>
        <w:t>Using depth-discrete</w:t>
      </w:r>
      <w:r w:rsidR="00BB3B43">
        <w:t xml:space="preserve"> winter</w:t>
      </w:r>
      <w:r w:rsidRPr="00DF4B39">
        <w:t xml:space="preserve"> ichthyoplankton </w:t>
      </w:r>
      <w:r w:rsidR="00D50AF7">
        <w:t xml:space="preserve">abundance </w:t>
      </w:r>
      <w:r w:rsidRPr="00DF4B39">
        <w:t>data, we</w:t>
      </w:r>
      <w:r w:rsidR="00ED380A">
        <w:t xml:space="preserve"> (1) characterized winter ichthyoplankton assemblages</w:t>
      </w:r>
      <w:r w:rsidR="00BB3B43">
        <w:t xml:space="preserve"> of the NCC</w:t>
      </w:r>
      <w:r w:rsidR="00ED380A">
        <w:t>, (2) used fine-scale spatiotemporal and environmental factors to explain variation in winter ichthyoplankton assemblage composition, and (3) examined taxon-specific diel variation in vertical abundance distribution</w:t>
      </w:r>
      <w:r w:rsidRPr="00DF4B39">
        <w:t xml:space="preserve">. </w:t>
      </w:r>
      <w:r w:rsidR="00852AFF">
        <w:t xml:space="preserve">The results of this study will support </w:t>
      </w:r>
      <w:r w:rsidRPr="00DF4B39">
        <w:t xml:space="preserve">prediction of </w:t>
      </w:r>
      <w:r w:rsidR="00852AFF">
        <w:t>larval</w:t>
      </w:r>
      <w:r w:rsidRPr="00DF4B39">
        <w:t xml:space="preserve"> abundance </w:t>
      </w:r>
      <w:r w:rsidR="00852AFF">
        <w:t xml:space="preserve">of </w:t>
      </w:r>
      <w:r w:rsidRPr="00DF4B39">
        <w:t xml:space="preserve">and recruitment </w:t>
      </w:r>
      <w:r w:rsidR="00852AFF">
        <w:t xml:space="preserve">to adult populations </w:t>
      </w:r>
      <w:r w:rsidRPr="00DF4B39">
        <w:t xml:space="preserve">of </w:t>
      </w:r>
      <w:r w:rsidR="00852AFF">
        <w:t xml:space="preserve">winter-spawning fish </w:t>
      </w:r>
      <w:r w:rsidR="001A7C11">
        <w:t>and reveal potential diel biases in estimates of the abundance of larval fishes</w:t>
      </w:r>
      <w:r w:rsidRPr="00DF4B39">
        <w:t xml:space="preserve">.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37619C96" w:rsidR="00434324" w:rsidRDefault="00956532" w:rsidP="00241E61">
      <w:r>
        <w:t>Field sampling took place</w:t>
      </w:r>
      <w:r w:rsidR="00BB3B43">
        <w:t xml:space="preserve"> </w:t>
      </w:r>
      <w:r>
        <w:t xml:space="preserve">in the NCC (41–47°N) on four research cruises </w:t>
      </w:r>
      <w:r w:rsidR="005D1578">
        <w:t>during February 17–23, 2018; March 4–12, 2019; March 3–11, 2022; and February 17–26, 2023.</w:t>
      </w:r>
      <w:r>
        <w:t xml:space="preserve"> In 2018 and 2019, sampling took place</w:t>
      </w:r>
      <w:r w:rsidR="00553F2A">
        <w:t xml:space="preserve"> at five stations</w:t>
      </w:r>
      <w:r>
        <w:t xml:space="preserve"> along</w:t>
      </w:r>
      <w:r w:rsidR="00553F2A">
        <w:t xml:space="preserve"> each of</w:t>
      </w:r>
      <w:r>
        <w:t xml:space="preserve"> two cross-shelf transects, which were sampled multiple times during both day and night. In 2022 and 2023, six cross-shelf transects</w:t>
      </w:r>
      <w:r w:rsidR="00553F2A">
        <w:t xml:space="preserve"> with 4–6 stations each</w:t>
      </w:r>
      <w:r>
        <w:t xml:space="preserve"> were sampled once per cruise.</w:t>
      </w:r>
      <w:r w:rsidR="001F3F34">
        <w:t xml:space="preserve"> (Fig. 1A)</w:t>
      </w:r>
    </w:p>
    <w:p w14:paraId="5A06343A" w14:textId="2C304EC0" w:rsidR="00956532" w:rsidRDefault="00956532" w:rsidP="00241E61">
      <w:r>
        <w:t>Plankton samples were collected using a coupled Multiple Opening/Closing Net and Environmental Sensing System (MOCNESS)</w:t>
      </w:r>
      <w:r w:rsidR="00553F2A">
        <w:t xml:space="preserve"> which had two sets of four nets. One set of nets had a 1-m</w:t>
      </w:r>
      <w:r w:rsidR="00553F2A">
        <w:rPr>
          <w:vertAlign w:val="superscript"/>
        </w:rPr>
        <w:t>2</w:t>
      </w:r>
      <w:r w:rsidR="00553F2A">
        <w:t xml:space="preserve"> </w:t>
      </w:r>
      <w:r w:rsidR="001D22B8">
        <w:t>mouth</w:t>
      </w:r>
      <w:r w:rsidR="00553F2A">
        <w:t xml:space="preserve"> and 333-µm mesh, while the other set had a 4-m</w:t>
      </w:r>
      <w:r w:rsidR="00553F2A">
        <w:rPr>
          <w:vertAlign w:val="superscript"/>
        </w:rPr>
        <w:t>2</w:t>
      </w:r>
      <w:r w:rsidR="00553F2A">
        <w:t xml:space="preserve"> </w:t>
      </w:r>
      <w:r w:rsidR="001D22B8">
        <w:t>mouth</w:t>
      </w:r>
      <w:r w:rsidR="00553F2A">
        <w:t xml:space="preserve"> and 1000-µm mesh. Each successive net was used to sample from approximately 100–75 m, 75–50 m, 50–25 m, and 25–0 m depth</w:t>
      </w:r>
      <w:r w:rsidR="001D22B8">
        <w:t>. At sampling stations where the seafloor was &lt; 100 m below the surface, the MOCNESS was used to sample as close as possible (&lt; 10 m) to the seafloor</w:t>
      </w:r>
      <w:r w:rsidR="00553F2A">
        <w:t>. A depth sensor on the MOCNESS was used to monitor its depth</w:t>
      </w:r>
      <w:r w:rsidR="003A7D45">
        <w:t xml:space="preserve"> (m)</w:t>
      </w:r>
      <w:r w:rsidR="00553F2A">
        <w:t>, and temperature and conductivity sensors were used to measure temperature</w:t>
      </w:r>
      <w:r w:rsidR="003A7D45">
        <w:t xml:space="preserve"> (°C)</w:t>
      </w:r>
      <w:r w:rsidR="00553F2A">
        <w:t xml:space="preserve"> and salinity</w:t>
      </w:r>
      <w:r w:rsidR="003A7D45">
        <w:t xml:space="preserve"> (PSU)</w:t>
      </w:r>
      <w:r w:rsidR="00553F2A">
        <w:t xml:space="preserve"> </w:t>
      </w:r>
      <w:r w:rsidR="003A7D45">
        <w:t xml:space="preserve">at a rate of 1 Hz </w:t>
      </w:r>
      <w:r w:rsidR="00553F2A">
        <w:t>during sampl</w:t>
      </w:r>
      <w:r w:rsidR="001D22B8">
        <w:t>ing</w:t>
      </w:r>
      <w:r w:rsidR="001F3F34">
        <w:t>. Mean depth, temperature, and salinity during each net tow was calculated (Fig. 1B–C)</w:t>
      </w:r>
      <w:r w:rsidR="001D22B8">
        <w:t>. Upon retrieval of the MOCNESS, bulk plankton samples were preserved in 95% ethanol. All ichthyoplankton were then visually identified to the finest possible taxonomic resolution (usually genus- or species-level) and counted.</w:t>
      </w:r>
    </w:p>
    <w:p w14:paraId="75E0D72F" w14:textId="12553B88" w:rsidR="001D22B8" w:rsidRPr="00DE1D8D" w:rsidRDefault="00036569" w:rsidP="00241E61">
      <w:r>
        <w:t xml:space="preserve">At each sampling station, usually immediately prior to, but always within </w:t>
      </w:r>
      <w:r w:rsidR="00F905C9">
        <w:t>3</w:t>
      </w:r>
      <w:r>
        <w:t xml:space="preserve"> h of</w:t>
      </w:r>
      <w:r w:rsidR="001F3F34">
        <w:t>,</w:t>
      </w:r>
      <w:r>
        <w:t xml:space="preserve"> MOCNESS sampling, a </w:t>
      </w:r>
      <w:r w:rsidR="00F905C9">
        <w:t>sensor package including a dissolved oxygen sensor</w:t>
      </w:r>
      <w:r>
        <w:t xml:space="preserve"> </w:t>
      </w:r>
      <w:r w:rsidR="003A7D45">
        <w:t xml:space="preserve">and a fluorescence probe </w:t>
      </w:r>
      <w:r>
        <w:t>was towed vertically through the top 100 m of the water column</w:t>
      </w:r>
      <w:r w:rsidR="00D919C0">
        <w:t xml:space="preserve">. </w:t>
      </w:r>
      <w:r w:rsidR="001F3F34">
        <w:t xml:space="preserve">At sampling stations where the seafloor was &lt; 100 m below the surface, the sensor package was used to </w:t>
      </w:r>
      <w:r w:rsidR="003A7D45">
        <w:t>measure dissolved oxygen (</w:t>
      </w:r>
      <w:r w:rsidR="00851E58">
        <w:t xml:space="preserve">DO; </w:t>
      </w:r>
      <w:r w:rsidR="003A7D45">
        <w:t>mL L</w:t>
      </w:r>
      <w:r w:rsidR="003A7D45">
        <w:rPr>
          <w:vertAlign w:val="superscript"/>
        </w:rPr>
        <w:t>-1</w:t>
      </w:r>
      <w:r w:rsidR="003A7D45">
        <w:t xml:space="preserve">) and </w:t>
      </w:r>
      <w:r w:rsidR="00851E58">
        <w:t>chlorophyll-</w:t>
      </w:r>
      <w:r w:rsidR="00851E58">
        <w:rPr>
          <w:i/>
          <w:iCs/>
        </w:rPr>
        <w:t>a</w:t>
      </w:r>
      <w:r w:rsidR="00851E58">
        <w:t xml:space="preserve"> </w:t>
      </w:r>
      <w:r w:rsidR="003A7D45">
        <w:t>(</w:t>
      </w:r>
      <w:r w:rsidR="00851E58">
        <w:t>chl-</w:t>
      </w:r>
      <w:r w:rsidR="00851E58">
        <w:rPr>
          <w:i/>
          <w:iCs/>
        </w:rPr>
        <w:t>a</w:t>
      </w:r>
      <w:r w:rsidR="00851E58">
        <w:t>; mg m</w:t>
      </w:r>
      <w:r w:rsidR="00851E58">
        <w:rPr>
          <w:vertAlign w:val="superscript"/>
        </w:rPr>
        <w:t>-3</w:t>
      </w:r>
      <w:r w:rsidR="00851E58">
        <w:t>)</w:t>
      </w:r>
      <w:r w:rsidR="001F3F34">
        <w:t xml:space="preserve"> as close as possible (&lt; 10 m) to the seafloor. </w:t>
      </w:r>
      <w:r w:rsidR="00851E58">
        <w:t>DO</w:t>
      </w:r>
      <w:r w:rsidR="003A7D45">
        <w:t xml:space="preserve"> and </w:t>
      </w:r>
      <w:r w:rsidR="00851E58">
        <w:t>chl-</w:t>
      </w:r>
      <w:r w:rsidR="00851E58">
        <w:rPr>
          <w:i/>
          <w:iCs/>
        </w:rPr>
        <w:t>a</w:t>
      </w:r>
      <w:r w:rsidR="003A7D45">
        <w:t xml:space="preserve"> values were averaged within 0.5-m depth bins. Then, mean </w:t>
      </w:r>
      <w:r w:rsidR="00851E58">
        <w:t>DO</w:t>
      </w:r>
      <w:r w:rsidR="003A7D45">
        <w:t xml:space="preserve"> </w:t>
      </w:r>
      <w:r w:rsidR="00851E58">
        <w:t>within the range of depths sampled by each corresponding MOCNESS net tow was calculated</w:t>
      </w:r>
      <w:r w:rsidR="00796201">
        <w:t xml:space="preserve"> (Fig. 1D)</w:t>
      </w:r>
      <w:r w:rsidR="00851E58">
        <w:t>. Mean chl-</w:t>
      </w:r>
      <w:r w:rsidR="00851E58">
        <w:rPr>
          <w:i/>
          <w:iCs/>
        </w:rPr>
        <w:t xml:space="preserve">a </w:t>
      </w:r>
      <w:r w:rsidR="00851E58">
        <w:t>was calculated</w:t>
      </w:r>
      <w:r w:rsidR="00851E58">
        <w:rPr>
          <w:i/>
          <w:iCs/>
        </w:rPr>
        <w:t xml:space="preserve"> </w:t>
      </w:r>
      <w:r w:rsidR="00851E58">
        <w:t>across all depths sampled</w:t>
      </w:r>
      <w:r w:rsidR="00DE1D8D">
        <w:t xml:space="preserve"> at a given station</w:t>
      </w:r>
      <w:r w:rsidR="00796201">
        <w:t xml:space="preserve"> (Fig. 1E)</w:t>
      </w:r>
      <w:r w:rsidR="00851E58">
        <w:t>, as the vertical position of phytoplankton and zooplankton that are prey for larval fish change on shorter temporal scales than those at which they likely influence the abundance of larval fish, so we expected</w:t>
      </w:r>
      <w:r w:rsidR="00DE1D8D">
        <w:t xml:space="preserve"> depth-integrated</w:t>
      </w:r>
      <w:r w:rsidR="00851E58">
        <w:t xml:space="preserve"> chl-</w:t>
      </w:r>
      <w:r w:rsidR="00851E58">
        <w:rPr>
          <w:i/>
          <w:iCs/>
        </w:rPr>
        <w:t>a</w:t>
      </w:r>
      <w:r w:rsidR="00851E58">
        <w:t xml:space="preserve"> to be more relevant to ichthyoplankton abundance and assemblage composition </w:t>
      </w:r>
      <w:r w:rsidR="00DE1D8D">
        <w:t>than depth-discrete chl-</w:t>
      </w:r>
      <w:r w:rsidR="00DE1D8D">
        <w:rPr>
          <w:i/>
          <w:iCs/>
        </w:rPr>
        <w:t>a</w:t>
      </w:r>
      <w:r w:rsidR="00DE1D8D">
        <w:t>.</w:t>
      </w:r>
    </w:p>
    <w:p w14:paraId="69B52700" w14:textId="071DD95E" w:rsidR="009D242D" w:rsidRDefault="00434324" w:rsidP="00241E61">
      <w:pPr>
        <w:pStyle w:val="Heading2"/>
      </w:pPr>
      <w:r>
        <w:t>2.2</w:t>
      </w:r>
      <w:r>
        <w:tab/>
      </w:r>
      <w:r w:rsidR="009B4152">
        <w:t>Statistical</w:t>
      </w:r>
      <w:r w:rsidR="004E11AC">
        <w:t xml:space="preserve"> </w:t>
      </w:r>
      <w:r w:rsidR="008F647F">
        <w:t>analysis</w:t>
      </w:r>
    </w:p>
    <w:p w14:paraId="6F3B9DCA" w14:textId="30555F73" w:rsidR="00E82058" w:rsidRDefault="00FB37D5" w:rsidP="00241E61">
      <w:r>
        <w:t>All data analyses were performed in RStudio</w:t>
      </w:r>
      <w:commentRangeStart w:id="19"/>
      <w:commentRangeStart w:id="20"/>
      <w:r w:rsidR="00013228">
        <w:t xml:space="preserve">. </w:t>
      </w:r>
      <w:commentRangeEnd w:id="19"/>
      <w:r w:rsidR="00DF4B39">
        <w:rPr>
          <w:rStyle w:val="CommentReference"/>
          <w:sz w:val="24"/>
          <w:szCs w:val="24"/>
        </w:rPr>
        <w:commentReference w:id="19"/>
      </w:r>
      <w:commentRangeEnd w:id="20"/>
      <w:r w:rsidR="006A441B">
        <w:rPr>
          <w:rStyle w:val="CommentReference"/>
          <w:sz w:val="24"/>
          <w:szCs w:val="24"/>
        </w:rPr>
        <w:commentReference w:id="20"/>
      </w:r>
      <w:r>
        <w:t xml:space="preserve">To identify </w:t>
      </w:r>
      <w:r w:rsidR="00174277">
        <w:t xml:space="preserve">ecologically distinct </w:t>
      </w:r>
      <w:r>
        <w:t>larval fish assemblages,</w:t>
      </w:r>
      <w:r w:rsidR="00174277">
        <w:t xml:space="preserve"> </w:t>
      </w:r>
      <w:r w:rsidR="009F7822">
        <w:t xml:space="preserve">first </w:t>
      </w:r>
      <w:r w:rsidR="00DF592A">
        <w:t xml:space="preserve">the density of each taxonomic group within each net tow was </w:t>
      </w:r>
      <w:commentRangeStart w:id="21"/>
      <w:r w:rsidR="00DF592A">
        <w:t>square-root transformed</w:t>
      </w:r>
      <w:commentRangeEnd w:id="21"/>
      <w:r w:rsidR="00F96063">
        <w:rPr>
          <w:rStyle w:val="CommentReference"/>
          <w:sz w:val="24"/>
          <w:szCs w:val="24"/>
        </w:rPr>
        <w:commentReference w:id="21"/>
      </w:r>
      <w:r w:rsidR="00DF592A">
        <w:t xml:space="preserve">. These were then used to generate a matrix of Bray-Curtis dissimilarities between </w:t>
      </w:r>
      <w:r w:rsidR="00DF592A">
        <w:lastRenderedPageBreak/>
        <w:t>net tows. Agglomerative hierarchal clustering was performed on th</w:t>
      </w:r>
      <w:r w:rsidR="009B20E9">
        <w:t xml:space="preserve">e dissimilarity matrix </w:t>
      </w:r>
      <w:r w:rsidR="00C2372B">
        <w:t xml:space="preserve">with the “average” method. </w:t>
      </w:r>
      <w:r w:rsidR="005B6DC3">
        <w:t>To determine the number of clusters necessary</w:t>
      </w:r>
      <w:r w:rsidR="00AE209F">
        <w:t xml:space="preserve"> to observe </w:t>
      </w:r>
      <w:r w:rsidR="00F53EA2">
        <w:t xml:space="preserve">ecologically </w:t>
      </w:r>
      <w:r w:rsidR="001E3F28">
        <w:t>and taxonomically distin</w:t>
      </w:r>
      <w:r w:rsidR="00455278">
        <w:t>ct assemblages</w:t>
      </w:r>
      <w:r w:rsidR="00B65034">
        <w:t xml:space="preserve">, a dendrogram of the clustering results </w:t>
      </w:r>
      <w:r w:rsidR="004638C0">
        <w:t>was</w:t>
      </w:r>
      <w:r w:rsidR="00B65034">
        <w:t xml:space="preserve"> plotted</w:t>
      </w:r>
      <w:r w:rsidR="004638C0">
        <w:t xml:space="preserve"> with </w:t>
      </w:r>
      <w:r w:rsidR="00DC2FF2">
        <w:t>overlayed rectangles to identify cluster boundaries</w:t>
      </w:r>
      <w:r w:rsidR="00B65034">
        <w:t xml:space="preserve">. </w:t>
      </w:r>
    </w:p>
    <w:p w14:paraId="642149D3" w14:textId="656D75C7" w:rsidR="004E11AC" w:rsidRDefault="00D30611" w:rsidP="00241E61">
      <w:r>
        <w:t xml:space="preserve">To visualize the taxonomic composition of each cluster, </w:t>
      </w:r>
      <w:r w:rsidR="00191EA4">
        <w:t xml:space="preserve">the taxa densities in each net tow were plotted </w:t>
      </w:r>
      <w:r w:rsidR="003D3264">
        <w:t xml:space="preserve">in a stacked bar plot. Beyond </w:t>
      </w:r>
      <w:r w:rsidR="00F07BFB">
        <w:t>this visual assessment,</w:t>
      </w:r>
      <w:r w:rsidR="003D3264">
        <w:t xml:space="preserve"> an in</w:t>
      </w:r>
      <w:r w:rsidR="006D744D">
        <w:t xml:space="preserve">dicator species analysis </w:t>
      </w:r>
      <w:r w:rsidR="004D2F54">
        <w:t xml:space="preserve">(ISA) </w:t>
      </w:r>
      <w:r w:rsidR="006D744D">
        <w:t>was run</w:t>
      </w:r>
      <w:r w:rsidR="00F07BFB">
        <w:t xml:space="preserve"> to identify </w:t>
      </w:r>
      <w:r w:rsidR="005166E6">
        <w:t>dominant taxonomic group(s) for every cluster</w:t>
      </w:r>
      <w:r w:rsidR="006D744D">
        <w:t xml:space="preserve">. </w:t>
      </w:r>
      <w:r w:rsidR="004D2F54">
        <w:t xml:space="preserve">The bar plot and ISA were used in conjunction to </w:t>
      </w:r>
      <w:r w:rsidR="00B37C7A">
        <w:t>define major clusters of interest and the</w:t>
      </w:r>
      <w:r w:rsidR="002826AD">
        <w:t xml:space="preserve"> ecological </w:t>
      </w:r>
      <w:r w:rsidR="00317731">
        <w:t>community they represent.</w:t>
      </w:r>
      <w:r w:rsidR="0059642C">
        <w:t xml:space="preserve"> </w:t>
      </w:r>
      <w:r w:rsidR="00374B65">
        <w:t xml:space="preserve">Net tows were then mapped </w:t>
      </w:r>
      <w:r w:rsidR="00AC5338">
        <w:t xml:space="preserve">by cluster and net number to </w:t>
      </w:r>
      <w:r w:rsidR="00CF67EC">
        <w:t>observe</w:t>
      </w:r>
      <w:r w:rsidR="00AC5338">
        <w:t xml:space="preserve"> how the clusters </w:t>
      </w:r>
      <w:r w:rsidR="00666F7B">
        <w:t>distribute in</w:t>
      </w:r>
      <w:r w:rsidR="00AC5338">
        <w:t xml:space="preserve"> vertical and horizontal </w:t>
      </w:r>
      <w:r w:rsidR="00666F7B">
        <w:t xml:space="preserve">space. </w:t>
      </w:r>
      <w:r w:rsidR="00AC5338">
        <w:t xml:space="preserve"> </w:t>
      </w:r>
    </w:p>
    <w:p w14:paraId="59FE776A" w14:textId="57312145" w:rsidR="00155087" w:rsidRDefault="006B0B32" w:rsidP="00241E61">
      <w:r>
        <w:t xml:space="preserve">An NMDS was run on the </w:t>
      </w:r>
      <w:r w:rsidR="00556910">
        <w:t>previously described Bray-Curtis dissimilarity matrix</w:t>
      </w:r>
      <w:r w:rsidR="00752993">
        <w:t xml:space="preserve">. The stress of the ordination was determined and its </w:t>
      </w:r>
      <w:r w:rsidR="006E7A6D">
        <w:t>relevance</w:t>
      </w:r>
      <w:r w:rsidR="009B00D7">
        <w:t xml:space="preserve"> </w:t>
      </w:r>
      <w:r w:rsidR="006E7A6D">
        <w:t xml:space="preserve">in the context of our data was assessed with the </w:t>
      </w:r>
      <w:r w:rsidR="0000445A">
        <w:t xml:space="preserve">iterative </w:t>
      </w:r>
      <w:r w:rsidR="00705ECA">
        <w:t>permutation</w:t>
      </w:r>
      <w:r w:rsidR="0000445A">
        <w:t xml:space="preserve"> </w:t>
      </w:r>
      <w:r w:rsidR="00705ECA">
        <w:t xml:space="preserve">methodology </w:t>
      </w:r>
      <w:r w:rsidR="000422F8">
        <w:t>proposed</w:t>
      </w:r>
      <w:r w:rsidR="00350BBD">
        <w:t xml:space="preserve"> </w:t>
      </w:r>
      <w:r w:rsidR="00110242">
        <w:t>by Dexter et al. (2018)</w:t>
      </w:r>
      <w:r w:rsidR="00A81F94">
        <w:t>.</w:t>
      </w:r>
      <w:r w:rsidR="0050797B">
        <w:t xml:space="preserve"> </w:t>
      </w:r>
    </w:p>
    <w:p w14:paraId="6F5EA593" w14:textId="364F636C" w:rsidR="00855538" w:rsidRDefault="00855538" w:rsidP="00241E61">
      <w:r>
        <w:t xml:space="preserve">A negative binomial generalized linear mixed effects model (GLMM) was fit to counts of larval fish from each taxon in each </w:t>
      </w:r>
      <w:r w:rsidR="0062773F">
        <w:t>sample</w:t>
      </w:r>
      <w:r w:rsidR="00BA2B40" w:rsidRPr="00BA2B40">
        <w:t xml:space="preserve"> </w:t>
      </w:r>
      <w:r w:rsidR="00BA2B40">
        <w:t>using glmmTMB</w:t>
      </w:r>
      <w:r>
        <w:t xml:space="preserve">. The log link was used and an offset for the log-transformed volume filtered </w:t>
      </w:r>
      <w:r w:rsidR="00BA2B40">
        <w:t xml:space="preserve">during each net tow was included to account for the effect of sampling effort. </w:t>
      </w:r>
      <w:r w:rsidR="00196E2D">
        <w:t>Fixed effects included taxon, year, time of day, depth, latitude, seafloor depth, temperature, salinity, DO, chl-</w:t>
      </w:r>
      <w:r w:rsidR="00196E2D">
        <w:rPr>
          <w:i/>
          <w:iCs/>
        </w:rPr>
        <w:t>a</w:t>
      </w:r>
      <w:r w:rsidR="00196E2D" w:rsidRPr="00A155FE">
        <w:t>,</w:t>
      </w:r>
      <w:r w:rsidR="00196E2D">
        <w:rPr>
          <w:i/>
          <w:iCs/>
        </w:rPr>
        <w:t xml:space="preserve"> </w:t>
      </w:r>
      <w:r w:rsidR="00196E2D">
        <w:t xml:space="preserve">and the full interaction among taxon, time of day, and depth. Continuous predictors were centered and scaled before model fitting. A random intercept for sample was included. </w:t>
      </w:r>
      <w:r w:rsidR="00BA2B40">
        <w:t>The model is represented by the equation:</w:t>
      </w:r>
    </w:p>
    <w:p w14:paraId="482E280D" w14:textId="5B7C9D52"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i,j,k</m:t>
              </m:r>
            </m:sub>
          </m:sSub>
          <m:r>
            <w:rPr>
              <w:rFonts w:ascii="Cambria Math" w:eastAsiaTheme="minorEastAsia" w:hAnsi="Cambria Math"/>
            </w:rPr>
            <m:t> ~ NB</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r>
                <w:rPr>
                  <w:rFonts w:ascii="Cambria Math" w:eastAsiaTheme="minorEastAsia" w:hAnsi="Cambria Math"/>
                </w:rPr>
                <m:t>,ϕ</m:t>
              </m:r>
            </m:e>
          </m:d>
        </m:oMath>
      </m:oMathPara>
    </w:p>
    <w:p w14:paraId="027E228B" w14:textId="701A3792" w:rsidR="00BA2B40" w:rsidRPr="0062773F" w:rsidRDefault="0062773F" w:rsidP="00241E61">
      <w:pPr>
        <w:rPr>
          <w:rFonts w:eastAsiaTheme="minorEastAsia"/>
        </w:rPr>
      </w:pPr>
      <m:oMathPara>
        <m:oMath>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e>
          </m:d>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i,j,k</m:t>
                  </m:r>
                </m:sub>
              </m:sSub>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m:t>
              </m:r>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year</m:t>
              </m:r>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+bet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sSub>
            <m:sSubPr>
              <m:ctrlPr>
                <w:rPr>
                  <w:rFonts w:ascii="Cambria Math" w:eastAsiaTheme="minorEastAsia" w:hAnsi="Cambria Math"/>
                </w:rPr>
              </m:ctrlPr>
            </m:sSubPr>
            <m:e>
              <m:r>
                <m:rPr>
                  <m:nor/>
                </m:rPr>
                <w:rPr>
                  <w:rFonts w:ascii="Cambria Math" w:eastAsiaTheme="minorEastAsia" w:hAnsi="Cambria Math"/>
                </w:rPr>
                <m:t>latitude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4</m:t>
              </m:r>
            </m:sub>
          </m:sSub>
          <m:sSub>
            <m:sSubPr>
              <m:ctrlPr>
                <w:rPr>
                  <w:rFonts w:ascii="Cambria Math" w:eastAsiaTheme="minorEastAsia" w:hAnsi="Cambria Math"/>
                </w:rPr>
              </m:ctrlPr>
            </m:sSubPr>
            <m:e>
              <m:r>
                <m:rPr>
                  <m:nor/>
                </m:rPr>
                <w:rPr>
                  <w:rFonts w:ascii="Cambria Math" w:eastAsiaTheme="minorEastAsia" w:hAnsi="Cambria Math"/>
                </w:rPr>
                <m:t>seafloor 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5</m:t>
              </m:r>
            </m:sub>
          </m:sSub>
          <m:sSub>
            <m:sSubPr>
              <m:ctrlPr>
                <w:rPr>
                  <w:rFonts w:ascii="Cambria Math" w:eastAsiaTheme="minorEastAsia" w:hAnsi="Cambria Math"/>
                </w:rPr>
              </m:ctrlPr>
            </m:sSubPr>
            <m:e>
              <m:r>
                <m:rPr>
                  <m:nor/>
                </m:rPr>
                <w:rPr>
                  <w:rFonts w:ascii="Cambria Math" w:eastAsiaTheme="minorEastAsia" w:hAnsi="Cambria Math"/>
                </w:rPr>
                <m:t>temperature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6</m:t>
              </m:r>
            </m:sub>
          </m:sSub>
          <m:sSub>
            <m:sSubPr>
              <m:ctrlPr>
                <w:rPr>
                  <w:rFonts w:ascii="Cambria Math" w:eastAsiaTheme="minorEastAsia" w:hAnsi="Cambria Math"/>
                </w:rPr>
              </m:ctrlPr>
            </m:sSubPr>
            <m:e>
              <m:r>
                <m:rPr>
                  <m:nor/>
                </m:rPr>
                <w:rPr>
                  <w:rFonts w:ascii="Cambria Math" w:eastAsiaTheme="minorEastAsia" w:hAnsi="Cambria Math"/>
                </w:rPr>
                <m:t>salinity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7</m:t>
              </m:r>
            </m:sub>
          </m:sSub>
          <m:sSub>
            <m:sSubPr>
              <m:ctrlPr>
                <w:rPr>
                  <w:rFonts w:ascii="Cambria Math" w:eastAsiaTheme="minorEastAsia" w:hAnsi="Cambria Math"/>
                </w:rPr>
              </m:ctrlPr>
            </m:sSubPr>
            <m:e>
              <m:r>
                <m:rPr>
                  <m:nor/>
                </m:rPr>
                <w:rPr>
                  <w:rFonts w:ascii="Cambria Math" w:eastAsiaTheme="minorEastAsia" w:hAnsi="Cambria Math"/>
                </w:rPr>
                <m:t>DO</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8</m:t>
              </m:r>
            </m:sub>
          </m:sSub>
          <m:sSub>
            <m:sSubPr>
              <m:ctrlPr>
                <w:rPr>
                  <w:rFonts w:ascii="Cambria Math" w:eastAsiaTheme="minorEastAsia" w:hAnsi="Cambria Math"/>
                </w:rPr>
              </m:ctrlPr>
            </m:sSubPr>
            <m:e>
              <m:r>
                <m:rPr>
                  <m:nor/>
                </m:rPr>
                <w:rPr>
                  <w:rFonts w:ascii="Cambria Math" w:eastAsiaTheme="minorEastAsia" w:hAnsi="Cambria Math"/>
                </w:rPr>
                <m:t>chl-a</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time of day:depth</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oMath>
      </m:oMathPara>
    </w:p>
    <w:p w14:paraId="45A440BA" w14:textId="5C0AF5B5"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 ~ Normal</m:t>
          </m:r>
          <m:d>
            <m:dPr>
              <m:ctrlPr>
                <w:rPr>
                  <w:rFonts w:ascii="Cambria Math" w:eastAsiaTheme="minorEastAsia" w:hAnsi="Cambria Math"/>
                </w:rPr>
              </m:ctrlPr>
            </m:dPr>
            <m:e>
              <m:r>
                <w:rPr>
                  <w:rFonts w:ascii="Cambria Math" w:eastAsiaTheme="minorEastAsia" w:hAnsi="Cambria Math"/>
                </w:rPr>
                <m:t>0,</m:t>
              </m:r>
              <m:sSubSup>
                <m:sSubSupPr>
                  <m:ctrlPr>
                    <w:rPr>
                      <w:rFonts w:ascii="Cambria Math" w:eastAsiaTheme="minorEastAsia" w:hAnsi="Cambria Math"/>
                    </w:rPr>
                  </m:ctrlPr>
                </m:sSubSupPr>
                <m:e>
                  <m:r>
                    <w:rPr>
                      <w:rFonts w:ascii="Cambria Math" w:eastAsiaTheme="minorEastAsia" w:hAnsi="Cambria Math"/>
                    </w:rPr>
                    <m:t>σ</m:t>
                  </m:r>
                </m:e>
                <m:sub>
                  <m:r>
                    <m:rPr>
                      <m:nor/>
                    </m:rPr>
                    <w:rPr>
                      <w:rFonts w:ascii="Cambria Math" w:eastAsiaTheme="minorEastAsia" w:hAnsi="Cambria Math"/>
                    </w:rPr>
                    <m:t>sample</m:t>
                  </m:r>
                </m:sub>
                <m:sup>
                  <m:r>
                    <w:rPr>
                      <w:rFonts w:ascii="Cambria Math" w:eastAsiaTheme="minorEastAsia" w:hAnsi="Cambria Math"/>
                    </w:rPr>
                    <m:t>2</m:t>
                  </m:r>
                </m:sup>
              </m:sSubSup>
            </m:e>
          </m:d>
        </m:oMath>
      </m:oMathPara>
    </w:p>
    <w:p w14:paraId="0FC95036" w14:textId="5F56FCD1" w:rsidR="00855538" w:rsidRDefault="0062773F" w:rsidP="00241E61">
      <w:r>
        <w:t xml:space="preserve">where </w:t>
      </w:r>
      <w:r>
        <w:rPr>
          <w:i/>
          <w:iCs/>
        </w:rPr>
        <w:t>y</w:t>
      </w:r>
      <w:r>
        <w:rPr>
          <w:i/>
          <w:iCs/>
          <w:vertAlign w:val="subscript"/>
        </w:rPr>
        <w:t>i,j,k</w:t>
      </w:r>
      <w:r>
        <w:t xml:space="preserve"> is the count for taxon </w:t>
      </w:r>
      <w:r>
        <w:rPr>
          <w:i/>
          <w:iCs/>
        </w:rPr>
        <w:t xml:space="preserve">i </w:t>
      </w:r>
      <w:r>
        <w:t xml:space="preserve">in sample </w:t>
      </w:r>
      <w:r>
        <w:rPr>
          <w:i/>
          <w:iCs/>
        </w:rPr>
        <w:t>k</w:t>
      </w:r>
      <w:r w:rsidRPr="00A155FE">
        <w:t>,</w:t>
      </w:r>
      <w:r>
        <w:rPr>
          <w:i/>
          <w:iCs/>
        </w:rPr>
        <w:t xml:space="preserve"> V</w:t>
      </w:r>
      <w:r>
        <w:rPr>
          <w:i/>
          <w:iCs/>
          <w:vertAlign w:val="subscript"/>
        </w:rPr>
        <w:t>i,k,j</w:t>
      </w:r>
      <w:r>
        <w:t xml:space="preserve"> is volume filtered, and </w:t>
      </w:r>
      <w:r>
        <w:rPr>
          <w:i/>
          <w:iCs/>
        </w:rPr>
        <w:t>b</w:t>
      </w:r>
      <w:r>
        <w:rPr>
          <w:i/>
          <w:iCs/>
          <w:vertAlign w:val="subscript"/>
        </w:rPr>
        <w:t>k</w:t>
      </w:r>
      <w:r>
        <w:rPr>
          <w:i/>
          <w:iCs/>
        </w:rPr>
        <w:t xml:space="preserve"> </w:t>
      </w:r>
      <w:r>
        <w:t xml:space="preserve">is </w:t>
      </w:r>
      <w:r w:rsidR="00196E2D">
        <w:t>a</w:t>
      </w:r>
      <w:r>
        <w:t xml:space="preserve"> random intercept for </w:t>
      </w:r>
      <w:r w:rsidR="00196E2D">
        <w:t>each sample.</w:t>
      </w:r>
      <w:ins w:id="22" w:author="Bobay, Luke Andrew" w:date="2026-08-29T00:39:00Z" w16du:dateUtc="2026-08-29T07:39:00Z">
        <w:r w:rsidR="00196E2D">
          <w:t xml:space="preserve"> </w:t>
        </w:r>
      </w:ins>
    </w:p>
    <w:p w14:paraId="1E2874AF" w14:textId="537AF4C6" w:rsidR="00196E2D" w:rsidRDefault="00196E2D" w:rsidP="00196E2D">
      <w:r>
        <w:t>The model parameters associated with these effects do not directly address whether each taxon undergoes DVM. To visualize how the vertical distribution of each taxon varies over the course of a day, we plotted the predicted concentration of individuals belonging to each taxon across combinations of depth and time of day</w:t>
      </w:r>
      <w:r w:rsidR="00AF0685">
        <w:t xml:space="preserve"> (Fig. 6)</w:t>
      </w:r>
      <w:r>
        <w:t xml:space="preserve">. We also plotted the </w:t>
      </w:r>
      <w:r w:rsidR="00AF0685">
        <w:t xml:space="preserve">total </w:t>
      </w:r>
      <w:r>
        <w:t xml:space="preserve">predicted </w:t>
      </w:r>
      <w:r w:rsidR="00AF0685">
        <w:t>abundance</w:t>
      </w:r>
      <w:r>
        <w:t xml:space="preserve"> of each taxon</w:t>
      </w:r>
      <w:r w:rsidR="00AF0685">
        <w:t xml:space="preserve"> across the sampled portion of the water column</w:t>
      </w:r>
      <w:r>
        <w:t xml:space="preserve"> against time of day to show how total predicted abundance in the sampled depth strata varied over the course of a day</w:t>
      </w:r>
      <w:r w:rsidR="00AF0685">
        <w:t xml:space="preserve"> (Fig. 7)</w:t>
      </w:r>
      <w:r>
        <w:t xml:space="preserve">. </w:t>
      </w:r>
      <w:r w:rsidR="00AF0685">
        <w:t>Finally, we</w:t>
      </w:r>
      <w:r>
        <w:t xml:space="preserve"> plotted the depth-</w:t>
      </w:r>
      <w:r w:rsidR="00AF0685">
        <w:t xml:space="preserve">log predicted </w:t>
      </w:r>
      <w:r>
        <w:t>abundance gradient for each taxon against time of day to show when predicted abundance increased or decreased with depth</w:t>
      </w:r>
      <w:r w:rsidR="00AF0685">
        <w:t xml:space="preserve"> (Fig. 8)</w:t>
      </w:r>
      <w:r>
        <w:t>.</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62A87B5D" w:rsidR="00C6078B" w:rsidRPr="00C6078B" w:rsidRDefault="00C6078B" w:rsidP="00241E61">
      <w:pPr>
        <w:pStyle w:val="Heading2"/>
      </w:pPr>
      <w:r>
        <w:lastRenderedPageBreak/>
        <w:t>3.1</w:t>
      </w:r>
      <w:r>
        <w:tab/>
        <w:t xml:space="preserve">Description of the </w:t>
      </w:r>
      <w:r w:rsidR="00D61FDF">
        <w:t>LFC</w:t>
      </w:r>
    </w:p>
    <w:p w14:paraId="246D9D22" w14:textId="148CDA83" w:rsidR="00241E61" w:rsidRPr="00241E61" w:rsidRDefault="00241E61" w:rsidP="00241E61">
      <w:r w:rsidRPr="00241E61">
        <w:t>Post-thresholding there was a total of 38,363 individual larvae from 82 sampling stations. Among these remaining stations, all transects were represented (Fig. 1A). Oceanographic conditions during sampling varied with depth and interannually. Gradients in temperature differed between years with 2018 and 2023 exhibiting a peak in temperature around 25-meters depth followed by a general decrease in temperature with increasing depth. Years 2019 and 2022 had similarly minimal changes in temperature across depths (Fig. 1B). During all years, salinity increased with depth while DO exhibited the opposite trend—lower at greater depths (Fig. 1C–D). Productivity was the most varied during 2018 though no significant difference in mean productivity was apparent across all four years (Fig. 1E).</w:t>
      </w:r>
    </w:p>
    <w:p w14:paraId="179D2EC5" w14:textId="76209736" w:rsidR="00241E61" w:rsidRDefault="00241E61" w:rsidP="00241E61">
      <w:pPr>
        <w:rPr>
          <w:b/>
          <w:bCs/>
        </w:rPr>
      </w:pPr>
      <w:r w:rsidRPr="00241E61">
        <w:t xml:space="preserve">Cluster analysis of net tows yielded seven total clusters, two of which—clusters 4 and 7—contained only a single sampling tow (Supplementary Material Fig. 1). The composition of clusters was assessed statistically and visually, concentrating on the other five clusters that consisted of multiple samples. Cluster 1 was present in all four sampling years and was heavily dominated by its indicator taxa, </w:t>
      </w:r>
      <w:r w:rsidRPr="00DF4B39">
        <w:rPr>
          <w:i/>
          <w:iCs/>
        </w:rPr>
        <w:t>Sebastes</w:t>
      </w:r>
      <w:r w:rsidRPr="00241E61">
        <w:t xml:space="preserve"> spp. (Fig. 2 and Table 1). Though also present in all years, clusters 2 and 3 had the greatest visual prevalence of their indicator taxa during 2019 (Fig. 2B). Cluster 2 was dominantly composed of pleuronectiformes, particularly the indicator species </w:t>
      </w:r>
      <w:r w:rsidRPr="00DF4B39">
        <w:rPr>
          <w:i/>
          <w:iCs/>
        </w:rPr>
        <w:t>P. vetulus</w:t>
      </w:r>
      <w:r w:rsidRPr="00241E61">
        <w:t xml:space="preserve"> (Fig. 2A and Table 1). Cluster 3 was significantly indicated by </w:t>
      </w:r>
      <w:r w:rsidRPr="00DF4B39">
        <w:rPr>
          <w:i/>
          <w:iCs/>
        </w:rPr>
        <w:t>S. leucopsarus</w:t>
      </w:r>
      <w:r w:rsidRPr="00241E61">
        <w:t xml:space="preserve"> (Table 1) and visually dominated by mesopelagic species, particularly Myctophids (Fig. 2A). Cluster 5 was composed predominantly of samples from 2022 and was visually split between </w:t>
      </w:r>
      <w:r w:rsidRPr="00DF4B39">
        <w:rPr>
          <w:i/>
          <w:iCs/>
        </w:rPr>
        <w:t>P. vetulus</w:t>
      </w:r>
      <w:r w:rsidRPr="00241E61">
        <w:t xml:space="preserve"> and </w:t>
      </w:r>
      <w:r w:rsidRPr="00DF4B39">
        <w:rPr>
          <w:i/>
          <w:iCs/>
        </w:rPr>
        <w:t>Liparis</w:t>
      </w:r>
      <w:r w:rsidRPr="00241E61">
        <w:t xml:space="preserve"> spp. (Fig. 2). This is indicative of a general nearshore community, further supported by the ISA (Table 1). Cluster 6 was present in 2022 and 2023 and was visually dominated by coastal taxa, especially Osmerid</w:t>
      </w:r>
      <w:r w:rsidR="00D45259">
        <w:t xml:space="preserve">ae </w:t>
      </w:r>
      <w:r w:rsidRPr="00241E61">
        <w:t>(Fig. 2). Although other taxa were present, the contribution of Osmerid</w:t>
      </w:r>
      <w:r w:rsidR="00D45259">
        <w:t>s</w:t>
      </w:r>
      <w:r w:rsidRPr="00241E61">
        <w:t xml:space="preserve"> as an indicator of cluster 6 was significant (Table 1).</w:t>
      </w:r>
    </w:p>
    <w:p w14:paraId="3B7243FF" w14:textId="1BD36382" w:rsidR="00241E61" w:rsidRDefault="00241E61" w:rsidP="00241E61">
      <w:pPr>
        <w:rPr>
          <w:b/>
          <w:bCs/>
        </w:rPr>
      </w:pPr>
      <w:r w:rsidRPr="00241E61">
        <w:t xml:space="preserve">Net tows were mapped according to the latitude and longitude of the station at which sampling occurred. Points were colored according to the tow’s cluster assignment and color value was applied to represent the mean depth sampled by the tow. This was used to visualize the clustering of the LFC in horizontal and vertical space across the sampling area. The </w:t>
      </w:r>
      <w:r w:rsidRPr="00FF5DE2">
        <w:rPr>
          <w:i/>
          <w:iCs/>
        </w:rPr>
        <w:t>Sebastes</w:t>
      </w:r>
      <w:r w:rsidRPr="00241E61">
        <w:t xml:space="preserve"> spp. assemblage (cluster 1) was generally found along the shelf-slope break, regardless of depth, during all years—especially 2022 (Fig. 3). Similarly, the </w:t>
      </w:r>
      <w:r w:rsidRPr="00FF5DE2">
        <w:rPr>
          <w:i/>
          <w:iCs/>
        </w:rPr>
        <w:t>P. vetulus</w:t>
      </w:r>
      <w:r w:rsidRPr="00241E61">
        <w:t xml:space="preserve"> community (cluster 2) was present almost exclusively on the shelf during all years without a distinct depth preference (Fig. 3). Cluster 3, the Myctophid community, was most apparent offshore and in tows at greater depths (Fig. 3). The assemblage of nearshore taxa was most prevalent in 2022 and occurred mostly nearshore, though depth varied (Fig. 3). Cluster 6, the community of Osmeridae and other coastal taxa, was found almost exclusively at the most nearshore stations and shallowest depths (Fig. 3). </w:t>
      </w:r>
    </w:p>
    <w:p w14:paraId="23897934" w14:textId="394587A9" w:rsidR="00C6078B" w:rsidRPr="00241E61" w:rsidRDefault="00C6078B" w:rsidP="00241E61">
      <w:pPr>
        <w:pStyle w:val="Heading2"/>
      </w:pPr>
      <w:r w:rsidRPr="00241E61">
        <w:lastRenderedPageBreak/>
        <w:t>2.2</w:t>
      </w:r>
      <w:r w:rsidRPr="00241E61">
        <w:tab/>
        <w:t xml:space="preserve">Influences on the </w:t>
      </w:r>
      <w:r w:rsidR="00D61FDF" w:rsidRPr="00241E61">
        <w:t>LFC</w:t>
      </w:r>
    </w:p>
    <w:p w14:paraId="64536986" w14:textId="2B94864E" w:rsidR="009B332C" w:rsidRPr="009B332C" w:rsidRDefault="009B332C" w:rsidP="009B332C">
      <w:pPr>
        <w:pStyle w:val="Heading2"/>
        <w:rPr>
          <w:rFonts w:eastAsiaTheme="minorHAnsi"/>
          <w:b w:val="0"/>
          <w:bCs w:val="0"/>
          <w:color w:val="auto"/>
        </w:rPr>
      </w:pPr>
      <w:r w:rsidRPr="009B332C">
        <w:rPr>
          <w:rFonts w:eastAsiaTheme="minorHAnsi"/>
          <w:b w:val="0"/>
          <w:bCs w:val="0"/>
          <w:color w:val="auto"/>
        </w:rPr>
        <w:t xml:space="preserve">The </w:t>
      </w:r>
      <w:commentRangeStart w:id="23"/>
      <w:r w:rsidRPr="009B332C">
        <w:rPr>
          <w:rFonts w:eastAsiaTheme="minorHAnsi"/>
          <w:b w:val="0"/>
          <w:bCs w:val="0"/>
          <w:color w:val="auto"/>
        </w:rPr>
        <w:t xml:space="preserve">NMDS </w:t>
      </w:r>
      <w:commentRangeEnd w:id="23"/>
      <w:r w:rsidR="002B3D66" w:rsidRPr="009B332C">
        <w:rPr>
          <w:rStyle w:val="CommentReference"/>
          <w:rFonts w:eastAsiaTheme="minorHAnsi"/>
          <w:b w:val="0"/>
          <w:bCs w:val="0"/>
          <w:color w:val="auto"/>
          <w:sz w:val="24"/>
          <w:szCs w:val="24"/>
        </w:rPr>
        <w:commentReference w:id="23"/>
      </w:r>
      <w:r w:rsidRPr="009B332C">
        <w:rPr>
          <w:rFonts w:eastAsiaTheme="minorHAnsi"/>
          <w:b w:val="0"/>
          <w:bCs w:val="0"/>
          <w:color w:val="auto"/>
        </w:rPr>
        <w:t xml:space="preserve">was plotted to visualize unconstrained variation in the community structure in ordination space. Net tows were colored by cluster assignment to compare how clusters correlate to one another. For instance, there appears to be possible correlations between clusters 2 and 6 and clusters 1 and 3 (Fig. 4). Additionally, the relation of the clusters to spatiotemporal variables was visualized with vector overlays on the NMDS ordination plot. From this, it appears that the </w:t>
      </w:r>
      <w:r w:rsidRPr="007638DF">
        <w:rPr>
          <w:rFonts w:eastAsiaTheme="minorHAnsi"/>
          <w:b w:val="0"/>
          <w:bCs w:val="0"/>
          <w:i/>
          <w:iCs/>
          <w:color w:val="auto"/>
        </w:rPr>
        <w:t>P. vetulus</w:t>
      </w:r>
      <w:r w:rsidRPr="009B332C">
        <w:rPr>
          <w:rFonts w:eastAsiaTheme="minorHAnsi"/>
          <w:b w:val="0"/>
          <w:bCs w:val="0"/>
          <w:color w:val="auto"/>
        </w:rPr>
        <w:t xml:space="preserve"> (cluster 2) and coastal (cluster 6) assemblages both correlated negatively with sea floor depth (m) (Fig. 4). Similarly, the </w:t>
      </w:r>
      <w:r w:rsidRPr="007638DF">
        <w:rPr>
          <w:rFonts w:eastAsiaTheme="minorHAnsi"/>
          <w:b w:val="0"/>
          <w:bCs w:val="0"/>
          <w:i/>
          <w:iCs/>
          <w:color w:val="auto"/>
        </w:rPr>
        <w:t>Sebastes</w:t>
      </w:r>
      <w:r w:rsidRPr="009B332C">
        <w:rPr>
          <w:rFonts w:eastAsiaTheme="minorHAnsi"/>
          <w:b w:val="0"/>
          <w:bCs w:val="0"/>
          <w:color w:val="auto"/>
        </w:rPr>
        <w:t xml:space="preserve"> spp. (cluster 1) and Myctophid (cluster 3) communities appeared to correlate negatively with mean sampling depth (m) (Fig. 4). Cluster 3, as well as cluster 5, appeared to correlate negatively with latitude (Fig. 4). The nearshore community (cluster 5) additionally was correlated somewhat with the variable “daytime” (Fig. 4). </w:t>
      </w:r>
    </w:p>
    <w:p w14:paraId="0B78FAF7" w14:textId="030EF739" w:rsidR="009B332C" w:rsidRPr="009B332C" w:rsidRDefault="009B332C" w:rsidP="009B332C">
      <w:pPr>
        <w:pStyle w:val="Heading2"/>
        <w:rPr>
          <w:rFonts w:eastAsiaTheme="minorHAnsi"/>
          <w:b w:val="0"/>
          <w:bCs w:val="0"/>
          <w:color w:val="auto"/>
        </w:rPr>
      </w:pPr>
      <w:r w:rsidRPr="009B332C">
        <w:rPr>
          <w:rFonts w:eastAsiaTheme="minorHAnsi"/>
          <w:b w:val="0"/>
          <w:bCs w:val="0"/>
          <w:color w:val="auto"/>
        </w:rPr>
        <w:t xml:space="preserve">To assess the fit of the NMDS ordination to the data, stress was measured. The stress statistic resulting from the NMDS, </w:t>
      </w:r>
      <w:commentRangeStart w:id="24"/>
      <w:r w:rsidRPr="009B332C">
        <w:rPr>
          <w:rFonts w:eastAsiaTheme="minorHAnsi"/>
          <w:b w:val="0"/>
          <w:bCs w:val="0"/>
          <w:color w:val="auto"/>
        </w:rPr>
        <w:t>0.2006</w:t>
      </w:r>
      <w:commentRangeEnd w:id="24"/>
      <w:r w:rsidR="002B3D66" w:rsidRPr="009B332C">
        <w:rPr>
          <w:rStyle w:val="CommentReference"/>
          <w:rFonts w:eastAsiaTheme="minorHAnsi"/>
          <w:b w:val="0"/>
          <w:bCs w:val="0"/>
          <w:color w:val="auto"/>
          <w:sz w:val="24"/>
          <w:szCs w:val="24"/>
        </w:rPr>
        <w:commentReference w:id="24"/>
      </w:r>
      <w:r w:rsidRPr="009B332C">
        <w:rPr>
          <w:rFonts w:eastAsiaTheme="minorHAnsi"/>
          <w:b w:val="0"/>
          <w:bCs w:val="0"/>
          <w:color w:val="auto"/>
        </w:rPr>
        <w:t xml:space="preserve">, would generally be considered indicative of a poor fit to the data (stress &gt; 0.2). However, in the same paper that first proposed this common interpretation, Clarke (1993) warned against using his guideline as a hard cutoff and </w:t>
      </w:r>
      <w:r w:rsidR="00D367E1" w:rsidRPr="009B332C">
        <w:rPr>
          <w:rFonts w:eastAsiaTheme="minorHAnsi"/>
          <w:b w:val="0"/>
          <w:bCs w:val="0"/>
          <w:color w:val="auto"/>
        </w:rPr>
        <w:t>over relying</w:t>
      </w:r>
      <w:r w:rsidRPr="009B332C">
        <w:rPr>
          <w:rFonts w:eastAsiaTheme="minorHAnsi"/>
          <w:b w:val="0"/>
          <w:bCs w:val="0"/>
          <w:color w:val="auto"/>
        </w:rPr>
        <w:t xml:space="preserve"> on stress for evaluating ordination fit. Because the stress value was close to the 0.2 ceiling and our data may have been susceptible to the general tendency of large datasets to yield greater stress values, we further investigated NMDS stress with an iterative permutation model developed by Dexter et al. (2018). In this, we assessed the null hypothesis that the community was not systematically structured with a one sample z-test. Our result supported rejection of this null hypothesis (</w:t>
      </w:r>
      <w:commentRangeStart w:id="25"/>
      <w:r w:rsidRPr="009B332C">
        <w:rPr>
          <w:rFonts w:eastAsiaTheme="minorHAnsi"/>
          <w:b w:val="0"/>
          <w:bCs w:val="0"/>
          <w:color w:val="auto"/>
        </w:rPr>
        <w:t>p =  4.5222 10-96</w:t>
      </w:r>
      <w:commentRangeEnd w:id="25"/>
      <w:r w:rsidR="00974EBE" w:rsidRPr="009B332C">
        <w:rPr>
          <w:rStyle w:val="CommentReference"/>
          <w:rFonts w:eastAsiaTheme="minorHAnsi"/>
          <w:b w:val="0"/>
          <w:bCs w:val="0"/>
          <w:color w:val="auto"/>
          <w:sz w:val="24"/>
          <w:szCs w:val="24"/>
        </w:rPr>
        <w:commentReference w:id="25"/>
      </w:r>
      <w:r w:rsidRPr="009B332C">
        <w:rPr>
          <w:rFonts w:eastAsiaTheme="minorHAnsi"/>
          <w:b w:val="0"/>
          <w:bCs w:val="0"/>
          <w:color w:val="auto"/>
        </w:rPr>
        <w:t>) and justified use of the ordination for biological interpretation.</w:t>
      </w:r>
    </w:p>
    <w:p w14:paraId="04CEC3DA" w14:textId="07631CC0" w:rsidR="009B332C" w:rsidRDefault="009B332C" w:rsidP="009B332C">
      <w:pPr>
        <w:pStyle w:val="Heading2"/>
        <w:rPr>
          <w:rFonts w:eastAsiaTheme="minorHAnsi"/>
          <w:b w:val="0"/>
          <w:bCs w:val="0"/>
          <w:color w:val="auto"/>
        </w:rPr>
      </w:pPr>
      <w:r w:rsidRPr="009B332C">
        <w:rPr>
          <w:rFonts w:eastAsiaTheme="minorHAnsi"/>
          <w:b w:val="0"/>
          <w:bCs w:val="0"/>
          <w:color w:val="auto"/>
        </w:rPr>
        <w:t>Distance-based redundancy analysis (db-RDA) and variance partitioning analysis (VPA) were run on the data to more clearly investigate the effects of variables on the LFC. A model with only spatiotemporal variables and a model with spatiotemporal and environmental variables were both found to explain a significant amount of variance in the community (p-values &lt; 0.05). Comparison of these models found a significant increase in explanatory power with the introduction of environmental variables to the spatiotemporal-only model (</w:t>
      </w:r>
      <w:commentRangeStart w:id="26"/>
      <w:r w:rsidRPr="009B332C">
        <w:rPr>
          <w:rFonts w:eastAsiaTheme="minorHAnsi"/>
          <w:b w:val="0"/>
          <w:bCs w:val="0"/>
          <w:color w:val="auto"/>
        </w:rPr>
        <w:t>p = …</w:t>
      </w:r>
      <w:commentRangeEnd w:id="26"/>
      <w:r w:rsidR="00974EBE" w:rsidRPr="009B332C">
        <w:rPr>
          <w:rStyle w:val="CommentReference"/>
          <w:rFonts w:eastAsiaTheme="minorHAnsi"/>
          <w:b w:val="0"/>
          <w:bCs w:val="0"/>
          <w:color w:val="auto"/>
          <w:sz w:val="24"/>
          <w:szCs w:val="24"/>
        </w:rPr>
        <w:commentReference w:id="26"/>
      </w:r>
      <w:r w:rsidRPr="009B332C">
        <w:rPr>
          <w:rFonts w:eastAsiaTheme="minorHAnsi"/>
          <w:b w:val="0"/>
          <w:bCs w:val="0"/>
          <w:color w:val="auto"/>
        </w:rPr>
        <w:t>). VPA indicated that about 4.04% of variance was explained by spatiotemporal variables alone</w:t>
      </w:r>
      <w:commentRangeStart w:id="27"/>
      <w:r w:rsidR="00974EBE">
        <w:rPr>
          <w:rFonts w:eastAsiaTheme="minorHAnsi"/>
          <w:b w:val="0"/>
          <w:bCs w:val="0"/>
          <w:color w:val="auto"/>
        </w:rPr>
        <w:t>.</w:t>
      </w:r>
      <w:commentRangeEnd w:id="27"/>
      <w:r w:rsidR="00974EBE">
        <w:rPr>
          <w:rStyle w:val="CommentReference"/>
          <w:rFonts w:eastAsiaTheme="minorHAnsi"/>
          <w:b w:val="0"/>
          <w:bCs w:val="0"/>
          <w:color w:val="auto"/>
          <w:sz w:val="24"/>
          <w:szCs w:val="24"/>
        </w:rPr>
        <w:commentReference w:id="27"/>
      </w:r>
    </w:p>
    <w:p w14:paraId="215B4BA9" w14:textId="129BF9E7" w:rsidR="00D61FDF" w:rsidRDefault="00D61FDF" w:rsidP="009B332C">
      <w:pPr>
        <w:pStyle w:val="Heading2"/>
      </w:pPr>
      <w:r>
        <w:t>2.3</w:t>
      </w:r>
      <w:r>
        <w:tab/>
        <w:t xml:space="preserve">Diel effects on </w:t>
      </w:r>
      <w:r w:rsidR="00F64BA4">
        <w:t>depth and abundance</w:t>
      </w:r>
    </w:p>
    <w:p w14:paraId="6B98C430" w14:textId="73E325D4" w:rsidR="00BC560D" w:rsidRPr="006156FD" w:rsidDel="007B7E8F" w:rsidRDefault="0088423C" w:rsidP="00241E61">
      <w:pPr>
        <w:rPr>
          <w:del w:id="28" w:author="Bobay, Luke Andrew" w:date="2026-08-28T18:22:00Z" w16du:dateUtc="2026-08-29T01:22:00Z"/>
        </w:rPr>
      </w:pPr>
      <w:r>
        <w:t xml:space="preserve"> In the GLMM of ichthyoplankton </w:t>
      </w:r>
      <w:r w:rsidR="00AF0685">
        <w:t>counts</w:t>
      </w:r>
      <w:r w:rsidR="00E86440">
        <w:t>, the</w:t>
      </w:r>
      <w:r w:rsidR="00A449D3">
        <w:t xml:space="preserve"> conditional fixed</w:t>
      </w:r>
      <w:r w:rsidR="00E86440">
        <w:t xml:space="preserve"> effects </w:t>
      </w:r>
      <w:r w:rsidR="00A449D3">
        <w:t xml:space="preserve">on the log-abundance scale </w:t>
      </w:r>
      <w:r w:rsidR="00E86440">
        <w:t xml:space="preserve">of latitude (0.64, </w:t>
      </w:r>
      <w:r w:rsidR="00E86440">
        <w:rPr>
          <w:i/>
          <w:iCs/>
        </w:rPr>
        <w:t>p</w:t>
      </w:r>
      <w:r w:rsidR="00E86440">
        <w:t xml:space="preserve"> &lt; 0.001), DO (-0.65, </w:t>
      </w:r>
      <w:r w:rsidR="00E86440">
        <w:rPr>
          <w:i/>
          <w:iCs/>
        </w:rPr>
        <w:t xml:space="preserve">p </w:t>
      </w:r>
      <w:r w:rsidR="00E86440">
        <w:t>&lt; 0.01), and chl-</w:t>
      </w:r>
      <w:r w:rsidR="00E86440">
        <w:rPr>
          <w:i/>
          <w:iCs/>
        </w:rPr>
        <w:t>a</w:t>
      </w:r>
      <w:r w:rsidR="00E86440">
        <w:t xml:space="preserve"> (0.44, </w:t>
      </w:r>
      <w:r w:rsidR="00E86440">
        <w:rPr>
          <w:i/>
          <w:iCs/>
        </w:rPr>
        <w:t>p</w:t>
      </w:r>
      <w:r w:rsidR="00E86440">
        <w:t xml:space="preserve"> &lt; 0.001) were significant at the </w:t>
      </w:r>
      <w:r w:rsidR="00E86440" w:rsidRPr="00A155FE">
        <w:rPr>
          <w:i/>
          <w:iCs/>
        </w:rPr>
        <w:t>ɑ</w:t>
      </w:r>
      <w:r w:rsidR="00E86440">
        <w:t xml:space="preserve"> = 0.05 </w:t>
      </w:r>
      <w:r w:rsidR="00A449D3">
        <w:t>significance</w:t>
      </w:r>
      <w:r w:rsidR="00E86440">
        <w:t xml:space="preserve"> level, while the effects of year, seafloor depth, temperature, and salinity were not (all </w:t>
      </w:r>
      <w:r w:rsidR="00E86440">
        <w:rPr>
          <w:i/>
          <w:iCs/>
        </w:rPr>
        <w:t>p</w:t>
      </w:r>
      <w:r w:rsidR="00E86440">
        <w:t xml:space="preserve"> &gt; 0.05). For many taxa</w:t>
      </w:r>
      <w:r>
        <w:t xml:space="preserve">, the interaction of taxon, time of day, and depth </w:t>
      </w:r>
      <w:r w:rsidR="00E86440">
        <w:t>or its constituent effects were</w:t>
      </w:r>
      <w:r>
        <w:t xml:space="preserve"> significant (Table S1). </w:t>
      </w:r>
      <w:r w:rsidR="00D612C2">
        <w:t xml:space="preserve">Plots </w:t>
      </w:r>
      <w:r w:rsidR="000329E6">
        <w:t>of</w:t>
      </w:r>
      <w:r w:rsidR="00D612C2">
        <w:t xml:space="preserve"> predicted taxon-specific abundance in relation to time of day and depth revealed several patterns of the occurrence of greatest predicted abundance: during daytime and in the deepest sampled </w:t>
      </w:r>
      <w:r w:rsidR="000329E6">
        <w:t>depths</w:t>
      </w:r>
      <w:r w:rsidR="00D612C2">
        <w:t xml:space="preserve"> (Agonidae), during nighttime and in the deepest sampled </w:t>
      </w:r>
      <w:r w:rsidR="000329E6">
        <w:t>depths</w:t>
      </w:r>
      <w:r w:rsidR="00D612C2">
        <w:t xml:space="preserve"> (</w:t>
      </w:r>
      <w:r w:rsidR="00D612C2">
        <w:rPr>
          <w:i/>
          <w:iCs/>
        </w:rPr>
        <w:t xml:space="preserve">Protomyctophum </w:t>
      </w:r>
      <w:r w:rsidR="00D612C2">
        <w:t xml:space="preserve">spp.), during nighttime across all sampled </w:t>
      </w:r>
      <w:r w:rsidR="000329E6">
        <w:t>depths</w:t>
      </w:r>
      <w:r w:rsidR="00D612C2">
        <w:t xml:space="preserve"> (</w:t>
      </w:r>
      <w:r w:rsidR="000329E6">
        <w:rPr>
          <w:i/>
          <w:iCs/>
        </w:rPr>
        <w:t xml:space="preserve">Bathylagus ochotensis </w:t>
      </w:r>
      <w:r w:rsidR="000329E6">
        <w:t xml:space="preserve">and </w:t>
      </w:r>
      <w:r w:rsidR="000329E6">
        <w:rPr>
          <w:i/>
          <w:iCs/>
        </w:rPr>
        <w:t>Tarletonbeania crenularis</w:t>
      </w:r>
      <w:r w:rsidR="000329E6">
        <w:t>), during nighttime and in the shallowest sampled depths (</w:t>
      </w:r>
      <w:r w:rsidR="000329E6">
        <w:rPr>
          <w:i/>
          <w:iCs/>
        </w:rPr>
        <w:t>e.g.</w:t>
      </w:r>
      <w:r w:rsidR="000329E6">
        <w:t xml:space="preserve">, </w:t>
      </w:r>
      <w:r w:rsidR="000329E6">
        <w:rPr>
          <w:i/>
          <w:iCs/>
        </w:rPr>
        <w:t>Lestidiops ringens</w:t>
      </w:r>
      <w:r w:rsidR="000329E6">
        <w:t>), throughout the full day at the shallowest sampled depths (</w:t>
      </w:r>
      <w:r w:rsidR="000329E6">
        <w:rPr>
          <w:i/>
          <w:iCs/>
        </w:rPr>
        <w:t>e.g.</w:t>
      </w:r>
      <w:r w:rsidR="000329E6">
        <w:t>, Ammodytidae), during daytime and at the shallowest sampled depths (</w:t>
      </w:r>
      <w:r w:rsidR="000329E6">
        <w:rPr>
          <w:i/>
          <w:iCs/>
        </w:rPr>
        <w:t>e.g.</w:t>
      </w:r>
      <w:r w:rsidR="000329E6">
        <w:t>, Osmeridae), and during nighttime at the deepest sampled depths and during daytime at the shallowest sampled depths (</w:t>
      </w:r>
      <w:r w:rsidR="000329E6">
        <w:rPr>
          <w:i/>
          <w:iCs/>
        </w:rPr>
        <w:t xml:space="preserve">Liparis </w:t>
      </w:r>
      <w:r w:rsidR="000329E6">
        <w:t xml:space="preserve">spp. and </w:t>
      </w:r>
      <w:r w:rsidR="000329E6">
        <w:rPr>
          <w:i/>
          <w:iCs/>
        </w:rPr>
        <w:t>Stenobrachius leucopsarus</w:t>
      </w:r>
      <w:r w:rsidR="000329E6">
        <w:t xml:space="preserve">) (Fig. 6). </w:t>
      </w:r>
      <w:r w:rsidR="00624A4D">
        <w:t>T</w:t>
      </w:r>
      <w:r w:rsidR="00435F79">
        <w:t xml:space="preserve">he total abundance </w:t>
      </w:r>
      <w:r w:rsidR="00624A4D">
        <w:t>of larvae in the sampled portion of the water column</w:t>
      </w:r>
      <w:r w:rsidR="00435F79">
        <w:t xml:space="preserve"> </w:t>
      </w:r>
      <w:r w:rsidR="00435F79">
        <w:lastRenderedPageBreak/>
        <w:t xml:space="preserve">varies </w:t>
      </w:r>
      <w:r w:rsidR="00624A4D">
        <w:t xml:space="preserve">substantially </w:t>
      </w:r>
      <w:r w:rsidR="00435F79">
        <w:t>over the course of a day</w:t>
      </w:r>
      <w:r w:rsidR="00624A4D">
        <w:t xml:space="preserve"> for some taxa</w:t>
      </w:r>
      <w:r w:rsidR="00435F79">
        <w:t xml:space="preserve"> (</w:t>
      </w:r>
      <w:r w:rsidR="00435F79">
        <w:rPr>
          <w:i/>
          <w:iCs/>
        </w:rPr>
        <w:t>e.g.</w:t>
      </w:r>
      <w:r w:rsidR="00435F79">
        <w:t xml:space="preserve">, </w:t>
      </w:r>
      <w:r w:rsidR="00624A4D">
        <w:rPr>
          <w:i/>
          <w:iCs/>
        </w:rPr>
        <w:t>Bathylagus ochotensis</w:t>
      </w:r>
      <w:r w:rsidR="00624A4D">
        <w:t xml:space="preserve"> and </w:t>
      </w:r>
      <w:r w:rsidR="006156FD">
        <w:rPr>
          <w:i/>
          <w:iCs/>
        </w:rPr>
        <w:t>Stenobrachius leucopsarus</w:t>
      </w:r>
      <w:r w:rsidR="00624A4D">
        <w:t>) but not others (</w:t>
      </w:r>
      <w:r w:rsidR="00624A4D">
        <w:rPr>
          <w:i/>
          <w:iCs/>
        </w:rPr>
        <w:t>e.g.</w:t>
      </w:r>
      <w:r w:rsidR="00624A4D">
        <w:t>, Cottidae) (Fig. 7). Similarly, depth-abundance gradients vary substantially over the course of a day for some taxa (</w:t>
      </w:r>
      <w:r w:rsidR="00624A4D">
        <w:rPr>
          <w:i/>
          <w:iCs/>
        </w:rPr>
        <w:t>e.g.</w:t>
      </w:r>
      <w:r w:rsidR="00624A4D">
        <w:t xml:space="preserve">, </w:t>
      </w:r>
      <w:r w:rsidR="00624A4D">
        <w:rPr>
          <w:i/>
          <w:iCs/>
        </w:rPr>
        <w:t xml:space="preserve">Protomyctophum </w:t>
      </w:r>
      <w:r w:rsidR="00624A4D">
        <w:t>spp. and Hexagrammidae) but not others (</w:t>
      </w:r>
      <w:r w:rsidR="00624A4D">
        <w:rPr>
          <w:i/>
          <w:iCs/>
        </w:rPr>
        <w:t>e.g.</w:t>
      </w:r>
      <w:r w:rsidR="00624A4D">
        <w:t xml:space="preserve">, </w:t>
      </w:r>
      <w:r w:rsidR="006156FD">
        <w:rPr>
          <w:i/>
          <w:iCs/>
        </w:rPr>
        <w:t xml:space="preserve">Sebastes </w:t>
      </w:r>
      <w:r w:rsidR="006156FD">
        <w:t>spp. and Osmeridae).</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obay, Luke Andrew" w:date="2026-08-27T11:23:00Z" w:initials="LB">
    <w:p w14:paraId="0A884BF3" w14:textId="77777777" w:rsidR="00F66332" w:rsidRDefault="00F66332" w:rsidP="00F66332">
      <w:pPr>
        <w:pStyle w:val="CommentText"/>
      </w:pPr>
      <w:r>
        <w:rPr>
          <w:rStyle w:val="CommentReference"/>
        </w:rPr>
        <w:annotationRef/>
      </w:r>
      <w:r>
        <w:t>We should refer to the system as the northern California Current ecosystem throughout the paper. There are a few distinct currents in the region, and we generally aren’t talking only about the California Current, but also the Davidson Current, California Undercurrent, etc.</w:t>
      </w:r>
    </w:p>
  </w:comment>
  <w:comment w:id="1"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2"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3"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6" w:author="Bobay, Luke Andrew" w:date="2026-08-28T07:42:00Z" w:initials="LB">
    <w:p w14:paraId="7A36192A" w14:textId="77777777" w:rsidR="00943701" w:rsidRDefault="00943701" w:rsidP="00943701">
      <w:pPr>
        <w:pStyle w:val="CommentText"/>
      </w:pPr>
      <w:r>
        <w:rPr>
          <w:rStyle w:val="CommentReference"/>
        </w:rPr>
        <w:annotationRef/>
      </w:r>
      <w:r>
        <w:t>Changing in-text citations to Zotero ones</w:t>
      </w:r>
    </w:p>
  </w:comment>
  <w:comment w:id="11"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13" w:author="McCloskey, Ross" w:date="2026-08-18T15:12:00Z" w:initials="RM">
    <w:p w14:paraId="4C6AC411" w14:textId="77777777" w:rsidR="005945D2" w:rsidRDefault="005945D2" w:rsidP="00241E61">
      <w:pPr>
        <w:pStyle w:val="CommentText"/>
      </w:pPr>
      <w:r>
        <w:rPr>
          <w:rStyle w:val="CommentReference"/>
        </w:rPr>
        <w:annotationRef/>
      </w:r>
      <w:r>
        <w:t>There are the broad factors I could find from my sources doc but perhaps I should find an alternative source that discusses specifically the broad variables we’re interested in.</w:t>
      </w:r>
    </w:p>
  </w:comment>
  <w:comment w:id="14" w:author="McCloskey, Ross" w:date="2026-08-25T13:29:00Z" w:initials="RM">
    <w:p w14:paraId="4E80129C" w14:textId="77777777" w:rsidR="002C0601" w:rsidRDefault="002C0601" w:rsidP="002C0601">
      <w:pPr>
        <w:pStyle w:val="CommentText"/>
      </w:pPr>
      <w:r>
        <w:rPr>
          <w:rStyle w:val="CommentReference"/>
        </w:rPr>
        <w:annotationRef/>
      </w:r>
      <w:r>
        <w:t>Mention PDO, ENSO as indicators for LFC ?</w:t>
      </w:r>
    </w:p>
  </w:comment>
  <w:comment w:id="15" w:author="Bobay, Luke Andrew" w:date="2026-08-28T14:13:00Z" w:initials="LB">
    <w:p w14:paraId="0CEAC413" w14:textId="77777777" w:rsidR="00D50AF7" w:rsidRDefault="00D50AF7" w:rsidP="00D50AF7">
      <w:pPr>
        <w:pStyle w:val="CommentText"/>
      </w:pPr>
      <w:r>
        <w:rPr>
          <w:rStyle w:val="CommentReference"/>
        </w:rPr>
        <w:annotationRef/>
      </w:r>
      <w:r>
        <w:t>I added some mention of climate indices, which are important but not a focus of our study</w:t>
      </w:r>
    </w:p>
  </w:comment>
  <w:comment w:id="12" w:author="Bobay, Luke Andrew" w:date="2026-08-28T09:18:00Z" w:initials="LB">
    <w:p w14:paraId="776556A8" w14:textId="77777777" w:rsidR="00905D9C" w:rsidRDefault="001813A1" w:rsidP="00905D9C">
      <w:pPr>
        <w:pStyle w:val="CommentText"/>
      </w:pPr>
      <w:r>
        <w:rPr>
          <w:rStyle w:val="CommentReference"/>
        </w:rPr>
        <w:annotationRef/>
      </w:r>
      <w:r w:rsidR="00905D9C">
        <w:t>This is a bit too comprehensive; we aren’t writing a review paper that covers everything known about the topic. I tried to reduce this to only the information that supports/provides context for the study we did.</w:t>
      </w:r>
    </w:p>
  </w:comment>
  <w:comment w:id="17"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18" w:author="Bobay, Luke Andrew" w:date="2026-08-28T14:16:00Z" w:initials="LB">
    <w:p w14:paraId="0A2C9749" w14:textId="77777777" w:rsidR="00D50AF7" w:rsidRDefault="00D50AF7" w:rsidP="00D50AF7">
      <w:pPr>
        <w:pStyle w:val="CommentText"/>
      </w:pPr>
      <w:r>
        <w:rPr>
          <w:rStyle w:val="CommentReference"/>
        </w:rPr>
        <w:annotationRef/>
      </w:r>
      <w:r>
        <w:t>I think we should save that for the Discussion, mostly because we weren’t able to directly address spawning of mesopelagics in this study, but our results have some implications for future research about it</w:t>
      </w:r>
    </w:p>
  </w:comment>
  <w:comment w:id="19" w:author="McCloskey, Ross" w:date="2026-08-18T14:58:00Z" w:initials="RM">
    <w:p w14:paraId="1F69DA66" w14:textId="77777777" w:rsidR="00013228" w:rsidRDefault="00013228" w:rsidP="00241E61">
      <w:pPr>
        <w:pStyle w:val="CommentText"/>
      </w:pPr>
      <w:r>
        <w:rPr>
          <w:rStyle w:val="CommentReference"/>
        </w:rPr>
        <w:annotationRef/>
      </w:r>
      <w:r>
        <w:t>Add version and citation</w:t>
      </w:r>
    </w:p>
  </w:comment>
  <w:comment w:id="20" w:author="McCloskey, Ross" w:date="2026-09-03T17:40:00Z" w:initials="RM">
    <w:p w14:paraId="5D36C521" w14:textId="77777777" w:rsidR="006A441B" w:rsidRDefault="006A441B" w:rsidP="006A441B">
      <w:pPr>
        <w:pStyle w:val="CommentText"/>
      </w:pPr>
      <w:r>
        <w:rPr>
          <w:rStyle w:val="CommentReference"/>
        </w:rPr>
        <w:annotationRef/>
      </w:r>
      <w:r>
        <w:t>Should we also be citing the R packages we’re using like vegan and such?</w:t>
      </w:r>
    </w:p>
  </w:comment>
  <w:comment w:id="21" w:author="McCloskey, Ross" w:date="2026-09-03T17:25:00Z" w:initials="RM">
    <w:p w14:paraId="370F21C0" w14:textId="77777777" w:rsidR="00F96063" w:rsidRDefault="00F96063" w:rsidP="00F96063">
      <w:pPr>
        <w:pStyle w:val="CommentText"/>
      </w:pPr>
      <w:r>
        <w:rPr>
          <w:rStyle w:val="CommentReference"/>
        </w:rPr>
        <w:annotationRef/>
      </w:r>
      <w:r>
        <w:t>Is there another, better word for this? Or is it okay as is?</w:t>
      </w:r>
    </w:p>
  </w:comment>
  <w:comment w:id="23" w:author="McCloskey, Ross" w:date="2026-09-03T18:06:00Z" w:initials="RM">
    <w:p w14:paraId="7FCF3F69" w14:textId="77777777" w:rsidR="002B3D66" w:rsidRDefault="002B3D66" w:rsidP="002B3D66">
      <w:pPr>
        <w:pStyle w:val="CommentText"/>
      </w:pPr>
      <w:r>
        <w:rPr>
          <w:rStyle w:val="CommentReference"/>
        </w:rPr>
        <w:annotationRef/>
      </w:r>
      <w:r>
        <w:t>This paragraph feels clunky and like it could use more explanation. Will rework.</w:t>
      </w:r>
    </w:p>
  </w:comment>
  <w:comment w:id="24" w:author="McCloskey, Ross" w:date="2026-09-03T18:06:00Z" w:initials="RM">
    <w:p w14:paraId="60EFF882" w14:textId="77777777" w:rsidR="002B3D66" w:rsidRDefault="002B3D66" w:rsidP="002B3D66">
      <w:pPr>
        <w:pStyle w:val="CommentText"/>
      </w:pPr>
      <w:r>
        <w:rPr>
          <w:rStyle w:val="CommentReference"/>
        </w:rPr>
        <w:annotationRef/>
      </w:r>
      <w:r>
        <w:t>Need to check this is still the correct stress statistic with the final data</w:t>
      </w:r>
    </w:p>
  </w:comment>
  <w:comment w:id="25" w:author="McCloskey, Ross" w:date="2026-09-03T18:07:00Z" w:initials="RM">
    <w:p w14:paraId="11847F66" w14:textId="77777777" w:rsidR="00974EBE" w:rsidRDefault="00974EBE" w:rsidP="00974EBE">
      <w:pPr>
        <w:pStyle w:val="CommentText"/>
      </w:pPr>
      <w:r>
        <w:rPr>
          <w:rStyle w:val="CommentReference"/>
        </w:rPr>
        <w:annotationRef/>
      </w:r>
      <w:r>
        <w:t>Like above, need to check that this is still the correct value with the final data</w:t>
      </w:r>
    </w:p>
  </w:comment>
  <w:comment w:id="26" w:author="McCloskey, Ross" w:date="2026-09-03T18:07:00Z" w:initials="RM">
    <w:p w14:paraId="61CF42B2" w14:textId="77777777" w:rsidR="00974EBE" w:rsidRDefault="00974EBE" w:rsidP="00974EBE">
      <w:pPr>
        <w:pStyle w:val="CommentText"/>
      </w:pPr>
      <w:r>
        <w:rPr>
          <w:rStyle w:val="CommentReference"/>
        </w:rPr>
        <w:annotationRef/>
      </w:r>
      <w:r>
        <w:t>Need this p-value</w:t>
      </w:r>
    </w:p>
  </w:comment>
  <w:comment w:id="27" w:author="McCloskey, Ross" w:date="2026-09-03T18:07:00Z" w:initials="RM">
    <w:p w14:paraId="535F35E9" w14:textId="77777777" w:rsidR="00974EBE" w:rsidRDefault="00974EBE" w:rsidP="00974EBE">
      <w:pPr>
        <w:pStyle w:val="CommentText"/>
      </w:pPr>
      <w:r>
        <w:rPr>
          <w:rStyle w:val="CommentReference"/>
        </w:rPr>
        <w:annotationRef/>
      </w:r>
      <w:r>
        <w:t>Need to finish this paragraph still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84BF3" w15:done="0"/>
  <w15:commentEx w15:paraId="2F1B268D" w15:done="0"/>
  <w15:commentEx w15:paraId="021223F3" w15:done="0"/>
  <w15:commentEx w15:paraId="796C364A" w15:paraIdParent="021223F3" w15:done="0"/>
  <w15:commentEx w15:paraId="7A36192A" w15:done="0"/>
  <w15:commentEx w15:paraId="5B8443B7" w15:done="1"/>
  <w15:commentEx w15:paraId="4C6AC411" w15:done="0"/>
  <w15:commentEx w15:paraId="4E80129C" w15:paraIdParent="4C6AC411" w15:done="0"/>
  <w15:commentEx w15:paraId="0CEAC413" w15:paraIdParent="4C6AC411" w15:done="0"/>
  <w15:commentEx w15:paraId="776556A8" w15:done="0"/>
  <w15:commentEx w15:paraId="763D8A91" w15:done="0"/>
  <w15:commentEx w15:paraId="0A2C9749" w15:paraIdParent="763D8A91" w15:done="0"/>
  <w15:commentEx w15:paraId="1F69DA66" w15:done="0"/>
  <w15:commentEx w15:paraId="5D36C521" w15:paraIdParent="1F69DA66" w15:done="0"/>
  <w15:commentEx w15:paraId="370F21C0" w15:done="0"/>
  <w15:commentEx w15:paraId="7FCF3F69" w15:done="0"/>
  <w15:commentEx w15:paraId="60EFF882" w15:done="0"/>
  <w15:commentEx w15:paraId="11847F66" w15:done="0"/>
  <w15:commentEx w15:paraId="61CF42B2" w15:done="0"/>
  <w15:commentEx w15:paraId="535F35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3BB0C4" w16cex:dateUtc="2026-08-27T18:23:00Z">
    <w16cex:extLst>
      <w16:ext w16:uri="{CE6994B0-6A32-4C9F-8C6B-6E91EDA988CE}">
        <cr:reactions xmlns:cr="http://schemas.microsoft.com/office/comments/2020/reactions">
          <cr:reaction reactionType="1">
            <cr:reactionInfo dateUtc="2026-09-04T00:12:03Z">
              <cr:user userId="S::mccloskw@oregonstate.edu::b1990487-ee44-4922-b58f-5b2980a02730" userProvider="AD" userName="McCloskey, Ross"/>
            </cr:reactionInfo>
          </cr:reaction>
        </cr:reactions>
      </w16:ext>
    </w16cex:extLst>
  </w16cex:commentExtensible>
  <w16cex:commentExtensible w16cex:durableId="03FE2B67" w16cex:dateUtc="2026-08-18T19:36:00Z"/>
  <w16cex:commentExtensible w16cex:durableId="2C3AF867" w16cex:dateUtc="2026-08-18T20:05:00Z"/>
  <w16cex:commentExtensible w16cex:durableId="60EC0075" w16cex:dateUtc="2026-08-27T18:16:00Z"/>
  <w16cex:commentExtensible w16cex:durableId="5FC70A75" w16cex:dateUtc="2026-08-28T14:42:00Z">
    <w16cex:extLst>
      <w16:ext w16:uri="{CE6994B0-6A32-4C9F-8C6B-6E91EDA988CE}">
        <cr:reactions xmlns:cr="http://schemas.microsoft.com/office/comments/2020/reactions">
          <cr:reaction reactionType="1">
            <cr:reactionInfo dateUtc="2026-09-04T00:15:06Z">
              <cr:user userId="S::mccloskw@oregonstate.edu::b1990487-ee44-4922-b58f-5b2980a02730" userProvider="AD" userName="McCloskey, Ross"/>
            </cr:reactionInfo>
          </cr:reaction>
        </cr:reactions>
      </w16:ext>
    </w16cex:extLst>
  </w16cex:commentExtensible>
  <w16cex:commentExtensible w16cex:durableId="0798161C" w16cex:dateUtc="2026-08-18T20:06:00Z"/>
  <w16cex:commentExtensible w16cex:durableId="2B4ADF92" w16cex:dateUtc="2026-08-18T20:12:00Z"/>
  <w16cex:commentExtensible w16cex:durableId="0EE97655" w16cex:dateUtc="2026-08-25T18:29:00Z"/>
  <w16cex:commentExtensible w16cex:durableId="16DB37DF" w16cex:dateUtc="2026-08-28T21:13:00Z"/>
  <w16cex:commentExtensible w16cex:durableId="318C9CE1" w16cex:dateUtc="2026-08-28T16:18:00Z">
    <w16cex:extLst>
      <w16:ext w16:uri="{CE6994B0-6A32-4C9F-8C6B-6E91EDA988CE}">
        <cr:reactions xmlns:cr="http://schemas.microsoft.com/office/comments/2020/reactions">
          <cr:reaction reactionType="1">
            <cr:reactionInfo dateUtc="2026-09-04T00:15:23Z">
              <cr:user userId="S::mccloskw@oregonstate.edu::b1990487-ee44-4922-b58f-5b2980a02730" userProvider="AD" userName="McCloskey, Ross"/>
            </cr:reactionInfo>
          </cr:reaction>
        </cr:reactions>
      </w16:ext>
    </w16cex:extLst>
  </w16cex:commentExtensible>
  <w16cex:commentExtensible w16cex:durableId="167F67C8" w16cex:dateUtc="2026-08-18T20:29:00Z"/>
  <w16cex:commentExtensible w16cex:durableId="60C23C39" w16cex:dateUtc="2026-08-28T21:16:00Z">
    <w16cex:extLst>
      <w16:ext w16:uri="{CE6994B0-6A32-4C9F-8C6B-6E91EDA988CE}">
        <cr:reactions xmlns:cr="http://schemas.microsoft.com/office/comments/2020/reactions">
          <cr:reaction reactionType="1">
            <cr:reactionInfo dateUtc="2026-09-04T00:19:53Z">
              <cr:user userId="S::mccloskw@oregonstate.edu::b1990487-ee44-4922-b58f-5b2980a02730" userProvider="AD" userName="McCloskey, Ross"/>
            </cr:reactionInfo>
          </cr:reaction>
        </cr:reactions>
      </w16:ext>
    </w16cex:extLst>
  </w16cex:commentExtensible>
  <w16cex:commentExtensible w16cex:durableId="120E2433" w16cex:dateUtc="2026-08-18T19:58:00Z"/>
  <w16cex:commentExtensible w16cex:durableId="24A17EB3" w16cex:dateUtc="2026-09-04T00:40:00Z"/>
  <w16cex:commentExtensible w16cex:durableId="3D9EF0B9" w16cex:dateUtc="2026-09-04T00:25:00Z"/>
  <w16cex:commentExtensible w16cex:durableId="1940A100" w16cex:dateUtc="2026-09-04T01:06:00Z"/>
  <w16cex:commentExtensible w16cex:durableId="1803F2CB" w16cex:dateUtc="2026-09-04T01:06:00Z"/>
  <w16cex:commentExtensible w16cex:durableId="2CEF65EE" w16cex:dateUtc="2026-09-04T01:07:00Z"/>
  <w16cex:commentExtensible w16cex:durableId="390A3A60" w16cex:dateUtc="2026-09-04T01:07:00Z"/>
  <w16cex:commentExtensible w16cex:durableId="7E954B93" w16cex:dateUtc="2026-09-04T0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84BF3" w16cid:durableId="613BB0C4"/>
  <w16cid:commentId w16cid:paraId="2F1B268D" w16cid:durableId="03FE2B67"/>
  <w16cid:commentId w16cid:paraId="021223F3" w16cid:durableId="2C3AF867"/>
  <w16cid:commentId w16cid:paraId="796C364A" w16cid:durableId="60EC0075"/>
  <w16cid:commentId w16cid:paraId="7A36192A" w16cid:durableId="5FC70A75"/>
  <w16cid:commentId w16cid:paraId="5B8443B7" w16cid:durableId="0798161C"/>
  <w16cid:commentId w16cid:paraId="4C6AC411" w16cid:durableId="2B4ADF92"/>
  <w16cid:commentId w16cid:paraId="4E80129C" w16cid:durableId="0EE97655"/>
  <w16cid:commentId w16cid:paraId="0CEAC413" w16cid:durableId="16DB37DF"/>
  <w16cid:commentId w16cid:paraId="776556A8" w16cid:durableId="318C9CE1"/>
  <w16cid:commentId w16cid:paraId="763D8A91" w16cid:durableId="167F67C8"/>
  <w16cid:commentId w16cid:paraId="0A2C9749" w16cid:durableId="60C23C39"/>
  <w16cid:commentId w16cid:paraId="1F69DA66" w16cid:durableId="120E2433"/>
  <w16cid:commentId w16cid:paraId="5D36C521" w16cid:durableId="24A17EB3"/>
  <w16cid:commentId w16cid:paraId="370F21C0" w16cid:durableId="3D9EF0B9"/>
  <w16cid:commentId w16cid:paraId="7FCF3F69" w16cid:durableId="1940A100"/>
  <w16cid:commentId w16cid:paraId="60EFF882" w16cid:durableId="1803F2CB"/>
  <w16cid:commentId w16cid:paraId="11847F66" w16cid:durableId="2CEF65EE"/>
  <w16cid:commentId w16cid:paraId="61CF42B2" w16cid:durableId="390A3A60"/>
  <w16cid:commentId w16cid:paraId="535F35E9" w16cid:durableId="7E954B9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ay, Luke Andrew">
    <w15:presenceInfo w15:providerId="AD" w15:userId="S::bobayl@oregonstate.edu::51702319-4e48-496d-9001-3f54d6daf042"/>
  </w15:person>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12023"/>
    <w:rsid w:val="00013228"/>
    <w:rsid w:val="000179E0"/>
    <w:rsid w:val="000329E6"/>
    <w:rsid w:val="0003408B"/>
    <w:rsid w:val="00036569"/>
    <w:rsid w:val="000422F8"/>
    <w:rsid w:val="00045C30"/>
    <w:rsid w:val="00051023"/>
    <w:rsid w:val="00056EB0"/>
    <w:rsid w:val="00073331"/>
    <w:rsid w:val="000A0F1A"/>
    <w:rsid w:val="000D6DD6"/>
    <w:rsid w:val="001013FF"/>
    <w:rsid w:val="00110242"/>
    <w:rsid w:val="0013665A"/>
    <w:rsid w:val="001366D6"/>
    <w:rsid w:val="0014193D"/>
    <w:rsid w:val="0014295B"/>
    <w:rsid w:val="0015125F"/>
    <w:rsid w:val="00155087"/>
    <w:rsid w:val="00166DF3"/>
    <w:rsid w:val="00174277"/>
    <w:rsid w:val="001813A1"/>
    <w:rsid w:val="001860AC"/>
    <w:rsid w:val="00191EA4"/>
    <w:rsid w:val="00196E2D"/>
    <w:rsid w:val="001A6532"/>
    <w:rsid w:val="001A7C11"/>
    <w:rsid w:val="001C0BC1"/>
    <w:rsid w:val="001C4C0F"/>
    <w:rsid w:val="001C555A"/>
    <w:rsid w:val="001D22B8"/>
    <w:rsid w:val="001D7CC3"/>
    <w:rsid w:val="001E3F28"/>
    <w:rsid w:val="001F3F34"/>
    <w:rsid w:val="002050D6"/>
    <w:rsid w:val="002227CA"/>
    <w:rsid w:val="00225EA7"/>
    <w:rsid w:val="00241E61"/>
    <w:rsid w:val="00243FA2"/>
    <w:rsid w:val="00273CE5"/>
    <w:rsid w:val="002826AD"/>
    <w:rsid w:val="00285E42"/>
    <w:rsid w:val="002A2056"/>
    <w:rsid w:val="002B34AD"/>
    <w:rsid w:val="002B3D66"/>
    <w:rsid w:val="002C0601"/>
    <w:rsid w:val="002E4113"/>
    <w:rsid w:val="00312F9D"/>
    <w:rsid w:val="00317731"/>
    <w:rsid w:val="003246A0"/>
    <w:rsid w:val="00350BBD"/>
    <w:rsid w:val="003511BE"/>
    <w:rsid w:val="00352F80"/>
    <w:rsid w:val="003600B0"/>
    <w:rsid w:val="00361B67"/>
    <w:rsid w:val="00374B65"/>
    <w:rsid w:val="00381A32"/>
    <w:rsid w:val="00393369"/>
    <w:rsid w:val="003A7D45"/>
    <w:rsid w:val="003B724D"/>
    <w:rsid w:val="003D309B"/>
    <w:rsid w:val="003D3264"/>
    <w:rsid w:val="00410471"/>
    <w:rsid w:val="00416033"/>
    <w:rsid w:val="00417D09"/>
    <w:rsid w:val="00434324"/>
    <w:rsid w:val="00435BD1"/>
    <w:rsid w:val="00435F79"/>
    <w:rsid w:val="00441A53"/>
    <w:rsid w:val="004511A7"/>
    <w:rsid w:val="00455278"/>
    <w:rsid w:val="00461BB9"/>
    <w:rsid w:val="00461FBA"/>
    <w:rsid w:val="004638C0"/>
    <w:rsid w:val="00480665"/>
    <w:rsid w:val="004879F4"/>
    <w:rsid w:val="004901C2"/>
    <w:rsid w:val="00490E2C"/>
    <w:rsid w:val="00494261"/>
    <w:rsid w:val="004A601C"/>
    <w:rsid w:val="004A6905"/>
    <w:rsid w:val="004C7D48"/>
    <w:rsid w:val="004D2F54"/>
    <w:rsid w:val="004E11AC"/>
    <w:rsid w:val="004E12CD"/>
    <w:rsid w:val="004E24A9"/>
    <w:rsid w:val="004F62F3"/>
    <w:rsid w:val="005053B5"/>
    <w:rsid w:val="005067C5"/>
    <w:rsid w:val="0050797B"/>
    <w:rsid w:val="005166E6"/>
    <w:rsid w:val="00525C19"/>
    <w:rsid w:val="00553F2A"/>
    <w:rsid w:val="00556910"/>
    <w:rsid w:val="00584331"/>
    <w:rsid w:val="005945D2"/>
    <w:rsid w:val="0059642C"/>
    <w:rsid w:val="005A34F0"/>
    <w:rsid w:val="005A7978"/>
    <w:rsid w:val="005B1264"/>
    <w:rsid w:val="005B3622"/>
    <w:rsid w:val="005B6DC3"/>
    <w:rsid w:val="005D1578"/>
    <w:rsid w:val="005E0081"/>
    <w:rsid w:val="005E284A"/>
    <w:rsid w:val="005E656F"/>
    <w:rsid w:val="00614ADF"/>
    <w:rsid w:val="006156FD"/>
    <w:rsid w:val="00624A4D"/>
    <w:rsid w:val="0062773F"/>
    <w:rsid w:val="00633FF4"/>
    <w:rsid w:val="00642639"/>
    <w:rsid w:val="006429C0"/>
    <w:rsid w:val="00643520"/>
    <w:rsid w:val="0066049B"/>
    <w:rsid w:val="00661AD6"/>
    <w:rsid w:val="00666F7B"/>
    <w:rsid w:val="006811CA"/>
    <w:rsid w:val="00682E3B"/>
    <w:rsid w:val="006878C0"/>
    <w:rsid w:val="006955A6"/>
    <w:rsid w:val="006A441B"/>
    <w:rsid w:val="006B0B32"/>
    <w:rsid w:val="006D744D"/>
    <w:rsid w:val="006E7A6D"/>
    <w:rsid w:val="0070270B"/>
    <w:rsid w:val="00705ECA"/>
    <w:rsid w:val="007254ED"/>
    <w:rsid w:val="00752993"/>
    <w:rsid w:val="007622CC"/>
    <w:rsid w:val="007638DF"/>
    <w:rsid w:val="0077607F"/>
    <w:rsid w:val="00794531"/>
    <w:rsid w:val="00796201"/>
    <w:rsid w:val="007A42CB"/>
    <w:rsid w:val="007B44F8"/>
    <w:rsid w:val="007B7E8F"/>
    <w:rsid w:val="007D245A"/>
    <w:rsid w:val="007D3CA1"/>
    <w:rsid w:val="007E130E"/>
    <w:rsid w:val="007E7589"/>
    <w:rsid w:val="00824FEC"/>
    <w:rsid w:val="008518D4"/>
    <w:rsid w:val="00851E58"/>
    <w:rsid w:val="00852AFF"/>
    <w:rsid w:val="008544F1"/>
    <w:rsid w:val="00855538"/>
    <w:rsid w:val="00860E67"/>
    <w:rsid w:val="00883932"/>
    <w:rsid w:val="0088423C"/>
    <w:rsid w:val="0089170B"/>
    <w:rsid w:val="008A109A"/>
    <w:rsid w:val="008A2030"/>
    <w:rsid w:val="008C3CA6"/>
    <w:rsid w:val="008C6B01"/>
    <w:rsid w:val="008D5367"/>
    <w:rsid w:val="008D53EF"/>
    <w:rsid w:val="008E1B9B"/>
    <w:rsid w:val="008F647F"/>
    <w:rsid w:val="0090034F"/>
    <w:rsid w:val="00905D9C"/>
    <w:rsid w:val="00920410"/>
    <w:rsid w:val="00931014"/>
    <w:rsid w:val="00943701"/>
    <w:rsid w:val="00956532"/>
    <w:rsid w:val="00956633"/>
    <w:rsid w:val="009625C6"/>
    <w:rsid w:val="009733A8"/>
    <w:rsid w:val="00974EBE"/>
    <w:rsid w:val="009948C8"/>
    <w:rsid w:val="009A6271"/>
    <w:rsid w:val="009B00D7"/>
    <w:rsid w:val="009B20E9"/>
    <w:rsid w:val="009B332C"/>
    <w:rsid w:val="009B4152"/>
    <w:rsid w:val="009C4C74"/>
    <w:rsid w:val="009D0E39"/>
    <w:rsid w:val="009D1D41"/>
    <w:rsid w:val="009D242D"/>
    <w:rsid w:val="009E2A8B"/>
    <w:rsid w:val="009F7822"/>
    <w:rsid w:val="00A012AB"/>
    <w:rsid w:val="00A155FE"/>
    <w:rsid w:val="00A26F1E"/>
    <w:rsid w:val="00A31F5D"/>
    <w:rsid w:val="00A449D3"/>
    <w:rsid w:val="00A5340A"/>
    <w:rsid w:val="00A81F94"/>
    <w:rsid w:val="00AA28D8"/>
    <w:rsid w:val="00AC5338"/>
    <w:rsid w:val="00AD6022"/>
    <w:rsid w:val="00AE209F"/>
    <w:rsid w:val="00AE2126"/>
    <w:rsid w:val="00AE7159"/>
    <w:rsid w:val="00AF036C"/>
    <w:rsid w:val="00AF0685"/>
    <w:rsid w:val="00AF7B28"/>
    <w:rsid w:val="00B018DE"/>
    <w:rsid w:val="00B16C42"/>
    <w:rsid w:val="00B37C7A"/>
    <w:rsid w:val="00B40B38"/>
    <w:rsid w:val="00B41A14"/>
    <w:rsid w:val="00B61E31"/>
    <w:rsid w:val="00B64419"/>
    <w:rsid w:val="00B65034"/>
    <w:rsid w:val="00B7062D"/>
    <w:rsid w:val="00B85AD5"/>
    <w:rsid w:val="00BA11AD"/>
    <w:rsid w:val="00BA2B40"/>
    <w:rsid w:val="00BB3B43"/>
    <w:rsid w:val="00BC019A"/>
    <w:rsid w:val="00BC560D"/>
    <w:rsid w:val="00BD5624"/>
    <w:rsid w:val="00C2372B"/>
    <w:rsid w:val="00C32911"/>
    <w:rsid w:val="00C4544A"/>
    <w:rsid w:val="00C532A5"/>
    <w:rsid w:val="00C6078B"/>
    <w:rsid w:val="00C660BE"/>
    <w:rsid w:val="00C81B12"/>
    <w:rsid w:val="00C903B8"/>
    <w:rsid w:val="00C90B8A"/>
    <w:rsid w:val="00C94D00"/>
    <w:rsid w:val="00C97163"/>
    <w:rsid w:val="00CA1CE2"/>
    <w:rsid w:val="00CB0420"/>
    <w:rsid w:val="00CB5111"/>
    <w:rsid w:val="00CB7566"/>
    <w:rsid w:val="00CC3AC6"/>
    <w:rsid w:val="00CC6883"/>
    <w:rsid w:val="00CD5097"/>
    <w:rsid w:val="00CE2FC6"/>
    <w:rsid w:val="00CF1DE3"/>
    <w:rsid w:val="00CF67AE"/>
    <w:rsid w:val="00CF67EC"/>
    <w:rsid w:val="00D30611"/>
    <w:rsid w:val="00D367E1"/>
    <w:rsid w:val="00D45259"/>
    <w:rsid w:val="00D50AF7"/>
    <w:rsid w:val="00D53C02"/>
    <w:rsid w:val="00D612C2"/>
    <w:rsid w:val="00D61FDF"/>
    <w:rsid w:val="00D81E20"/>
    <w:rsid w:val="00D82DA2"/>
    <w:rsid w:val="00D87B9A"/>
    <w:rsid w:val="00D919C0"/>
    <w:rsid w:val="00D95383"/>
    <w:rsid w:val="00DA06BA"/>
    <w:rsid w:val="00DB6493"/>
    <w:rsid w:val="00DC2FF2"/>
    <w:rsid w:val="00DD7E7D"/>
    <w:rsid w:val="00DD7F22"/>
    <w:rsid w:val="00DE1D8D"/>
    <w:rsid w:val="00DF4B39"/>
    <w:rsid w:val="00DF592A"/>
    <w:rsid w:val="00E04C54"/>
    <w:rsid w:val="00E11EF5"/>
    <w:rsid w:val="00E168AC"/>
    <w:rsid w:val="00E42CE3"/>
    <w:rsid w:val="00E6748D"/>
    <w:rsid w:val="00E82058"/>
    <w:rsid w:val="00E82241"/>
    <w:rsid w:val="00E82C62"/>
    <w:rsid w:val="00E86440"/>
    <w:rsid w:val="00EA4AC4"/>
    <w:rsid w:val="00EA7BA1"/>
    <w:rsid w:val="00ED380A"/>
    <w:rsid w:val="00EF39E9"/>
    <w:rsid w:val="00F07BFB"/>
    <w:rsid w:val="00F116D9"/>
    <w:rsid w:val="00F22043"/>
    <w:rsid w:val="00F25CA3"/>
    <w:rsid w:val="00F331B9"/>
    <w:rsid w:val="00F53015"/>
    <w:rsid w:val="00F53EA2"/>
    <w:rsid w:val="00F55037"/>
    <w:rsid w:val="00F61F58"/>
    <w:rsid w:val="00F64BA4"/>
    <w:rsid w:val="00F66332"/>
    <w:rsid w:val="00F905C9"/>
    <w:rsid w:val="00F91699"/>
    <w:rsid w:val="00F951F4"/>
    <w:rsid w:val="00F96063"/>
    <w:rsid w:val="00FA2EDA"/>
    <w:rsid w:val="00FB37D5"/>
    <w:rsid w:val="00FB680D"/>
    <w:rsid w:val="00FC169F"/>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 w:type="character" w:styleId="PlaceholderText">
    <w:name w:val="Placeholder Text"/>
    <w:basedOn w:val="DefaultParagraphFont"/>
    <w:uiPriority w:val="99"/>
    <w:semiHidden/>
    <w:rsid w:val="00BA2B4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5740</TotalTime>
  <Pages>7</Pages>
  <Words>9935</Words>
  <Characters>56632</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McCloskey, Ross</cp:lastModifiedBy>
  <cp:revision>213</cp:revision>
  <dcterms:created xsi:type="dcterms:W3CDTF">2026-05-12T20:59:00Z</dcterms:created>
  <dcterms:modified xsi:type="dcterms:W3CDTF">2026-09-04T01:08:00Z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id="RMQ5nF14"/&gt;&lt;style id="http://www.zotero.org/styles/frontiers-in-marine-science" hasBibliography="1" bibliographyStyleHasBeenSet="0"/&gt;&lt;prefs&gt;&lt;pref name="fieldType" value="Field"/&gt;&lt;/prefs&gt;&lt;/data&gt;</vt:lpwstr>
  </property>
</Properties>
</file>