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C920B" w14:textId="3A525F04" w:rsidR="001F318C" w:rsidRPr="001F318C" w:rsidRDefault="001F318C" w:rsidP="001F318C">
      <w:pPr>
        <w:rPr>
          <w:b/>
          <w:bCs/>
        </w:rPr>
      </w:pPr>
      <w:r w:rsidRPr="001F318C">
        <w:rPr>
          <w:b/>
          <w:bCs/>
        </w:rPr>
        <w:t>Outline</w:t>
      </w:r>
    </w:p>
    <w:p w14:paraId="683F924E" w14:textId="6D140A9F" w:rsidR="001F318C" w:rsidRDefault="001F318C" w:rsidP="001F318C">
      <w:pPr>
        <w:pStyle w:val="ListParagraph"/>
        <w:numPr>
          <w:ilvl w:val="0"/>
          <w:numId w:val="2"/>
        </w:numPr>
      </w:pPr>
      <w:r>
        <w:t>Objective 1: Describe spatial and interannual patterns in winter larval fish assemblage composition</w:t>
      </w:r>
    </w:p>
    <w:p w14:paraId="67DA3C90" w14:textId="22BDA685" w:rsidR="001F318C" w:rsidRDefault="001F318C" w:rsidP="001F318C">
      <w:pPr>
        <w:pStyle w:val="ListParagraph"/>
        <w:numPr>
          <w:ilvl w:val="1"/>
          <w:numId w:val="2"/>
        </w:numPr>
      </w:pPr>
      <w:r>
        <w:t>Cluster analysis to identify assemblage types and map their occurrence during each winter</w:t>
      </w:r>
    </w:p>
    <w:p w14:paraId="6E18F860" w14:textId="25D0C6A3" w:rsidR="001F318C" w:rsidRDefault="00AB01AA" w:rsidP="001F318C">
      <w:pPr>
        <w:pStyle w:val="ListParagraph"/>
        <w:numPr>
          <w:ilvl w:val="2"/>
          <w:numId w:val="2"/>
        </w:numPr>
      </w:pPr>
      <w:r>
        <w:t>U</w:t>
      </w:r>
      <w:r w:rsidR="001F318C">
        <w:t xml:space="preserve">se as many clusters as necessary to split assemblages that we think are ecologically distinct (see </w:t>
      </w:r>
      <w:r w:rsidR="00A24B24">
        <w:t xml:space="preserve">Fig. 2b in </w:t>
      </w:r>
      <w:r w:rsidR="00926C19">
        <w:t>Johannesen et al. 2012 for an example)</w:t>
      </w:r>
    </w:p>
    <w:p w14:paraId="5DF0B545" w14:textId="4A33B073" w:rsidR="00A24B24" w:rsidRDefault="00A24B24" w:rsidP="001F318C">
      <w:pPr>
        <w:pStyle w:val="ListParagraph"/>
        <w:numPr>
          <w:ilvl w:val="2"/>
          <w:numId w:val="2"/>
        </w:numPr>
      </w:pPr>
      <w:r>
        <w:t>May want to use an indicator taxa analysis to identify species that characterize each cluster (see Table 2 in Henderson et al. 2020 for an example)</w:t>
      </w:r>
    </w:p>
    <w:p w14:paraId="42E98B1A" w14:textId="5506E090" w:rsidR="00926C19" w:rsidRDefault="00AB01AA" w:rsidP="00926C19">
      <w:pPr>
        <w:pStyle w:val="ListParagraph"/>
        <w:numPr>
          <w:ilvl w:val="1"/>
          <w:numId w:val="2"/>
        </w:numPr>
      </w:pPr>
      <w:r>
        <w:t>NMDS plot to visualize unconstrained variation in assemblage composition</w:t>
      </w:r>
    </w:p>
    <w:p w14:paraId="07A60BBE" w14:textId="44F837E3" w:rsidR="00AB01AA" w:rsidRDefault="00AB01AA" w:rsidP="00AB01AA">
      <w:pPr>
        <w:pStyle w:val="ListParagraph"/>
        <w:numPr>
          <w:ilvl w:val="2"/>
          <w:numId w:val="2"/>
        </w:numPr>
      </w:pPr>
      <w:r>
        <w:t>Point color, point shape, and ellipses to indicate categories (i.e. cluster) and levels of categorical spatiotemporal variables (i.e. year, position relative to shelf break, time of day</w:t>
      </w:r>
      <w:r w:rsidR="00A24B24">
        <w:t>; see Fig. 9b in Rodriguez et al. 2015 for an example</w:t>
      </w:r>
      <w:r>
        <w:t>)</w:t>
      </w:r>
    </w:p>
    <w:p w14:paraId="2D20CAAA" w14:textId="290C1EAF" w:rsidR="00AB01AA" w:rsidRDefault="00AB01AA" w:rsidP="00AB01AA">
      <w:pPr>
        <w:pStyle w:val="ListParagraph"/>
        <w:numPr>
          <w:ilvl w:val="2"/>
          <w:numId w:val="2"/>
        </w:numPr>
      </w:pPr>
      <w:r>
        <w:t>Vectors to indicate correlation with continuous spatiotemporal variables (i.e. sampling depth, latitude, seafloor depth)</w:t>
      </w:r>
    </w:p>
    <w:p w14:paraId="62470B8B" w14:textId="24CBFB8F" w:rsidR="00AB01AA" w:rsidRDefault="00BC5D4E" w:rsidP="00BC5D4E">
      <w:pPr>
        <w:pStyle w:val="ListParagraph"/>
        <w:numPr>
          <w:ilvl w:val="0"/>
          <w:numId w:val="2"/>
        </w:numPr>
      </w:pPr>
      <w:r>
        <w:t>Objective 2: Quantify the effects of environmental variables on assemblage composition</w:t>
      </w:r>
    </w:p>
    <w:p w14:paraId="47CCD969" w14:textId="3A55410E" w:rsidR="00BC5D4E" w:rsidRDefault="00BC5D4E" w:rsidP="00BC5D4E">
      <w:pPr>
        <w:pStyle w:val="ListParagraph"/>
        <w:numPr>
          <w:ilvl w:val="1"/>
          <w:numId w:val="2"/>
        </w:numPr>
      </w:pPr>
      <w:r>
        <w:t>Distance-based redundancy analysis (</w:t>
      </w:r>
      <w:proofErr w:type="spellStart"/>
      <w:r>
        <w:t>db</w:t>
      </w:r>
      <w:proofErr w:type="spellEnd"/>
      <w:r>
        <w:t>-RDA) using spatiotemporal (e.g. year, time of day, latitude, seafloor depth, mean sampling depth) and environmental (e.g. temperature, salinity, dissolved oxygen, productivity) variables to explain variation in assemblage composition</w:t>
      </w:r>
    </w:p>
    <w:p w14:paraId="4C752E04" w14:textId="50DC876B" w:rsidR="00BC5D4E" w:rsidRDefault="00BC5D4E" w:rsidP="00BC5D4E">
      <w:pPr>
        <w:pStyle w:val="ListParagraph"/>
        <w:numPr>
          <w:ilvl w:val="2"/>
          <w:numId w:val="2"/>
        </w:numPr>
      </w:pPr>
      <w:r>
        <w:t>Probably be more informative than PERMANOVA</w:t>
      </w:r>
      <w:r w:rsidR="00887397">
        <w:t xml:space="preserve"> because effects of continuous variables can be fit and estimated fully</w:t>
      </w:r>
    </w:p>
    <w:p w14:paraId="5E1DFBF7" w14:textId="77A3E46A" w:rsidR="00887397" w:rsidRDefault="00887397" w:rsidP="00887397">
      <w:pPr>
        <w:pStyle w:val="ListParagraph"/>
        <w:numPr>
          <w:ilvl w:val="2"/>
          <w:numId w:val="2"/>
        </w:numPr>
      </w:pPr>
      <w:r>
        <w:t xml:space="preserve">Fit </w:t>
      </w:r>
      <w:proofErr w:type="spellStart"/>
      <w:r>
        <w:t>db</w:t>
      </w:r>
      <w:proofErr w:type="spellEnd"/>
      <w:r>
        <w:t xml:space="preserve">-RDA models using </w:t>
      </w:r>
      <w:proofErr w:type="gramStart"/>
      <w:r>
        <w:t>vegan::</w:t>
      </w:r>
      <w:proofErr w:type="spellStart"/>
      <w:proofErr w:type="gramEnd"/>
      <w:r>
        <w:t>capscale</w:t>
      </w:r>
      <w:proofErr w:type="spellEnd"/>
      <w:r>
        <w:t xml:space="preserve"> and assess significance of individual environmental variables using </w:t>
      </w:r>
      <w:proofErr w:type="gramStart"/>
      <w:r w:rsidR="00E0591F">
        <w:t>vegan::</w:t>
      </w:r>
      <w:proofErr w:type="gramEnd"/>
      <w:r w:rsidR="00E0591F">
        <w:t xml:space="preserve"> partial tests (see section 2.6 of Bleuel et al. 2024)</w:t>
      </w:r>
    </w:p>
    <w:p w14:paraId="43F4D170" w14:textId="7045B2CA" w:rsidR="00887397" w:rsidRDefault="00887397" w:rsidP="00BC5D4E">
      <w:pPr>
        <w:pStyle w:val="ListParagraph"/>
        <w:numPr>
          <w:ilvl w:val="2"/>
          <w:numId w:val="2"/>
        </w:numPr>
      </w:pPr>
      <w:r>
        <w:t xml:space="preserve">Compare support for a base </w:t>
      </w:r>
      <w:proofErr w:type="spellStart"/>
      <w:r>
        <w:t>db</w:t>
      </w:r>
      <w:proofErr w:type="spellEnd"/>
      <w:r>
        <w:t xml:space="preserve">-RDA model that only uses spatiotemporal covariates to a full </w:t>
      </w:r>
      <w:proofErr w:type="spellStart"/>
      <w:r>
        <w:t>db</w:t>
      </w:r>
      <w:proofErr w:type="spellEnd"/>
      <w:r>
        <w:t xml:space="preserve">-RDA model that includes spatiotemporal and environmental covariates using ANOVA (see </w:t>
      </w:r>
      <w:r w:rsidR="00E0591F">
        <w:t>“Redundancy analysis” subsection of results in De Pascale et al. 2025)</w:t>
      </w:r>
    </w:p>
    <w:p w14:paraId="2070E837" w14:textId="08FC7AB3" w:rsidR="00887397" w:rsidRDefault="00E0591F" w:rsidP="00BC5D4E">
      <w:pPr>
        <w:pStyle w:val="ListParagraph"/>
        <w:numPr>
          <w:ilvl w:val="2"/>
          <w:numId w:val="2"/>
        </w:numPr>
      </w:pPr>
      <w:r>
        <w:t xml:space="preserve">Plot model-constrained variation in assemblage composition, as explained by variables in </w:t>
      </w:r>
      <w:proofErr w:type="spellStart"/>
      <w:r>
        <w:t>db</w:t>
      </w:r>
      <w:proofErr w:type="spellEnd"/>
      <w:r>
        <w:t>-RDAs (see Fig. 2 in De Pascale et al. 2025)</w:t>
      </w:r>
    </w:p>
    <w:p w14:paraId="4E6338EB" w14:textId="35C55F42" w:rsidR="00E0591F" w:rsidRDefault="00E0591F" w:rsidP="00E0591F">
      <w:pPr>
        <w:pStyle w:val="ListParagraph"/>
        <w:numPr>
          <w:ilvl w:val="0"/>
          <w:numId w:val="2"/>
        </w:numPr>
      </w:pPr>
      <w:r>
        <w:lastRenderedPageBreak/>
        <w:t>Objective 3: Explore how vertical position of fish larvae differs during day vs. night using data from winter 2019</w:t>
      </w:r>
    </w:p>
    <w:p w14:paraId="08BEEE7D" w14:textId="5A09D671" w:rsidR="00E0591F" w:rsidRDefault="00E0591F" w:rsidP="00E0591F">
      <w:pPr>
        <w:pStyle w:val="ListParagraph"/>
        <w:numPr>
          <w:ilvl w:val="1"/>
          <w:numId w:val="2"/>
        </w:numPr>
      </w:pPr>
      <w:r>
        <w:t>Regression model: Larval fish abundance ~ taxon * time of day + taxon * depth</w:t>
      </w:r>
    </w:p>
    <w:p w14:paraId="7EF78F8A" w14:textId="4083008E" w:rsidR="00E0591F" w:rsidRDefault="00E0591F" w:rsidP="00E0591F">
      <w:pPr>
        <w:pStyle w:val="ListParagraph"/>
        <w:numPr>
          <w:ilvl w:val="1"/>
          <w:numId w:val="2"/>
        </w:numPr>
      </w:pPr>
      <w:r>
        <w:t>Plots comparing vertical position of a few key taxa (perhaps those identified as indicator taxa, if an indicator taxa analysis is used in Objective 1)</w:t>
      </w:r>
    </w:p>
    <w:p w14:paraId="1494E17B" w14:textId="2A9C8ECE" w:rsidR="00EE7396" w:rsidRDefault="00EE7396" w:rsidP="00EE7396">
      <w:r>
        <w:rPr>
          <w:b/>
          <w:bCs/>
        </w:rPr>
        <w:t>Next steps (before next meeting?)</w:t>
      </w:r>
    </w:p>
    <w:p w14:paraId="27E46E1A" w14:textId="55CF9073" w:rsidR="00EE7396" w:rsidRDefault="00EE7396" w:rsidP="00EE7396">
      <w:pPr>
        <w:pStyle w:val="ListParagraph"/>
        <w:numPr>
          <w:ilvl w:val="0"/>
          <w:numId w:val="2"/>
        </w:numPr>
      </w:pPr>
      <w:r>
        <w:t>Ross and Luke: Finalize taxonomic categories and thresholds</w:t>
      </w:r>
    </w:p>
    <w:p w14:paraId="7B389BE4" w14:textId="064B294D" w:rsidR="00EE7396" w:rsidRDefault="00EE7396" w:rsidP="00EE7396">
      <w:pPr>
        <w:pStyle w:val="ListParagraph"/>
        <w:numPr>
          <w:ilvl w:val="0"/>
          <w:numId w:val="2"/>
        </w:numPr>
      </w:pPr>
      <w:r>
        <w:t>Luke: Go through “01_data_</w:t>
      </w:r>
      <w:proofErr w:type="gramStart"/>
      <w:r>
        <w:t>wrangling.R</w:t>
      </w:r>
      <w:proofErr w:type="gramEnd"/>
      <w:r>
        <w:t>” to double-check data treatment, revert to concentration data for multivariate analyses (Obj. 1 &amp; 2) and counts for univariate analysis (Obj. 3)</w:t>
      </w:r>
    </w:p>
    <w:p w14:paraId="1098CF15" w14:textId="466AF6F5" w:rsidR="00EE7396" w:rsidRDefault="00EE7396" w:rsidP="00EE7396">
      <w:pPr>
        <w:pStyle w:val="ListParagraph"/>
        <w:numPr>
          <w:ilvl w:val="0"/>
          <w:numId w:val="2"/>
        </w:numPr>
      </w:pPr>
      <w:r>
        <w:t>Ross: Finalize cluster analysis and map cluster types by year (jitter depths)</w:t>
      </w:r>
    </w:p>
    <w:p w14:paraId="33399DF8" w14:textId="4F6BFB51" w:rsidR="00EE7396" w:rsidRDefault="00EE7396" w:rsidP="00EE7396">
      <w:pPr>
        <w:pStyle w:val="ListParagraph"/>
        <w:numPr>
          <w:ilvl w:val="0"/>
          <w:numId w:val="2"/>
        </w:numPr>
      </w:pPr>
      <w:r>
        <w:t xml:space="preserve">Luke: Try implementing </w:t>
      </w:r>
      <w:proofErr w:type="spellStart"/>
      <w:r>
        <w:t>db</w:t>
      </w:r>
      <w:proofErr w:type="spellEnd"/>
      <w:r>
        <w:t>-RDA</w:t>
      </w:r>
    </w:p>
    <w:p w14:paraId="35E12423" w14:textId="465924BA" w:rsidR="00475B43" w:rsidRDefault="00475B43" w:rsidP="00EE7396">
      <w:pPr>
        <w:pStyle w:val="ListParagraph"/>
        <w:numPr>
          <w:ilvl w:val="0"/>
          <w:numId w:val="2"/>
        </w:numPr>
      </w:pPr>
      <w:r>
        <w:t>Ross: Next iteration of model and plots for Obj. 3</w:t>
      </w:r>
    </w:p>
    <w:p w14:paraId="15F0B191" w14:textId="0A57D562" w:rsidR="00EE7396" w:rsidRPr="00EE7396" w:rsidRDefault="00EE7396" w:rsidP="00EE7396">
      <w:pPr>
        <w:rPr>
          <w:b/>
          <w:bCs/>
        </w:rPr>
      </w:pPr>
      <w:r>
        <w:rPr>
          <w:b/>
          <w:bCs/>
        </w:rPr>
        <w:t>Future steps (during or after next meeting)</w:t>
      </w:r>
    </w:p>
    <w:p w14:paraId="24C2B3A6" w14:textId="66A1B70A" w:rsidR="00EE7396" w:rsidRDefault="00EE7396" w:rsidP="00EE7396">
      <w:pPr>
        <w:pStyle w:val="ListParagraph"/>
        <w:numPr>
          <w:ilvl w:val="0"/>
          <w:numId w:val="2"/>
        </w:numPr>
      </w:pPr>
      <w:r>
        <w:t>Luke: Try implementing indicator taxa analysis on clusters</w:t>
      </w:r>
    </w:p>
    <w:p w14:paraId="42ED5B29" w14:textId="62B29796" w:rsidR="00EE7396" w:rsidRPr="00EE7396" w:rsidRDefault="00EE7396" w:rsidP="00475B43">
      <w:pPr>
        <w:pStyle w:val="ListParagraph"/>
        <w:numPr>
          <w:ilvl w:val="0"/>
          <w:numId w:val="2"/>
        </w:numPr>
      </w:pPr>
      <w:r>
        <w:t>Ross: Finalize NMDS plot</w:t>
      </w:r>
    </w:p>
    <w:sectPr w:rsidR="00EE7396" w:rsidRPr="00EE7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043B3"/>
    <w:multiLevelType w:val="hybridMultilevel"/>
    <w:tmpl w:val="6AE8D0FC"/>
    <w:lvl w:ilvl="0" w:tplc="6A4A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A7C35"/>
    <w:multiLevelType w:val="hybridMultilevel"/>
    <w:tmpl w:val="4880B464"/>
    <w:lvl w:ilvl="0" w:tplc="C1C4EF1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2190763">
    <w:abstractNumId w:val="1"/>
  </w:num>
  <w:num w:numId="2" w16cid:durableId="33811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18C"/>
    <w:rsid w:val="001F318C"/>
    <w:rsid w:val="003D32A1"/>
    <w:rsid w:val="00475B43"/>
    <w:rsid w:val="005A2243"/>
    <w:rsid w:val="006F6346"/>
    <w:rsid w:val="007545D8"/>
    <w:rsid w:val="00887397"/>
    <w:rsid w:val="00926C19"/>
    <w:rsid w:val="0094253B"/>
    <w:rsid w:val="00A24B24"/>
    <w:rsid w:val="00A92557"/>
    <w:rsid w:val="00AB01AA"/>
    <w:rsid w:val="00AF1E30"/>
    <w:rsid w:val="00B67E95"/>
    <w:rsid w:val="00B8111D"/>
    <w:rsid w:val="00BC5D4E"/>
    <w:rsid w:val="00CD796B"/>
    <w:rsid w:val="00D957BD"/>
    <w:rsid w:val="00E0591F"/>
    <w:rsid w:val="00EE7396"/>
    <w:rsid w:val="00F47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ADE07"/>
  <w15:chartTrackingRefBased/>
  <w15:docId w15:val="{D1F30621-6C34-41B9-83BF-EE8532DBC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428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Bobay, Luke Andrew</dc:creator>
  <cp:keywords/>
  <dc:description/>
  <cp:lastModifiedBy>Bobay, Luke Andrew</cp:lastModifiedBy>
  <cp:revision>1</cp:revision>
  <dcterms:created xsi:type="dcterms:W3CDTF">2026-04-07T20:41:00Z</dcterms:created>
  <dcterms:modified xsi:type="dcterms:W3CDTF">2026-04-07T22:50:00Z</dcterms:modified>
</cp:coreProperties>
</file>