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r w:rsidR="0015125F">
        <w:t xml:space="preserve"> </w:t>
      </w:r>
      <w:commentRangeStart w:id="0"/>
      <w:r w:rsidR="0015125F">
        <w:t>ecosystem</w:t>
      </w:r>
      <w:commentRangeEnd w:id="0"/>
      <w:r w:rsidR="00F66332" w:rsidRPr="0014295B">
        <w:rPr>
          <w:rStyle w:val="CommentReference"/>
          <w:sz w:val="32"/>
          <w:szCs w:val="32"/>
        </w:rPr>
        <w:commentReference w:id="0"/>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1"/>
      <w:r w:rsidR="00B40B38">
        <w:rPr>
          <w:vertAlign w:val="superscript"/>
        </w:rPr>
        <w:t>^</w:t>
      </w:r>
      <w:commentRangeEnd w:id="1"/>
      <w:r w:rsidR="00DF4B39" w:rsidRPr="00376CC5">
        <w:rPr>
          <w:rStyle w:val="CommentReference"/>
          <w:sz w:val="24"/>
          <w:szCs w:val="24"/>
        </w:rPr>
        <w:commentReference w:id="1"/>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3DD317F6" w:rsidR="00CB0420" w:rsidRPr="00CB0420" w:rsidRDefault="00434324" w:rsidP="00241E61">
      <w:pPr>
        <w:pStyle w:val="AuthorList"/>
      </w:pPr>
      <w:r w:rsidRPr="003600B0">
        <w:t xml:space="preserve">KEYWORDS: </w:t>
      </w:r>
      <w:r w:rsidR="00633FF4">
        <w:t xml:space="preserve">Ichthyoplankton, </w:t>
      </w:r>
      <w:r w:rsidR="00F66332">
        <w:t>fish larvae, assemblages, multivariate analyses, North Pacific Ocean, diel vertical migration</w:t>
      </w:r>
    </w:p>
    <w:p w14:paraId="634DBDD8" w14:textId="09352E4A" w:rsidR="009A6271" w:rsidRDefault="00434324" w:rsidP="00241E61">
      <w:pPr>
        <w:pStyle w:val="AuthorList"/>
      </w:pPr>
      <w:commentRangeStart w:id="2"/>
      <w:commentRangeStart w:id="3"/>
      <w:r>
        <w:t>ABSTRACT</w:t>
      </w:r>
      <w:commentRangeEnd w:id="2"/>
      <w:r w:rsidR="00DF4B39">
        <w:rPr>
          <w:rStyle w:val="CommentReference"/>
          <w:sz w:val="24"/>
          <w:szCs w:val="24"/>
        </w:rPr>
        <w:commentReference w:id="2"/>
      </w:r>
      <w:commentRangeEnd w:id="3"/>
      <w:r w:rsidR="00F66332">
        <w:rPr>
          <w:rStyle w:val="CommentReference"/>
          <w:sz w:val="24"/>
          <w:szCs w:val="24"/>
        </w:rPr>
        <w:commentReference w:id="3"/>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0E711855" w:rsidR="00EA4AC4" w:rsidRPr="00DF4B39" w:rsidRDefault="008A2030" w:rsidP="00241E61">
      <w:r w:rsidRPr="00DF4B39">
        <w:t>The northern California Current</w:t>
      </w:r>
      <w:r w:rsidR="00CC6883">
        <w:t xml:space="preserve"> ecosystem</w:t>
      </w:r>
      <w:r w:rsidRPr="00DF4B39">
        <w:t xml:space="preserve"> (NCC) is a dynamic eastern boundary current system that supports </w:t>
      </w:r>
      <w:r w:rsidR="00D82DA2">
        <w:t>numerous ecologically and commercially</w:t>
      </w:r>
      <w:r w:rsidRPr="00DF4B39">
        <w:t xml:space="preserve"> important fish populations whose early life stages are tightly coupled to seasonal oceanographic processes</w:t>
      </w:r>
      <w:r w:rsidR="00943701">
        <w:t xml:space="preserve"> </w:t>
      </w:r>
      <w:commentRangeStart w:id="4"/>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commentRangeEnd w:id="4"/>
      <w:r w:rsidR="00943701" w:rsidRPr="00DF4B39">
        <w:rPr>
          <w:rStyle w:val="CommentReference"/>
          <w:sz w:val="24"/>
          <w:szCs w:val="24"/>
        </w:rPr>
        <w:commentReference w:id="4"/>
      </w:r>
      <w:r w:rsidRPr="00DF4B39">
        <w:t>. For many of these species</w:t>
      </w:r>
      <w:r w:rsidR="00EA4AC4" w:rsidRPr="00DF4B39">
        <w:t>, peak spawning occurs in winter during which offshore transport is minimal</w:t>
      </w:r>
      <w:r w:rsidR="00943701">
        <w:t xml:space="preserve"> </w:t>
      </w:r>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r w:rsidR="00EA4AC4" w:rsidRPr="00DF4B39">
        <w:t>.</w:t>
      </w:r>
      <w:r w:rsidR="00073331">
        <w:t xml:space="preserve"> </w:t>
      </w:r>
      <w:r w:rsidR="00F55037">
        <w:t>In addition to replenishing adult populations</w:t>
      </w:r>
      <w:r w:rsidR="00073331">
        <w:t>,</w:t>
      </w:r>
      <w:r w:rsidR="00F55037">
        <w:t xml:space="preserve"> winter ichthyoplankton are particularly important prey for other taxa. </w:t>
      </w:r>
      <w:r w:rsidR="00C660BE">
        <w:t xml:space="preserve">The winter-spawned young of certain coastal fishes are important prey of juvenile salmon upon ocean entry, and winter ichthyoplankton biomass is positively related to salmon marine survival </w:t>
      </w:r>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ins w:id="5" w:author="Bobay, Luke Andrew" w:date="2026-08-28T08:24:00Z" w16du:dateUtc="2026-08-28T15:24:00Z">
        <w:r w:rsidR="00C660BE">
          <w:t>.</w:t>
        </w:r>
      </w:ins>
      <w:r w:rsidR="00EA4AC4" w:rsidRPr="00DF4B39">
        <w:t xml:space="preserve"> </w:t>
      </w:r>
      <w:r w:rsidR="00C660BE">
        <w:t xml:space="preserve">Therefore, understanding the </w:t>
      </w:r>
      <w:r w:rsidR="005E284A">
        <w:t xml:space="preserve">factors contributing to the composition and abundance of winter ichthyoplankton assemblages is crucial for understanding fish recruitment and food-web structuring in the NCC. </w:t>
      </w:r>
      <w:r w:rsidR="00EA4AC4" w:rsidRPr="00DF4B39">
        <w:t>However, ichthyoplankton research</w:t>
      </w:r>
      <w:r w:rsidR="00243FA2">
        <w:t xml:space="preserve"> in winter is relatively scarce</w:t>
      </w:r>
      <w:r w:rsidR="00EA4AC4" w:rsidRPr="00DF4B39">
        <w:t xml:space="preserve"> </w:t>
      </w:r>
      <w:r w:rsidR="00243FA2">
        <w:t>compared to in</w:t>
      </w:r>
      <w:r w:rsidR="00EA4AC4" w:rsidRPr="00DF4B39">
        <w:t xml:space="preserve"> spring and summer when sea conditions are more </w:t>
      </w:r>
      <w:r w:rsidR="00943701">
        <w:t>favorable for ship-based sampling</w:t>
      </w:r>
      <w:r w:rsidR="00943701">
        <w:t xml:space="preserve"> </w:t>
      </w:r>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6"/>
      <w:r w:rsidR="0014193D" w:rsidRPr="00DF4B39">
        <w:t xml:space="preserve">. </w:t>
      </w:r>
      <w:commentRangeEnd w:id="6"/>
      <w:r w:rsidR="00DF4B39">
        <w:rPr>
          <w:rStyle w:val="CommentReference"/>
          <w:sz w:val="24"/>
          <w:szCs w:val="24"/>
        </w:rPr>
        <w:commentReference w:id="6"/>
      </w:r>
      <w:r w:rsidR="005E284A">
        <w:t>Further, while variation in ichthyoplankton assemblages is associated with oceanographic variability</w:t>
      </w:r>
      <w:r w:rsidR="007E130E">
        <w:t xml:space="preserve"> </w:t>
      </w:r>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r w:rsidR="005E284A">
        <w:t xml:space="preserve">, </w:t>
      </w:r>
      <w:r w:rsidR="00F25CA3">
        <w:t xml:space="preserve">less attention has been paid to fine-scale spatiotemporal and environmental factors that may have </w:t>
      </w:r>
      <w:r w:rsidR="00FF2FCA">
        <w:t xml:space="preserve">influence </w:t>
      </w:r>
      <w:r w:rsidR="00F25CA3">
        <w:t>ichthyoplankton assemblage composition and abundance</w:t>
      </w:r>
      <w:r w:rsidR="00FF2FCA">
        <w:t xml:space="preserve"> through physical, ecological, and physiological mechanisms</w:t>
      </w:r>
      <w:r w:rsidR="00F25CA3">
        <w:t>.</w:t>
      </w:r>
    </w:p>
    <w:p w14:paraId="61CFCD68" w14:textId="37C2B03A" w:rsidR="00EA4AC4" w:rsidRPr="00DF4B39" w:rsidRDefault="00EA4AC4" w:rsidP="00241E61">
      <w:commentRangeStart w:id="7"/>
      <w:r w:rsidRPr="00DF4B39">
        <w:t xml:space="preserve">Broad oceanographic </w:t>
      </w:r>
      <w:r w:rsidR="00905D9C">
        <w:t>conditions</w:t>
      </w:r>
      <w:r w:rsidR="00905D9C" w:rsidRPr="00DF4B39">
        <w:t xml:space="preserve"> </w:t>
      </w:r>
      <w:r w:rsidRPr="00DF4B39">
        <w:t>such as</w:t>
      </w:r>
      <w:r w:rsidR="00905D9C">
        <w:t xml:space="preserve"> climate indices,</w:t>
      </w:r>
      <w:r w:rsidRPr="00DF4B39">
        <w:t xml:space="preserve"> </w:t>
      </w:r>
      <w:commentRangeStart w:id="8"/>
      <w:commentRangeStart w:id="9"/>
      <w:commentRangeStart w:id="10"/>
      <w:r w:rsidR="00B85AD5">
        <w:t>circulation</w:t>
      </w:r>
      <w:r w:rsidRPr="00DF4B39">
        <w:t xml:space="preserve">, and </w:t>
      </w:r>
      <w:r w:rsidR="00905D9C">
        <w:t>seafloor</w:t>
      </w:r>
      <w:r w:rsidR="00905D9C" w:rsidRPr="00DF4B39">
        <w:t xml:space="preserve"> </w:t>
      </w:r>
      <w:r w:rsidRPr="00DF4B39">
        <w:t xml:space="preserve">topography </w:t>
      </w:r>
      <w:commentRangeEnd w:id="8"/>
      <w:r w:rsidR="00DF4B39" w:rsidRPr="00DF4B39">
        <w:rPr>
          <w:rStyle w:val="CommentReference"/>
          <w:sz w:val="24"/>
          <w:szCs w:val="24"/>
        </w:rPr>
        <w:commentReference w:id="8"/>
      </w:r>
      <w:commentRangeEnd w:id="9"/>
      <w:r w:rsidR="002C0601" w:rsidRPr="00DF4B39">
        <w:rPr>
          <w:rStyle w:val="CommentReference"/>
          <w:sz w:val="24"/>
          <w:szCs w:val="24"/>
        </w:rPr>
        <w:commentReference w:id="9"/>
      </w:r>
      <w:commentRangeEnd w:id="10"/>
      <w:r w:rsidR="00D50AF7" w:rsidRPr="00DF4B39">
        <w:rPr>
          <w:rStyle w:val="CommentReference"/>
          <w:sz w:val="24"/>
          <w:szCs w:val="24"/>
        </w:rPr>
        <w:commentReference w:id="10"/>
      </w:r>
      <w:r w:rsidRPr="00DF4B39">
        <w:t>have been found to influence the composition, abundance, and distribution of larval fish</w:t>
      </w:r>
      <w:r w:rsidR="00E82241">
        <w:t xml:space="preserve"> </w:t>
      </w:r>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r w:rsidRPr="00DF4B39">
        <w:t xml:space="preserve">. Variability on finer spatial and temporal scales </w:t>
      </w:r>
      <w:r w:rsidR="00A31F5D">
        <w:t>also influences</w:t>
      </w:r>
      <w:r w:rsidRPr="00DF4B39">
        <w:t xml:space="preserve"> </w:t>
      </w:r>
      <w:r w:rsidR="005B1264">
        <w:t>ichthyoplankton abundance and assemblage composition</w:t>
      </w:r>
      <w:r w:rsidRPr="00DF4B39">
        <w:t xml:space="preserve">. </w:t>
      </w:r>
      <w:r w:rsidR="00416033">
        <w:t>Environmental conditions, like temperature, salinity, and dissolved oxygen, may influence ichthyoplankton abundance and assemblage composition through direct physiological effects</w:t>
      </w:r>
      <w:r w:rsidR="005E0081">
        <w:t xml:space="preserve"> </w:t>
      </w:r>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r w:rsidR="00416033">
        <w:t>. Salinity may also be related to</w:t>
      </w:r>
      <w:r w:rsidR="00B41A14">
        <w:t xml:space="preserve"> the presence of distinct water masses that larval fishes are associated with</w:t>
      </w:r>
      <w:r w:rsidR="005E0081">
        <w:t xml:space="preserve"> </w:t>
      </w:r>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r w:rsidR="00B41A14">
        <w:t>, and chlorophyll-</w:t>
      </w:r>
      <w:r w:rsidR="00B41A14" w:rsidRPr="006878C0">
        <w:rPr>
          <w:i/>
          <w:iCs/>
        </w:rPr>
        <w:t>a</w:t>
      </w:r>
      <w:r w:rsidR="00B41A14">
        <w:t xml:space="preserve"> concentration </w:t>
      </w:r>
      <w:r w:rsidR="002A2056">
        <w:t>is related to primary</w:t>
      </w:r>
      <w:r w:rsidR="00B41A14">
        <w:t xml:space="preserve"> productivity </w:t>
      </w:r>
      <w:r w:rsidR="002A052D">
        <w:t>which</w:t>
      </w:r>
      <w:r w:rsidR="00B41A14">
        <w:t xml:space="preserve"> </w:t>
      </w:r>
      <w:r w:rsidR="005E0081">
        <w:t>may indirectly indicate favorable prey availability</w:t>
      </w:r>
      <w:r w:rsidR="00CF1DE3">
        <w:t xml:space="preserve"> </w:t>
      </w:r>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r w:rsidR="00B41A14">
        <w:t xml:space="preserve">. </w:t>
      </w:r>
      <w:r w:rsidRPr="00DF4B39">
        <w:t>Such factors vary in space, alongside</w:t>
      </w:r>
      <w:r w:rsidR="004511A7">
        <w:t xml:space="preserve"> other factors that influence ichthyoplankton assemblages. I</w:t>
      </w:r>
      <w:r w:rsidRPr="00DF4B39">
        <w:t xml:space="preserve">chthyoplankton assemblages generally reflect the habitat </w:t>
      </w:r>
      <w:r w:rsidR="004511A7">
        <w:t>affinities</w:t>
      </w:r>
      <w:r w:rsidR="004511A7" w:rsidRPr="00DF4B39">
        <w:t xml:space="preserve"> </w:t>
      </w:r>
      <w:r w:rsidRPr="00DF4B39">
        <w:t>of adults</w:t>
      </w:r>
      <w:r w:rsidR="00FB680D">
        <w:t xml:space="preserve"> </w:t>
      </w:r>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r w:rsidR="00FB680D">
        <w:t>Proximity to spawning habitat, as well as local currents, can therefore influence horizontal structuring of ichthyoplankton assemblages</w:t>
      </w:r>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r w:rsidRPr="00DF4B39">
        <w:t xml:space="preserve">. Larvae also aggregate vertically to reach or maintain a position within water masses of ideal environmental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r w:rsidR="00494261">
        <w:t xml:space="preserve">, resulting in vertical ichthyoplankton assemblage </w:t>
      </w:r>
      <w:r w:rsidR="00CB5111">
        <w:t>variation</w:t>
      </w:r>
      <w:r w:rsidR="00494261">
        <w:t xml:space="preserve"> </w:t>
      </w:r>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r w:rsidR="00661AD6">
        <w:t>Further, t</w:t>
      </w:r>
      <w:r w:rsidRPr="00DF4B39">
        <w:t xml:space="preserve">here is evidence </w:t>
      </w:r>
      <w:r w:rsidR="00CB5111">
        <w:t>of</w:t>
      </w:r>
      <w:r w:rsidR="00CB5111" w:rsidRPr="00DF4B39">
        <w:t xml:space="preserve"> </w:t>
      </w:r>
      <w:r w:rsidRPr="00DF4B39">
        <w:t xml:space="preserve">diel vertical migration (DVM) in </w:t>
      </w:r>
      <w:r w:rsidR="00661AD6">
        <w:t>some larval fishes</w:t>
      </w:r>
      <w:r w:rsidR="00CB5111">
        <w:t xml:space="preserve"> </w:t>
      </w:r>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r w:rsidR="00CB5111">
        <w:t>which may contribute to sub</w:t>
      </w:r>
      <w:r w:rsidR="00B601DD">
        <w:t>-</w:t>
      </w:r>
      <w:r w:rsidR="00CB5111">
        <w:t>daily vertical variation in ichthyoplankton abundance and assemblage composition</w:t>
      </w:r>
      <w:r w:rsidRPr="00DF4B39">
        <w:t xml:space="preserve">. Diel </w:t>
      </w:r>
      <w:r w:rsidR="00C903B8">
        <w:t>variation in ichthyoplankton abundance and assemblage composition</w:t>
      </w:r>
      <w:r w:rsidR="00C903B8" w:rsidRPr="00DF4B39">
        <w:t xml:space="preserve"> </w:t>
      </w:r>
      <w:r w:rsidR="00C903B8">
        <w:t>caused by DVM is</w:t>
      </w:r>
      <w:r w:rsidRPr="00DF4B39">
        <w:t xml:space="preserve"> not accounted for, however, in common sampling schemes that are depth-integrated and </w:t>
      </w:r>
      <w:r w:rsidR="00C94D00">
        <w:t>sample once during a</w:t>
      </w:r>
      <w:r w:rsidRPr="00DF4B39">
        <w:t xml:space="preserve"> day</w:t>
      </w:r>
      <w:r w:rsidR="001A6532">
        <w:t xml:space="preserve"> and, as a result, can be biased by DVM</w:t>
      </w:r>
      <w:r w:rsidR="009625C6">
        <w:t xml:space="preserve"> </w:t>
      </w:r>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r w:rsidR="00C94D00">
        <w:t>. We are not aware of any previous depth-stratified studies of ichthyoplankton abundance or assemblage composition during winter in the NCC</w:t>
      </w:r>
      <w:r w:rsidR="00AF7B28" w:rsidRPr="00DF4B39">
        <w:t>.</w:t>
      </w:r>
      <w:commentRangeEnd w:id="7"/>
      <w:r w:rsidR="001813A1" w:rsidRPr="00DF4B39">
        <w:rPr>
          <w:rStyle w:val="CommentReference"/>
          <w:sz w:val="24"/>
          <w:szCs w:val="24"/>
        </w:rPr>
        <w:commentReference w:id="7"/>
      </w:r>
      <w:r w:rsidR="005067C5" w:rsidRPr="00DF4B39">
        <w:t xml:space="preserve"> </w:t>
      </w:r>
      <w:r w:rsidR="00C94D00">
        <w:t xml:space="preserve">Consequently, </w:t>
      </w:r>
      <w:r w:rsidR="001A6532">
        <w:t xml:space="preserve">the degree of vertical variation in ichthyoplankton abundance and assemblage composition during winter, the time of greatest larval fish abundance and diversity in this region, </w:t>
      </w:r>
      <w:r w:rsidR="00C94D00">
        <w:t>is unknown</w:t>
      </w:r>
      <w:r w:rsidR="009625C6">
        <w:t>. Similarly,</w:t>
      </w:r>
      <w:r w:rsidR="001A6532">
        <w:t xml:space="preserve"> </w:t>
      </w:r>
      <w:r w:rsidR="009625C6">
        <w:t>the degree to which</w:t>
      </w:r>
      <w:r w:rsidR="00C94D00">
        <w:t xml:space="preserve"> </w:t>
      </w:r>
      <w:r w:rsidR="001A6532">
        <w:t xml:space="preserve">the limited research on environmental </w:t>
      </w:r>
      <w:r w:rsidR="009625C6">
        <w:t>influences on winter ichthyoplankton assemblages is biased by DVM</w:t>
      </w:r>
      <w:r w:rsidR="00D50AF7">
        <w:t xml:space="preserve"> is unknown</w:t>
      </w:r>
      <w:commentRangeStart w:id="11"/>
      <w:commentRangeStart w:id="12"/>
      <w:r w:rsidR="008544F1" w:rsidRPr="00DF4B39">
        <w:t>.</w:t>
      </w:r>
      <w:commentRangeEnd w:id="11"/>
      <w:r w:rsidR="00DF4B39" w:rsidRPr="00DF4B39">
        <w:rPr>
          <w:rStyle w:val="CommentReference"/>
          <w:sz w:val="24"/>
          <w:szCs w:val="24"/>
        </w:rPr>
        <w:commentReference w:id="11"/>
      </w:r>
      <w:commentRangeEnd w:id="12"/>
      <w:r w:rsidR="00D50AF7" w:rsidRPr="00DF4B39">
        <w:rPr>
          <w:rStyle w:val="CommentReference"/>
          <w:sz w:val="24"/>
          <w:szCs w:val="24"/>
        </w:rPr>
        <w:commentReference w:id="12"/>
      </w:r>
    </w:p>
    <w:p w14:paraId="57A65343" w14:textId="08151A62" w:rsidR="00CB0420" w:rsidRPr="00DF4B39" w:rsidRDefault="00EA4AC4" w:rsidP="00241E61">
      <w:r w:rsidRPr="00DF4B39">
        <w:lastRenderedPageBreak/>
        <w:t>Using depth-discrete</w:t>
      </w:r>
      <w:r w:rsidR="00BB3B43">
        <w:t xml:space="preserve"> winter</w:t>
      </w:r>
      <w:r w:rsidRPr="00DF4B39">
        <w:t xml:space="preserve"> ichthyoplankton </w:t>
      </w:r>
      <w:r w:rsidR="00D50AF7">
        <w:t xml:space="preserve">abundance </w:t>
      </w:r>
      <w:r w:rsidRPr="00DF4B39">
        <w:t>data, we</w:t>
      </w:r>
      <w:r w:rsidR="00ED380A">
        <w:t xml:space="preserve"> (1) characterized winter ichthyoplankton assemblages</w:t>
      </w:r>
      <w:r w:rsidR="00BB3B43">
        <w:t xml:space="preserve"> of the NCC</w:t>
      </w:r>
      <w:r w:rsidR="00ED380A">
        <w:t>, (2) used fine-scale spatiotemporal and environmental factors to explain variation in winter ichthyoplankton assemblage composition, and (3) examined taxon-specific diel variation in vertical abundance distribution</w:t>
      </w:r>
      <w:r w:rsidRPr="00DF4B39">
        <w:t xml:space="preserve">. </w:t>
      </w:r>
      <w:r w:rsidR="00852AFF">
        <w:t xml:space="preserve">The results of this study will support </w:t>
      </w:r>
      <w:r w:rsidRPr="00DF4B39">
        <w:t xml:space="preserve">prediction of </w:t>
      </w:r>
      <w:r w:rsidR="00852AFF">
        <w:t>larval</w:t>
      </w:r>
      <w:r w:rsidRPr="00DF4B39">
        <w:t xml:space="preserve"> abundance </w:t>
      </w:r>
      <w:r w:rsidR="00852AFF">
        <w:t xml:space="preserve">of </w:t>
      </w:r>
      <w:r w:rsidRPr="00DF4B39">
        <w:t xml:space="preserve">and recruitment </w:t>
      </w:r>
      <w:r w:rsidR="00852AFF">
        <w:t xml:space="preserve">to adult populations </w:t>
      </w:r>
      <w:r w:rsidRPr="00DF4B39">
        <w:t xml:space="preserve">of </w:t>
      </w:r>
      <w:r w:rsidR="00852AFF">
        <w:t xml:space="preserve">winter-spawning fish </w:t>
      </w:r>
      <w:r w:rsidR="001A7C11">
        <w:t>and reveal potential diel biases in estimates of the abundance of larval fishes</w:t>
      </w:r>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37619C96" w:rsidR="00434324" w:rsidRDefault="00956532" w:rsidP="00241E61">
      <w:r>
        <w:t>Field sampling took place</w:t>
      </w:r>
      <w:r w:rsidR="00BB3B43">
        <w:t xml:space="preserve"> </w:t>
      </w:r>
      <w:r>
        <w:t xml:space="preserve">in the NCC (41–47°N) on four research cruises </w:t>
      </w:r>
      <w:r w:rsidR="005D1578">
        <w:t>during February 17–23, 2018; March 4–12, 2019; March 3–11, 2022; and February 17–26, 2023.</w:t>
      </w:r>
      <w:r>
        <w:t xml:space="preserve"> In 2018 and 2019, sampling took place</w:t>
      </w:r>
      <w:r w:rsidR="00553F2A">
        <w:t xml:space="preserve"> at five stations</w:t>
      </w:r>
      <w:r>
        <w:t xml:space="preserve"> along</w:t>
      </w:r>
      <w:r w:rsidR="00553F2A">
        <w:t xml:space="preserve"> each of</w:t>
      </w:r>
      <w:r>
        <w:t xml:space="preserve"> two cross-shelf transects, which were sampled multiple times during both day and night. In 2022 and 2023, six cross-shelf transects</w:t>
      </w:r>
      <w:r w:rsidR="00553F2A">
        <w:t xml:space="preserve"> with 4–6 stations each</w:t>
      </w:r>
      <w:r>
        <w:t xml:space="preserve"> were sampled once per cruise.</w:t>
      </w:r>
      <w:r w:rsidR="001F3F34">
        <w:t xml:space="preserve"> (Fig. 1A)</w:t>
      </w:r>
    </w:p>
    <w:p w14:paraId="5A06343A" w14:textId="2C304EC0" w:rsidR="00956532" w:rsidRDefault="00956532" w:rsidP="00241E61">
      <w:r>
        <w:t>Plankton samples were collected using a coupled Multiple Opening/Closing Net and Environmental Sensing System (MOCNESS)</w:t>
      </w:r>
      <w:r w:rsidR="00553F2A">
        <w:t xml:space="preserve"> which had two sets of four nets. One set of nets had a 1-m</w:t>
      </w:r>
      <w:r w:rsidR="00553F2A">
        <w:rPr>
          <w:vertAlign w:val="superscript"/>
        </w:rPr>
        <w:t>2</w:t>
      </w:r>
      <w:r w:rsidR="00553F2A">
        <w:t xml:space="preserve"> </w:t>
      </w:r>
      <w:r w:rsidR="001D22B8">
        <w:t>mouth</w:t>
      </w:r>
      <w:r w:rsidR="00553F2A">
        <w:t xml:space="preserve"> and 333-µm mesh, while the other set had a 4-m</w:t>
      </w:r>
      <w:r w:rsidR="00553F2A">
        <w:rPr>
          <w:vertAlign w:val="superscript"/>
        </w:rPr>
        <w:t>2</w:t>
      </w:r>
      <w:r w:rsidR="00553F2A">
        <w:t xml:space="preserve"> </w:t>
      </w:r>
      <w:r w:rsidR="001D22B8">
        <w:t>mouth</w:t>
      </w:r>
      <w:r w:rsidR="00553F2A">
        <w:t xml:space="preserve"> and 1000-µm mesh. Each successive net was used to sample from approximately 100–75 m, 75–50 m, 50–25 m, and 25–0 m depth</w:t>
      </w:r>
      <w:r w:rsidR="001D22B8">
        <w:t>. At sampling stations where the seafloor was &lt; 100 m below the surface, the MOCNESS was used to sample as close as possible (&lt; 10 m) to the seafloor</w:t>
      </w:r>
      <w:r w:rsidR="00553F2A">
        <w:t>. A depth sensor on the MOCNESS was used to monitor its depth</w:t>
      </w:r>
      <w:r w:rsidR="003A7D45">
        <w:t xml:space="preserve"> (m)</w:t>
      </w:r>
      <w:r w:rsidR="00553F2A">
        <w:t>, and temperature and conductivity sensors were used to measure temperature</w:t>
      </w:r>
      <w:r w:rsidR="003A7D45">
        <w:t xml:space="preserve"> (°C)</w:t>
      </w:r>
      <w:r w:rsidR="00553F2A">
        <w:t xml:space="preserve"> and salinity</w:t>
      </w:r>
      <w:r w:rsidR="003A7D45">
        <w:t xml:space="preserve"> (PSU)</w:t>
      </w:r>
      <w:r w:rsidR="00553F2A">
        <w:t xml:space="preserve"> </w:t>
      </w:r>
      <w:r w:rsidR="003A7D45">
        <w:t xml:space="preserve">at a rate of 1 Hz </w:t>
      </w:r>
      <w:r w:rsidR="00553F2A">
        <w:t>during sampl</w:t>
      </w:r>
      <w:r w:rsidR="001D22B8">
        <w:t>ing</w:t>
      </w:r>
      <w:r w:rsidR="001F3F34">
        <w:t>. Mean depth, temperature, and salinity during each net tow was calculated (Fig. 1B–C)</w:t>
      </w:r>
      <w:r w:rsidR="001D22B8">
        <w:t>. Upon retrieval of the MOCNESS, bulk plankton samples were preserved in 95% ethanol. All ichthyoplankton were then visually identified to the finest possible taxonomic resolution (usually genus- or species-level) and counted.</w:t>
      </w:r>
    </w:p>
    <w:p w14:paraId="75E0D72F" w14:textId="12553B88" w:rsidR="001D22B8" w:rsidRPr="00DE1D8D" w:rsidRDefault="00036569" w:rsidP="00241E61">
      <w:r>
        <w:t xml:space="preserve">At each sampling station, usually immediately prior to, but always within </w:t>
      </w:r>
      <w:r w:rsidR="00F905C9">
        <w:t>3</w:t>
      </w:r>
      <w:r>
        <w:t xml:space="preserve"> h of</w:t>
      </w:r>
      <w:r w:rsidR="001F3F34">
        <w:t>,</w:t>
      </w:r>
      <w:r>
        <w:t xml:space="preserve"> MOCNESS sampling, a </w:t>
      </w:r>
      <w:r w:rsidR="00F905C9">
        <w:t>sensor package including a dissolved oxygen sensor</w:t>
      </w:r>
      <w:r>
        <w:t xml:space="preserve"> </w:t>
      </w:r>
      <w:r w:rsidR="003A7D45">
        <w:t xml:space="preserve">and a fluorescence probe </w:t>
      </w:r>
      <w:r>
        <w:t>was towed vertically through the top 100 m of the water column</w:t>
      </w:r>
      <w:r w:rsidR="00D919C0">
        <w:t xml:space="preserve">. </w:t>
      </w:r>
      <w:r w:rsidR="001F3F34">
        <w:t xml:space="preserve">At sampling stations where the seafloor was &lt; 100 m below the surface, the sensor package was used to </w:t>
      </w:r>
      <w:r w:rsidR="003A7D45">
        <w:t>measure dissolved oxygen (</w:t>
      </w:r>
      <w:r w:rsidR="00851E58">
        <w:t xml:space="preserve">DO; </w:t>
      </w:r>
      <w:r w:rsidR="003A7D45">
        <w:t>mL L</w:t>
      </w:r>
      <w:r w:rsidR="003A7D45">
        <w:rPr>
          <w:vertAlign w:val="superscript"/>
        </w:rPr>
        <w:t>-1</w:t>
      </w:r>
      <w:r w:rsidR="003A7D45">
        <w:t xml:space="preserve">) and </w:t>
      </w:r>
      <w:r w:rsidR="00851E58">
        <w:t>chlorophyll-</w:t>
      </w:r>
      <w:r w:rsidR="00851E58">
        <w:rPr>
          <w:i/>
          <w:iCs/>
        </w:rPr>
        <w:t>a</w:t>
      </w:r>
      <w:r w:rsidR="00851E58">
        <w:t xml:space="preserve"> </w:t>
      </w:r>
      <w:r w:rsidR="003A7D45">
        <w:t>(</w:t>
      </w:r>
      <w:r w:rsidR="00851E58">
        <w:t>chl-</w:t>
      </w:r>
      <w:r w:rsidR="00851E58">
        <w:rPr>
          <w:i/>
          <w:iCs/>
        </w:rPr>
        <w:t>a</w:t>
      </w:r>
      <w:r w:rsidR="00851E58">
        <w:t>; mg m</w:t>
      </w:r>
      <w:r w:rsidR="00851E58">
        <w:rPr>
          <w:vertAlign w:val="superscript"/>
        </w:rPr>
        <w:t>-3</w:t>
      </w:r>
      <w:r w:rsidR="00851E58">
        <w:t>)</w:t>
      </w:r>
      <w:r w:rsidR="001F3F34">
        <w:t xml:space="preserve"> as close as possible (&lt; 10 m) to the seafloor. </w:t>
      </w:r>
      <w:r w:rsidR="00851E58">
        <w:t>DO</w:t>
      </w:r>
      <w:r w:rsidR="003A7D45">
        <w:t xml:space="preserve"> and </w:t>
      </w:r>
      <w:r w:rsidR="00851E58">
        <w:t>chl-</w:t>
      </w:r>
      <w:r w:rsidR="00851E58">
        <w:rPr>
          <w:i/>
          <w:iCs/>
        </w:rPr>
        <w:t>a</w:t>
      </w:r>
      <w:r w:rsidR="003A7D45">
        <w:t xml:space="preserve"> values were averaged within 0.5-m depth bins. Then, mean </w:t>
      </w:r>
      <w:r w:rsidR="00851E58">
        <w:t>DO</w:t>
      </w:r>
      <w:r w:rsidR="003A7D45">
        <w:t xml:space="preserve"> </w:t>
      </w:r>
      <w:r w:rsidR="00851E58">
        <w:t>within the range of depths sampled by each corresponding MOCNESS net tow was calculated</w:t>
      </w:r>
      <w:r w:rsidR="00796201">
        <w:t xml:space="preserve"> (Fig. 1D)</w:t>
      </w:r>
      <w:r w:rsidR="00851E58">
        <w:t>. Mean chl-</w:t>
      </w:r>
      <w:r w:rsidR="00851E58">
        <w:rPr>
          <w:i/>
          <w:iCs/>
        </w:rPr>
        <w:t xml:space="preserve">a </w:t>
      </w:r>
      <w:r w:rsidR="00851E58">
        <w:t>was calculated</w:t>
      </w:r>
      <w:r w:rsidR="00851E58">
        <w:rPr>
          <w:i/>
          <w:iCs/>
        </w:rPr>
        <w:t xml:space="preserve"> </w:t>
      </w:r>
      <w:r w:rsidR="00851E58">
        <w:t>across all depths sampled</w:t>
      </w:r>
      <w:r w:rsidR="00DE1D8D">
        <w:t xml:space="preserve"> at a given station</w:t>
      </w:r>
      <w:r w:rsidR="00796201">
        <w:t xml:space="preserve"> (Fig. 1E)</w:t>
      </w:r>
      <w:r w:rsidR="00851E58">
        <w:t>, as the vertical position of phytoplankton and zooplankton that are prey for larval fish change on shorter temporal scales than those at which they likely influence the abundance of larval fish, so we expected</w:t>
      </w:r>
      <w:r w:rsidR="00DE1D8D">
        <w:t xml:space="preserve"> depth-integrated</w:t>
      </w:r>
      <w:r w:rsidR="00851E58">
        <w:t xml:space="preserve"> chl-</w:t>
      </w:r>
      <w:r w:rsidR="00851E58">
        <w:rPr>
          <w:i/>
          <w:iCs/>
        </w:rPr>
        <w:t>a</w:t>
      </w:r>
      <w:r w:rsidR="00851E58">
        <w:t xml:space="preserve"> to be more relevant to ichthyoplankton abundance and assemblage composition </w:t>
      </w:r>
      <w:r w:rsidR="00DE1D8D">
        <w:t>than depth-discrete chl-</w:t>
      </w:r>
      <w:r w:rsidR="00DE1D8D">
        <w:rPr>
          <w:i/>
          <w:iCs/>
        </w:rPr>
        <w:t>a</w:t>
      </w:r>
      <w:r w:rsidR="00DE1D8D">
        <w:t>.</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289519AA" w14:textId="69AAC1D8" w:rsidR="00B57A56" w:rsidRDefault="001E6EA3" w:rsidP="00241E61">
      <w:r>
        <w:t xml:space="preserve"> </w:t>
      </w:r>
      <w:r w:rsidR="00C43565">
        <w:t>T</w:t>
      </w:r>
      <w:r>
        <w:t xml:space="preserve">axonomic </w:t>
      </w:r>
      <w:r w:rsidR="00A9626B">
        <w:t xml:space="preserve">identities </w:t>
      </w:r>
      <w:r w:rsidR="001269B6">
        <w:t>of</w:t>
      </w:r>
      <w:r w:rsidR="00D8138A">
        <w:t xml:space="preserve"> larvae were </w:t>
      </w:r>
      <w:r w:rsidR="00D04EA2">
        <w:t>assessed for adult habitat affinit</w:t>
      </w:r>
      <w:r w:rsidR="00467331">
        <w:t>y</w:t>
      </w:r>
      <w:r w:rsidR="00A50F1D">
        <w:t xml:space="preserve"> and </w:t>
      </w:r>
      <w:r w:rsidR="008E419C">
        <w:t xml:space="preserve">spawning habitat. Some taxa were then </w:t>
      </w:r>
      <w:r w:rsidR="00A9626B">
        <w:t>aggregated</w:t>
      </w:r>
      <w:r w:rsidR="00B57A56">
        <w:t xml:space="preserve"> into broader taxonomic </w:t>
      </w:r>
      <w:r w:rsidR="001C409C">
        <w:t>classifications</w:t>
      </w:r>
      <w:r w:rsidR="00B57A56">
        <w:t xml:space="preserve">, </w:t>
      </w:r>
      <w:r w:rsidR="00D7240E">
        <w:t xml:space="preserve">up to </w:t>
      </w:r>
      <w:r w:rsidR="00B57A56">
        <w:t>family</w:t>
      </w:r>
      <w:r w:rsidR="00D7240E">
        <w:t>-level</w:t>
      </w:r>
      <w:r w:rsidR="003647AC">
        <w:t>.</w:t>
      </w:r>
      <w:r w:rsidR="00BA6212">
        <w:t xml:space="preserve"> This was done for taxa </w:t>
      </w:r>
      <w:r w:rsidR="00DF623E">
        <w:t xml:space="preserve">that shared </w:t>
      </w:r>
      <w:r w:rsidR="003647AC">
        <w:t>habitat preferences</w:t>
      </w:r>
      <w:r w:rsidR="00A40481">
        <w:t xml:space="preserve"> </w:t>
      </w:r>
      <w:r w:rsidR="004113AA">
        <w:t>with</w:t>
      </w:r>
      <w:r w:rsidR="003647AC">
        <w:t xml:space="preserve"> </w:t>
      </w:r>
      <w:r w:rsidR="00A40481">
        <w:t>other</w:t>
      </w:r>
      <w:r w:rsidR="003647AC">
        <w:t xml:space="preserve"> taxa</w:t>
      </w:r>
      <w:r w:rsidR="00A40481">
        <w:t xml:space="preserve"> in </w:t>
      </w:r>
      <w:r w:rsidR="00ED4280">
        <w:t>their</w:t>
      </w:r>
      <w:r w:rsidR="00A40481">
        <w:t xml:space="preserve"> </w:t>
      </w:r>
      <w:r w:rsidR="00565CF9">
        <w:t>group</w:t>
      </w:r>
      <w:r w:rsidR="00AD12FC">
        <w:t xml:space="preserve">. When such </w:t>
      </w:r>
      <w:r w:rsidR="00AD12FC">
        <w:lastRenderedPageBreak/>
        <w:t>characteristics were not shared</w:t>
      </w:r>
      <w:r w:rsidR="00A9626B">
        <w:t xml:space="preserve">, finer taxonomic </w:t>
      </w:r>
      <w:r w:rsidR="00D431E7">
        <w:t>identities</w:t>
      </w:r>
      <w:r w:rsidR="00A9626B">
        <w:t xml:space="preserve"> were preserved</w:t>
      </w:r>
      <w:r w:rsidR="00D431E7">
        <w:t xml:space="preserve"> to maintain </w:t>
      </w:r>
      <w:r w:rsidR="00464F86">
        <w:t xml:space="preserve">potentially significant ecological differences. </w:t>
      </w:r>
      <w:r w:rsidR="003C55F5">
        <w:t xml:space="preserve">Additionally, when </w:t>
      </w:r>
      <w:r w:rsidR="007A52BF">
        <w:t xml:space="preserve">only a single species or genus was identified from a family, said </w:t>
      </w:r>
      <w:r w:rsidR="004113AA">
        <w:t>lowest-resolution identity</w:t>
      </w:r>
      <w:r w:rsidR="007A52BF">
        <w:t xml:space="preserve"> was preserved. </w:t>
      </w:r>
      <w:r w:rsidR="00F058F4">
        <w:t xml:space="preserve">To further reduce noise in the data, </w:t>
      </w:r>
      <w:r w:rsidR="00563F50">
        <w:t xml:space="preserve">we </w:t>
      </w:r>
      <w:r w:rsidR="0007479F">
        <w:t xml:space="preserve">removed taxonomic classes with fewer than </w:t>
      </w:r>
      <w:commentRangeStart w:id="13"/>
      <w:r w:rsidR="0007479F">
        <w:t xml:space="preserve">10 </w:t>
      </w:r>
      <w:commentRangeEnd w:id="13"/>
      <w:r w:rsidR="000F5EA3">
        <w:rPr>
          <w:rStyle w:val="CommentReference"/>
          <w:sz w:val="24"/>
          <w:szCs w:val="24"/>
        </w:rPr>
        <w:commentReference w:id="13"/>
      </w:r>
      <w:r w:rsidR="009E7309">
        <w:t xml:space="preserve">overall </w:t>
      </w:r>
      <w:r w:rsidR="0007479F">
        <w:t xml:space="preserve">occurrences </w:t>
      </w:r>
      <w:r w:rsidR="00884195">
        <w:t xml:space="preserve">and net tows with fewer than </w:t>
      </w:r>
      <w:r w:rsidR="00A95481">
        <w:t xml:space="preserve">10 total individuals. </w:t>
      </w:r>
    </w:p>
    <w:p w14:paraId="6F3B9DCA" w14:textId="7535B607" w:rsidR="00E82058" w:rsidRDefault="00FB37D5" w:rsidP="00241E61">
      <w:r>
        <w:t>All data analyses were performed in RStudio</w:t>
      </w:r>
      <w:r w:rsidR="008F02B9">
        <w:t xml:space="preserve"> </w:t>
      </w:r>
      <w:r w:rsidR="004A6767">
        <w:t>(v4.3.1; R Core Team</w:t>
      </w:r>
      <w:r w:rsidR="008F02B9">
        <w:t>, 2023)</w:t>
      </w:r>
      <w:commentRangeStart w:id="14"/>
      <w:commentRangeStart w:id="15"/>
      <w:r w:rsidR="00013228">
        <w:t xml:space="preserve">. </w:t>
      </w:r>
      <w:commentRangeEnd w:id="14"/>
      <w:r w:rsidR="00DF4B39">
        <w:rPr>
          <w:rStyle w:val="CommentReference"/>
          <w:sz w:val="24"/>
          <w:szCs w:val="24"/>
        </w:rPr>
        <w:commentReference w:id="14"/>
      </w:r>
      <w:commentRangeEnd w:id="15"/>
      <w:r w:rsidR="006A441B">
        <w:rPr>
          <w:rStyle w:val="CommentReference"/>
          <w:sz w:val="24"/>
          <w:szCs w:val="24"/>
        </w:rPr>
        <w:commentReference w:id="15"/>
      </w:r>
      <w:r>
        <w:t xml:space="preserve">To identify </w:t>
      </w:r>
      <w:r w:rsidR="00174277">
        <w:t xml:space="preserve">ecologically distinct </w:t>
      </w:r>
      <w:r>
        <w:t>larval fish assemblages,</w:t>
      </w:r>
      <w:r w:rsidR="00174277">
        <w:t xml:space="preserve"> </w:t>
      </w:r>
      <w:r w:rsidR="009F7822">
        <w:t xml:space="preserve">first </w:t>
      </w:r>
      <w:r w:rsidR="00DF592A">
        <w:t>the density of each taxonomic group within each net tow was square-root transformed. These were then used to generate a matrix of Bray-Curtis dissimilarities between net tows. Agglomerative hierarchal clustering was performed on th</w:t>
      </w:r>
      <w:r w:rsidR="009B20E9">
        <w:t xml:space="preserve">e dissimilarity matrix </w:t>
      </w:r>
      <w:r w:rsidR="00C2372B">
        <w:t xml:space="preserve">with the “average” method. </w:t>
      </w:r>
      <w:r w:rsidR="005B6DC3">
        <w:t>To determine the number of clusters necessary</w:t>
      </w:r>
      <w:r w:rsidR="00AE209F">
        <w:t xml:space="preserve"> to observe </w:t>
      </w:r>
      <w:r w:rsidR="00F53EA2">
        <w:t xml:space="preserve">ecologically </w:t>
      </w:r>
      <w:r w:rsidR="001E3F28">
        <w:t>and taxonomically distin</w:t>
      </w:r>
      <w:r w:rsidR="00455278">
        <w:t>ct assemblages</w:t>
      </w:r>
      <w:r w:rsidR="00B65034">
        <w:t xml:space="preserve">, 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656D75C7" w:rsidR="004E11AC" w:rsidRDefault="00D30611" w:rsidP="00241E61">
      <w:r>
        <w:t xml:space="preserve">To visualize the taxonomic composition of each cluster, </w:t>
      </w:r>
      <w:r w:rsidR="00191EA4">
        <w:t xml:space="preserve">the taxa densities in each net tow were plotted </w:t>
      </w:r>
      <w:r w:rsidR="003D3264">
        <w:t xml:space="preserve">in a stacked bar plot. Beyond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9FE776A" w14:textId="57312145" w:rsidR="00155087" w:rsidRDefault="006B0B32" w:rsidP="00241E61">
      <w:r>
        <w:t xml:space="preserve">An NMDS was run on the </w:t>
      </w:r>
      <w:r w:rsidR="00556910">
        <w:t>previously described Bray-Curtis dissimilarity matrix</w:t>
      </w:r>
      <w:r w:rsidR="00752993">
        <w:t xml:space="preserve">. The stress of the ordination was determined and its </w:t>
      </w:r>
      <w:r w:rsidR="006E7A6D">
        <w:t>relevance</w:t>
      </w:r>
      <w:r w:rsidR="009B00D7">
        <w:t xml:space="preserve"> </w:t>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r w:rsidR="000422F8">
        <w:t>proposed</w:t>
      </w:r>
      <w:r w:rsidR="00350BBD">
        <w:t xml:space="preserve"> </w:t>
      </w:r>
      <w:r w:rsidR="00110242">
        <w:t>by Dexter et al. (2018)</w:t>
      </w:r>
      <w:r w:rsidR="00A81F94">
        <w:t>.</w:t>
      </w:r>
      <w:r w:rsidR="0050797B">
        <w:t xml:space="preserve"> </w:t>
      </w:r>
    </w:p>
    <w:p w14:paraId="728D1824" w14:textId="0999717C" w:rsidR="00C21F7C" w:rsidRPr="00C21F7C" w:rsidRDefault="00C21F7C" w:rsidP="00241E61">
      <w:r>
        <w:t>[</w:t>
      </w:r>
      <w:r>
        <w:rPr>
          <w:b/>
          <w:bCs/>
        </w:rPr>
        <w:t>Add paragraph(s) here describing db-RDA and VPA methods?</w:t>
      </w:r>
      <w:r w:rsidR="00073AEF">
        <w:t>]</w:t>
      </w:r>
    </w:p>
    <w:p w14:paraId="6F5EA593" w14:textId="364F636C" w:rsidR="00855538" w:rsidRDefault="00855538" w:rsidP="00241E61">
      <w:r>
        <w:t xml:space="preserve">A negative binomial generalized linear mixed effects model (GLMM) was fit to counts of larval fish from each taxon in each </w:t>
      </w:r>
      <w:r w:rsidR="0062773F">
        <w:t>sample</w:t>
      </w:r>
      <w:r w:rsidR="00BA2B40" w:rsidRPr="00BA2B40">
        <w:t xml:space="preserve"> </w:t>
      </w:r>
      <w:r w:rsidR="00BA2B40">
        <w:t>using glmmTMB</w:t>
      </w:r>
      <w:r>
        <w:t xml:space="preserve">. The log link was used and an offset for the log-transformed volume filtered </w:t>
      </w:r>
      <w:r w:rsidR="00BA2B40">
        <w:t xml:space="preserve">during each net tow was included to account for the effect of sampling effort. </w:t>
      </w:r>
      <w:r w:rsidR="00196E2D">
        <w:t>Fixed effects included taxon, year, time of day, depth, latitude, seafloor depth, temperature, salinity, DO, chl-</w:t>
      </w:r>
      <w:r w:rsidR="00196E2D">
        <w:rPr>
          <w:i/>
          <w:iCs/>
        </w:rPr>
        <w:t>a</w:t>
      </w:r>
      <w:r w:rsidR="00196E2D" w:rsidRPr="00A155FE">
        <w:t>,</w:t>
      </w:r>
      <w:r w:rsidR="00196E2D">
        <w:rPr>
          <w:i/>
          <w:iCs/>
        </w:rPr>
        <w:t xml:space="preserve"> </w:t>
      </w:r>
      <w:r w:rsidR="00196E2D">
        <w:t xml:space="preserve">and the full interaction among taxon, time of day, and depth. Continuous predictors were centered and scaled before model fitting. A random intercept for sample was included. </w:t>
      </w:r>
      <w:r w:rsidR="00BA2B40">
        <w:t>The model is represented by the equation:</w:t>
      </w:r>
    </w:p>
    <w:p w14:paraId="482E280D" w14:textId="5B7C9D52"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i,j,k</m:t>
              </m:r>
            </m:sub>
          </m:sSub>
          <m:r>
            <w:rPr>
              <w:rFonts w:ascii="Cambria Math" w:eastAsiaTheme="minorEastAsia" w:hAnsi="Cambria Math"/>
            </w:rPr>
            <m:t> ~ NB</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r>
                <w:rPr>
                  <w:rFonts w:ascii="Cambria Math" w:eastAsiaTheme="minorEastAsia" w:hAnsi="Cambria Math"/>
                </w:rPr>
                <m:t>,ϕ</m:t>
              </m:r>
            </m:e>
          </m:d>
        </m:oMath>
      </m:oMathPara>
    </w:p>
    <w:p w14:paraId="027E228B" w14:textId="701A3792" w:rsidR="00BA2B40" w:rsidRPr="0062773F" w:rsidRDefault="0062773F" w:rsidP="00241E61">
      <w:pPr>
        <w:rPr>
          <w:rFonts w:eastAsiaTheme="minorEastAsia"/>
        </w:rPr>
      </w:pPr>
      <m:oMathPara>
        <m:oMath>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e>
          </m:d>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i,j,k</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year</m:t>
              </m:r>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+bet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sSub>
            <m:sSubPr>
              <m:ctrlPr>
                <w:rPr>
                  <w:rFonts w:ascii="Cambria Math" w:eastAsiaTheme="minorEastAsia" w:hAnsi="Cambria Math"/>
                </w:rPr>
              </m:ctrlPr>
            </m:sSubPr>
            <m:e>
              <m:r>
                <m:rPr>
                  <m:nor/>
                </m:rPr>
                <w:rPr>
                  <w:rFonts w:ascii="Cambria Math" w:eastAsiaTheme="minorEastAsia" w:hAnsi="Cambria Math"/>
                </w:rPr>
                <m:t>latitude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4</m:t>
              </m:r>
            </m:sub>
          </m:sSub>
          <m:sSub>
            <m:sSubPr>
              <m:ctrlPr>
                <w:rPr>
                  <w:rFonts w:ascii="Cambria Math" w:eastAsiaTheme="minorEastAsia" w:hAnsi="Cambria Math"/>
                </w:rPr>
              </m:ctrlPr>
            </m:sSubPr>
            <m:e>
              <m:r>
                <m:rPr>
                  <m:nor/>
                </m:rPr>
                <w:rPr>
                  <w:rFonts w:ascii="Cambria Math" w:eastAsiaTheme="minorEastAsia" w:hAnsi="Cambria Math"/>
                </w:rPr>
                <m:t>seafloor 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5</m:t>
              </m:r>
            </m:sub>
          </m:sSub>
          <m:sSub>
            <m:sSubPr>
              <m:ctrlPr>
                <w:rPr>
                  <w:rFonts w:ascii="Cambria Math" w:eastAsiaTheme="minorEastAsia" w:hAnsi="Cambria Math"/>
                </w:rPr>
              </m:ctrlPr>
            </m:sSubPr>
            <m:e>
              <m:r>
                <m:rPr>
                  <m:nor/>
                </m:rPr>
                <w:rPr>
                  <w:rFonts w:ascii="Cambria Math" w:eastAsiaTheme="minorEastAsia" w:hAnsi="Cambria Math"/>
                </w:rPr>
                <m:t>temperature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6</m:t>
              </m:r>
            </m:sub>
          </m:sSub>
          <m:sSub>
            <m:sSubPr>
              <m:ctrlPr>
                <w:rPr>
                  <w:rFonts w:ascii="Cambria Math" w:eastAsiaTheme="minorEastAsia" w:hAnsi="Cambria Math"/>
                </w:rPr>
              </m:ctrlPr>
            </m:sSubPr>
            <m:e>
              <m:r>
                <m:rPr>
                  <m:nor/>
                </m:rPr>
                <w:rPr>
                  <w:rFonts w:ascii="Cambria Math" w:eastAsiaTheme="minorEastAsia" w:hAnsi="Cambria Math"/>
                </w:rPr>
                <m:t>salinity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7</m:t>
              </m:r>
            </m:sub>
          </m:sSub>
          <m:sSub>
            <m:sSubPr>
              <m:ctrlPr>
                <w:rPr>
                  <w:rFonts w:ascii="Cambria Math" w:eastAsiaTheme="minorEastAsia" w:hAnsi="Cambria Math"/>
                </w:rPr>
              </m:ctrlPr>
            </m:sSubPr>
            <m:e>
              <m:r>
                <m:rPr>
                  <m:nor/>
                </m:rPr>
                <w:rPr>
                  <w:rFonts w:ascii="Cambria Math" w:eastAsiaTheme="minorEastAsia" w:hAnsi="Cambria Math"/>
                </w:rPr>
                <m:t>DO</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8</m:t>
              </m:r>
            </m:sub>
          </m:sSub>
          <m:sSub>
            <m:sSubPr>
              <m:ctrlPr>
                <w:rPr>
                  <w:rFonts w:ascii="Cambria Math" w:eastAsiaTheme="minorEastAsia" w:hAnsi="Cambria Math"/>
                </w:rPr>
              </m:ctrlPr>
            </m:sSubPr>
            <m:e>
              <m:r>
                <m:rPr>
                  <m:nor/>
                </m:rPr>
                <w:rPr>
                  <w:rFonts w:ascii="Cambria Math" w:eastAsiaTheme="minorEastAsia" w:hAnsi="Cambria Math"/>
                </w:rPr>
                <m:t>chl-a</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time of day:depth</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m:oMathPara>
    </w:p>
    <w:p w14:paraId="45A440BA" w14:textId="5C0AF5B5"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 ~ Normal</m:t>
          </m:r>
          <m:d>
            <m:dPr>
              <m:ctrlPr>
                <w:rPr>
                  <w:rFonts w:ascii="Cambria Math" w:eastAsiaTheme="minorEastAsia" w:hAnsi="Cambria Math"/>
                </w:rPr>
              </m:ctrlPr>
            </m:dPr>
            <m:e>
              <m:r>
                <w:rPr>
                  <w:rFonts w:ascii="Cambria Math" w:eastAsiaTheme="minorEastAsia" w:hAnsi="Cambria Math"/>
                </w:rPr>
                <m:t>0,</m:t>
              </m:r>
              <m:sSubSup>
                <m:sSubSupPr>
                  <m:ctrlPr>
                    <w:rPr>
                      <w:rFonts w:ascii="Cambria Math" w:eastAsiaTheme="minorEastAsia" w:hAnsi="Cambria Math"/>
                    </w:rPr>
                  </m:ctrlPr>
                </m:sSubSupPr>
                <m:e>
                  <m:r>
                    <w:rPr>
                      <w:rFonts w:ascii="Cambria Math" w:eastAsiaTheme="minorEastAsia" w:hAnsi="Cambria Math"/>
                    </w:rPr>
                    <m:t>σ</m:t>
                  </m:r>
                </m:e>
                <m:sub>
                  <m:r>
                    <m:rPr>
                      <m:nor/>
                    </m:rPr>
                    <w:rPr>
                      <w:rFonts w:ascii="Cambria Math" w:eastAsiaTheme="minorEastAsia" w:hAnsi="Cambria Math"/>
                    </w:rPr>
                    <m:t>sample</m:t>
                  </m:r>
                </m:sub>
                <m:sup>
                  <m:r>
                    <w:rPr>
                      <w:rFonts w:ascii="Cambria Math" w:eastAsiaTheme="minorEastAsia" w:hAnsi="Cambria Math"/>
                    </w:rPr>
                    <m:t>2</m:t>
                  </m:r>
                </m:sup>
              </m:sSubSup>
            </m:e>
          </m:d>
        </m:oMath>
      </m:oMathPara>
    </w:p>
    <w:p w14:paraId="0FC95036" w14:textId="5F56FCD1" w:rsidR="00855538" w:rsidRDefault="0062773F" w:rsidP="00241E61">
      <w:r>
        <w:t xml:space="preserve">where </w:t>
      </w:r>
      <w:r>
        <w:rPr>
          <w:i/>
          <w:iCs/>
        </w:rPr>
        <w:t>y</w:t>
      </w:r>
      <w:r>
        <w:rPr>
          <w:i/>
          <w:iCs/>
          <w:vertAlign w:val="subscript"/>
        </w:rPr>
        <w:t>i,j,k</w:t>
      </w:r>
      <w:r>
        <w:t xml:space="preserve"> is the count for taxon </w:t>
      </w:r>
      <w:r>
        <w:rPr>
          <w:i/>
          <w:iCs/>
        </w:rPr>
        <w:t xml:space="preserve">i </w:t>
      </w:r>
      <w:r>
        <w:t xml:space="preserve">in sample </w:t>
      </w:r>
      <w:r>
        <w:rPr>
          <w:i/>
          <w:iCs/>
        </w:rPr>
        <w:t>k</w:t>
      </w:r>
      <w:r w:rsidRPr="00A155FE">
        <w:t>,</w:t>
      </w:r>
      <w:r>
        <w:rPr>
          <w:i/>
          <w:iCs/>
        </w:rPr>
        <w:t xml:space="preserve"> V</w:t>
      </w:r>
      <w:r>
        <w:rPr>
          <w:i/>
          <w:iCs/>
          <w:vertAlign w:val="subscript"/>
        </w:rPr>
        <w:t>i,k,j</w:t>
      </w:r>
      <w:r>
        <w:t xml:space="preserve"> is volume filtered, and </w:t>
      </w:r>
      <w:r>
        <w:rPr>
          <w:i/>
          <w:iCs/>
        </w:rPr>
        <w:t>b</w:t>
      </w:r>
      <w:r>
        <w:rPr>
          <w:i/>
          <w:iCs/>
          <w:vertAlign w:val="subscript"/>
        </w:rPr>
        <w:t>k</w:t>
      </w:r>
      <w:r>
        <w:rPr>
          <w:i/>
          <w:iCs/>
        </w:rPr>
        <w:t xml:space="preserve"> </w:t>
      </w:r>
      <w:r>
        <w:t xml:space="preserve">is </w:t>
      </w:r>
      <w:r w:rsidR="00196E2D">
        <w:t>a</w:t>
      </w:r>
      <w:r>
        <w:t xml:space="preserve"> random intercept for </w:t>
      </w:r>
      <w:r w:rsidR="00196E2D">
        <w:t>each sample.</w:t>
      </w:r>
      <w:ins w:id="16" w:author="Bobay, Luke Andrew" w:date="2026-08-29T00:39:00Z" w16du:dateUtc="2026-08-29T07:39:00Z">
        <w:r w:rsidR="00196E2D">
          <w:t xml:space="preserve"> </w:t>
        </w:r>
      </w:ins>
    </w:p>
    <w:p w14:paraId="1E2874AF" w14:textId="537AF4C6" w:rsidR="00196E2D" w:rsidRDefault="00196E2D" w:rsidP="00196E2D">
      <w:r>
        <w:lastRenderedPageBreak/>
        <w:t>The model parameters associated with these effects do not directly address whether each taxon undergoes DVM. To visualize how the vertical distribution of each taxon varies over the course of a day, we plotted the predicted concentration of individuals belonging to each taxon across combinations of depth and time of day</w:t>
      </w:r>
      <w:r w:rsidR="00AF0685">
        <w:t xml:space="preserve"> (Fig. 6)</w:t>
      </w:r>
      <w:r>
        <w:t xml:space="preserve">. We also plotted the </w:t>
      </w:r>
      <w:r w:rsidR="00AF0685">
        <w:t xml:space="preserve">total </w:t>
      </w:r>
      <w:r>
        <w:t xml:space="preserve">predicted </w:t>
      </w:r>
      <w:r w:rsidR="00AF0685">
        <w:t>abundance</w:t>
      </w:r>
      <w:r>
        <w:t xml:space="preserve"> of each taxon</w:t>
      </w:r>
      <w:r w:rsidR="00AF0685">
        <w:t xml:space="preserve"> across the sampled portion of the water column</w:t>
      </w:r>
      <w:r>
        <w:t xml:space="preserve"> against time of day to show how total predicted abundance in the sampled depth strata varied over the course of a day</w:t>
      </w:r>
      <w:r w:rsidR="00AF0685">
        <w:t xml:space="preserve"> (Fig. 7)</w:t>
      </w:r>
      <w:r>
        <w:t xml:space="preserve">. </w:t>
      </w:r>
      <w:r w:rsidR="00AF0685">
        <w:t>Finally, we</w:t>
      </w:r>
      <w:r>
        <w:t xml:space="preserve"> plotted the depth-</w:t>
      </w:r>
      <w:r w:rsidR="00AF0685">
        <w:t xml:space="preserve">log predicted </w:t>
      </w:r>
      <w:r>
        <w:t>abundance gradient for each taxon against time of day to show when predicted abundance increased or decreased with depth</w:t>
      </w:r>
      <w:r w:rsidR="00AF0685">
        <w:t xml:space="preserve"> (Fig. 8)</w:t>
      </w:r>
      <w:r>
        <w:t>.</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62A87B5D" w:rsidR="00C6078B" w:rsidRPr="00C6078B" w:rsidRDefault="00C6078B" w:rsidP="00241E61">
      <w:pPr>
        <w:pStyle w:val="Heading2"/>
      </w:pPr>
      <w:r>
        <w:t>3.1</w:t>
      </w:r>
      <w:r>
        <w:tab/>
        <w:t xml:space="preserve">Description of the </w:t>
      </w:r>
      <w:r w:rsidR="00D61FDF">
        <w:t>LFC</w:t>
      </w:r>
    </w:p>
    <w:p w14:paraId="246D9D22" w14:textId="148CDA83" w:rsidR="00241E61" w:rsidRPr="00241E61" w:rsidRDefault="00241E61" w:rsidP="00241E61">
      <w:r w:rsidRPr="00241E61">
        <w:t>Post-thresholding there was a total of 38,363 individual larvae from 82 sampling stations. Among these remaining stations, all transects were represented (Fig. 1A). Oceanographic conditions during sampling varied with depth and interannually. Gradients in temperature differed between years with 2018 and 2023 exhibiting a peak in temperature around 25-meters depth followed by a general decrease in temperature with increasing depth. Years 2019 and 2022 had similarly minimal changes in temperature across depths (Fig. 1B). During all years, salinity increased with depth while DO exhibited the opposite trend—lower at greater depths (Fig. 1C–D). Productivity was the most varied during 2018 though no significant difference in mean productivity was apparent across all four years (Fig. 1E).</w:t>
      </w:r>
    </w:p>
    <w:p w14:paraId="179D2EC5" w14:textId="7CFA3929" w:rsidR="00241E61" w:rsidRDefault="00241E61" w:rsidP="00241E61">
      <w:pPr>
        <w:rPr>
          <w:b/>
          <w:bCs/>
        </w:rPr>
      </w:pPr>
      <w:r w:rsidRPr="00241E61">
        <w:t xml:space="preserve">Cluster analysis of net tows yielded seven total clusters, two of which—clusters 4 and 7—contained only a single sampling tow (Supplementary Material Fig. 1). </w:t>
      </w:r>
      <w:r w:rsidR="005472BE">
        <w:t xml:space="preserve">All subsequent analyses were concentrated </w:t>
      </w:r>
      <w:r w:rsidRPr="00241E61">
        <w:t xml:space="preserve">on the other five clusters that consisted of multiple samples. Cluster 1 was present in all four sampling years and was heavily dominated by its indicator taxa, </w:t>
      </w:r>
      <w:r w:rsidRPr="00DF4B39">
        <w:rPr>
          <w:i/>
          <w:iCs/>
        </w:rPr>
        <w:t>Sebastes</w:t>
      </w:r>
      <w:r w:rsidRPr="00241E61">
        <w:t xml:space="preserve"> spp. (Fig. 2 and Table 1). Though also present in all years, clusters 2 and 3 had the greatest visual prevalence of their indicator taxa during 2019 (Fig. 2B). Cluster 2 was dominantly composed of pleuronectiformes, </w:t>
      </w:r>
      <w:r w:rsidR="00074A37">
        <w:t>especially</w:t>
      </w:r>
      <w:r w:rsidRPr="00241E61">
        <w:t xml:space="preserve"> the indicator species </w:t>
      </w:r>
      <w:commentRangeStart w:id="17"/>
      <w:commentRangeStart w:id="18"/>
      <w:r w:rsidR="00663747" w:rsidRPr="00663747">
        <w:rPr>
          <w:i/>
          <w:iCs/>
        </w:rPr>
        <w:t>Parophrys</w:t>
      </w:r>
      <w:r w:rsidR="00663747">
        <w:rPr>
          <w:i/>
          <w:iCs/>
        </w:rPr>
        <w:t xml:space="preserve"> </w:t>
      </w:r>
      <w:r w:rsidRPr="00DF4B39">
        <w:rPr>
          <w:i/>
          <w:iCs/>
        </w:rPr>
        <w:t>vetulus</w:t>
      </w:r>
      <w:r w:rsidRPr="00241E61">
        <w:t xml:space="preserve"> </w:t>
      </w:r>
      <w:commentRangeEnd w:id="17"/>
      <w:r w:rsidR="000B5C8B" w:rsidRPr="00241E61">
        <w:rPr>
          <w:rStyle w:val="CommentReference"/>
          <w:sz w:val="24"/>
          <w:szCs w:val="24"/>
        </w:rPr>
        <w:commentReference w:id="17"/>
      </w:r>
      <w:commentRangeEnd w:id="18"/>
      <w:r w:rsidR="00ED46FB" w:rsidRPr="00241E61">
        <w:rPr>
          <w:rStyle w:val="CommentReference"/>
          <w:sz w:val="24"/>
          <w:szCs w:val="24"/>
        </w:rPr>
        <w:commentReference w:id="18"/>
      </w:r>
      <w:r w:rsidRPr="00241E61">
        <w:t xml:space="preserve">(Fig. 2A and Table 1). Cluster 3 was significantly indicated by </w:t>
      </w:r>
      <w:r w:rsidR="00663747">
        <w:rPr>
          <w:i/>
          <w:iCs/>
        </w:rPr>
        <w:t>Stenobrachius</w:t>
      </w:r>
      <w:r w:rsidRPr="00DF4B39">
        <w:rPr>
          <w:i/>
          <w:iCs/>
        </w:rPr>
        <w:t xml:space="preserve"> leucopsarus</w:t>
      </w:r>
      <w:r w:rsidRPr="00241E61">
        <w:t xml:space="preserve"> (Table 1) and visually dominated by mesopelagic species, particularly Myctophids (Fig. 2A). Cluster 5 was composed predominantly of samples from 2022 and was visually split between </w:t>
      </w:r>
      <w:r w:rsidRPr="00DF4B39">
        <w:rPr>
          <w:i/>
          <w:iCs/>
        </w:rPr>
        <w:t>P. vetulus</w:t>
      </w:r>
      <w:r w:rsidRPr="00241E61">
        <w:t xml:space="preserve"> and </w:t>
      </w:r>
      <w:r w:rsidRPr="00DF4B39">
        <w:rPr>
          <w:i/>
          <w:iCs/>
        </w:rPr>
        <w:t>Liparis</w:t>
      </w:r>
      <w:r w:rsidRPr="00241E61">
        <w:t xml:space="preserve"> spp. (Fig. 2). This is indicative of a general nearshore </w:t>
      </w:r>
      <w:r w:rsidR="005E508C">
        <w:t>assemblage</w:t>
      </w:r>
      <w:r w:rsidRPr="00241E61">
        <w:t>, further supported by the ISA (Table 1). Cluster 6 was present in 2022 and 2023 and was visually dominated by coastal taxa, especially Osmerid</w:t>
      </w:r>
      <w:r w:rsidR="00D45259">
        <w:t xml:space="preserve">ae </w:t>
      </w:r>
      <w:r w:rsidRPr="00241E61">
        <w:t>(Fig. 2). Although other taxa were present, the contribution of Osmerid</w:t>
      </w:r>
      <w:r w:rsidR="00D45259">
        <w:t>s</w:t>
      </w:r>
      <w:r w:rsidRPr="00241E61">
        <w:t xml:space="preserve"> as an indicator of cluster 6 was significant (Table 1).</w:t>
      </w:r>
    </w:p>
    <w:p w14:paraId="3B7243FF" w14:textId="1B197E7E" w:rsidR="00241E61" w:rsidRDefault="00241E61" w:rsidP="00241E61">
      <w:pPr>
        <w:rPr>
          <w:b/>
          <w:bCs/>
        </w:rPr>
      </w:pPr>
      <w:r w:rsidRPr="00241E61">
        <w: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The </w:t>
      </w:r>
      <w:r w:rsidRPr="00FF5DE2">
        <w:rPr>
          <w:i/>
          <w:iCs/>
        </w:rPr>
        <w:t>Sebastes</w:t>
      </w:r>
      <w:r w:rsidRPr="00241E61">
        <w:t xml:space="preserve"> spp. assemblage (cluster 1) was generally found along the shelf-slope break, regardless of depth, during all years—especially 2022 (Fig. 3). Similarly, the </w:t>
      </w:r>
      <w:r w:rsidRPr="00FF5DE2">
        <w:rPr>
          <w:i/>
          <w:iCs/>
        </w:rPr>
        <w:t>P. vetulus</w:t>
      </w:r>
      <w:r w:rsidRPr="00241E61">
        <w:t xml:space="preserve"> </w:t>
      </w:r>
      <w:r w:rsidR="00CC24C0">
        <w:t>assemblage</w:t>
      </w:r>
      <w:r w:rsidRPr="00241E61">
        <w:t xml:space="preserve"> (cluster 2) was present almost exclusively on the shelf during all years without a distinct depth preference (Fig. 3). Cluster 3, the Myctophid </w:t>
      </w:r>
      <w:r w:rsidR="009B72BE">
        <w:t>assemblage</w:t>
      </w:r>
      <w:r w:rsidRPr="00241E61">
        <w:t xml:space="preserve">, was most apparent offshore and in tows at greater depths (Fig. 3). The assemblage of nearshore taxa was most prevalent in 2022 and occurred </w:t>
      </w:r>
      <w:r w:rsidRPr="00241E61">
        <w:lastRenderedPageBreak/>
        <w:t xml:space="preserve">mostly nearshore, though depth varied (Fig. 3). Cluster 6, the </w:t>
      </w:r>
      <w:r w:rsidR="00EF6175">
        <w:t>assemblage</w:t>
      </w:r>
      <w:r w:rsidRPr="00241E61">
        <w:t xml:space="preserve"> of Osmeridae and other coastal taxa, was found almost exclusively at the most nearshore stations and shallowest depths (Fig. 3). </w:t>
      </w:r>
    </w:p>
    <w:p w14:paraId="23897934" w14:textId="394587A9" w:rsidR="00C6078B" w:rsidRPr="00241E61" w:rsidRDefault="00C6078B" w:rsidP="00241E61">
      <w:pPr>
        <w:pStyle w:val="Heading2"/>
      </w:pPr>
      <w:r w:rsidRPr="00241E61">
        <w:lastRenderedPageBreak/>
        <w:t>2.2</w:t>
      </w:r>
      <w:r w:rsidRPr="00241E61">
        <w:tab/>
        <w:t xml:space="preserve">Influences on the </w:t>
      </w:r>
      <w:r w:rsidR="00D61FDF" w:rsidRPr="00241E61">
        <w:t>LFC</w:t>
      </w:r>
    </w:p>
    <w:p w14:paraId="64536986" w14:textId="2326D67B" w:rsidR="009B332C" w:rsidRPr="009B332C" w:rsidRDefault="009B332C" w:rsidP="009B332C">
      <w:pPr>
        <w:pStyle w:val="Heading2"/>
        <w:rPr>
          <w:rFonts w:eastAsiaTheme="minorHAnsi"/>
          <w:b w:val="0"/>
          <w:bCs w:val="0"/>
          <w:color w:val="auto"/>
        </w:rPr>
      </w:pPr>
      <w:r w:rsidRPr="009B332C">
        <w:rPr>
          <w:rFonts w:eastAsiaTheme="minorHAnsi"/>
          <w:b w:val="0"/>
          <w:bCs w:val="0"/>
          <w:color w:val="auto"/>
        </w:rPr>
        <w:t xml:space="preserve">The NMDS was plotted to visualize unconstrained variation in the community structure in ordination space. Net tows were colored by cluster assignment to compare how clusters correlate to one another. For instance, there appears to be possible correlations between clusters 2 and 6 and clusters 1 and 3 (Fig. 4). Additionally, the relation of the clusters to spatiotemporal variables was visualized with vector overlays on the NMDS ordination plot. From this, it appears that the </w:t>
      </w:r>
      <w:r w:rsidRPr="007638DF">
        <w:rPr>
          <w:rFonts w:eastAsiaTheme="minorHAnsi"/>
          <w:b w:val="0"/>
          <w:bCs w:val="0"/>
          <w:i/>
          <w:iCs/>
          <w:color w:val="auto"/>
        </w:rPr>
        <w:t>P. vetulus</w:t>
      </w:r>
      <w:r w:rsidRPr="009B332C">
        <w:rPr>
          <w:rFonts w:eastAsiaTheme="minorHAnsi"/>
          <w:b w:val="0"/>
          <w:bCs w:val="0"/>
          <w:color w:val="auto"/>
        </w:rPr>
        <w:t xml:space="preserve"> (cluster 2) and coastal (cluster 6) assemblages both correlated negatively with sea floor depth (m) (Fig. 4). Similarly, the </w:t>
      </w:r>
      <w:r w:rsidRPr="007638DF">
        <w:rPr>
          <w:rFonts w:eastAsiaTheme="minorHAnsi"/>
          <w:b w:val="0"/>
          <w:bCs w:val="0"/>
          <w:i/>
          <w:iCs/>
          <w:color w:val="auto"/>
        </w:rPr>
        <w:t>Sebastes</w:t>
      </w:r>
      <w:r w:rsidRPr="009B332C">
        <w:rPr>
          <w:rFonts w:eastAsiaTheme="minorHAnsi"/>
          <w:b w:val="0"/>
          <w:bCs w:val="0"/>
          <w:color w:val="auto"/>
        </w:rPr>
        <w:t xml:space="preserve"> spp. (cluster 1) and Myctophid (cluster 3) </w:t>
      </w:r>
      <w:r w:rsidR="00217F18">
        <w:rPr>
          <w:rFonts w:eastAsiaTheme="minorHAnsi"/>
          <w:b w:val="0"/>
          <w:bCs w:val="0"/>
          <w:color w:val="auto"/>
        </w:rPr>
        <w:t>assemblages</w:t>
      </w:r>
      <w:r w:rsidRPr="009B332C">
        <w:rPr>
          <w:rFonts w:eastAsiaTheme="minorHAnsi"/>
          <w:b w:val="0"/>
          <w:bCs w:val="0"/>
          <w:color w:val="auto"/>
        </w:rPr>
        <w:t xml:space="preserve"> appeared to correlate negatively with mean sampling depth (m) (Fig. 4). Cluster 3, as well as cluster 5, appeared to correlate negatively with latitude (Fig. 4). The nearshore </w:t>
      </w:r>
      <w:r w:rsidR="005E508C">
        <w:rPr>
          <w:rFonts w:eastAsiaTheme="minorHAnsi"/>
          <w:b w:val="0"/>
          <w:bCs w:val="0"/>
          <w:color w:val="auto"/>
        </w:rPr>
        <w:t>assemblage</w:t>
      </w:r>
      <w:r w:rsidRPr="009B332C">
        <w:rPr>
          <w:rFonts w:eastAsiaTheme="minorHAnsi"/>
          <w:b w:val="0"/>
          <w:bCs w:val="0"/>
          <w:color w:val="auto"/>
        </w:rPr>
        <w:t xml:space="preserve"> (cluster 5) additionally was correlated somewhat with the variable “daytime” (Fig. 4). </w:t>
      </w:r>
    </w:p>
    <w:p w14:paraId="0B78FAF7" w14:textId="030EF739" w:rsidR="009B332C" w:rsidRPr="009B332C" w:rsidRDefault="009B332C" w:rsidP="009B332C">
      <w:pPr>
        <w:pStyle w:val="Heading2"/>
        <w:rPr>
          <w:rFonts w:eastAsiaTheme="minorHAnsi"/>
          <w:b w:val="0"/>
          <w:bCs w:val="0"/>
          <w:color w:val="auto"/>
        </w:rPr>
      </w:pPr>
      <w:r w:rsidRPr="009B332C">
        <w:rPr>
          <w:rFonts w:eastAsiaTheme="minorHAnsi"/>
          <w:b w:val="0"/>
          <w:bCs w:val="0"/>
          <w:color w:val="auto"/>
        </w:rPr>
        <w:t xml:space="preserve">To assess the fit of the NMDS ordination to the data, stress was measured. The stress statistic resulting from the NMDS, </w:t>
      </w:r>
      <w:commentRangeStart w:id="19"/>
      <w:r w:rsidRPr="009B332C">
        <w:rPr>
          <w:rFonts w:eastAsiaTheme="minorHAnsi"/>
          <w:b w:val="0"/>
          <w:bCs w:val="0"/>
          <w:color w:val="auto"/>
        </w:rPr>
        <w:t>0.2006</w:t>
      </w:r>
      <w:commentRangeEnd w:id="19"/>
      <w:r w:rsidR="002B3D66" w:rsidRPr="009B332C">
        <w:rPr>
          <w:rStyle w:val="CommentReference"/>
          <w:rFonts w:eastAsiaTheme="minorHAnsi"/>
          <w:b w:val="0"/>
          <w:bCs w:val="0"/>
          <w:color w:val="auto"/>
          <w:sz w:val="24"/>
          <w:szCs w:val="24"/>
        </w:rPr>
        <w:commentReference w:id="19"/>
      </w:r>
      <w:r w:rsidRPr="009B332C">
        <w:rPr>
          <w:rFonts w:eastAsiaTheme="minorHAnsi"/>
          <w:b w:val="0"/>
          <w:bCs w:val="0"/>
          <w:color w:val="auto"/>
        </w:rPr>
        <w:t xml:space="preserve">, would generally be considered indicative of a poor fit to the data (stress &gt; 0.2). However, in the same paper that first proposed this common interpretation, Clarke (1993) warned against using his guideline as a hard cutoff and </w:t>
      </w:r>
      <w:r w:rsidR="00D367E1" w:rsidRPr="009B332C">
        <w:rPr>
          <w:rFonts w:eastAsiaTheme="minorHAnsi"/>
          <w:b w:val="0"/>
          <w:bCs w:val="0"/>
          <w:color w:val="auto"/>
        </w:rPr>
        <w:t>over relying</w:t>
      </w:r>
      <w:r w:rsidRPr="009B332C">
        <w:rPr>
          <w:rFonts w:eastAsiaTheme="minorHAnsi"/>
          <w:b w:val="0"/>
          <w:bCs w:val="0"/>
          <w:color w:val="auto"/>
        </w:rPr>
        <w:t xml:space="preserve"> on stress for evaluating ordination fit. Because the stress value was close to the 0.2 ceiling and our data may have been susceptible to the general tendency of large datasets to yield greater stress values, we further investigated NMDS stress with an iterative permutation model developed by Dexter et al. (2018). In this, we assessed the null hypothesis that the community was not systematically structured with a one sample z-test. Our result supported rejection of this null hypothesis (</w:t>
      </w:r>
      <w:commentRangeStart w:id="20"/>
      <w:r w:rsidRPr="009B332C">
        <w:rPr>
          <w:rFonts w:eastAsiaTheme="minorHAnsi"/>
          <w:b w:val="0"/>
          <w:bCs w:val="0"/>
          <w:color w:val="auto"/>
        </w:rPr>
        <w:t>p =  4.5222 10-96</w:t>
      </w:r>
      <w:commentRangeEnd w:id="20"/>
      <w:r w:rsidR="00974EBE" w:rsidRPr="009B332C">
        <w:rPr>
          <w:rStyle w:val="CommentReference"/>
          <w:rFonts w:eastAsiaTheme="minorHAnsi"/>
          <w:b w:val="0"/>
          <w:bCs w:val="0"/>
          <w:color w:val="auto"/>
          <w:sz w:val="24"/>
          <w:szCs w:val="24"/>
        </w:rPr>
        <w:commentReference w:id="20"/>
      </w:r>
      <w:r w:rsidRPr="009B332C">
        <w:rPr>
          <w:rFonts w:eastAsiaTheme="minorHAnsi"/>
          <w:b w:val="0"/>
          <w:bCs w:val="0"/>
          <w:color w:val="auto"/>
        </w:rPr>
        <w:t>) and justified use of the ordination for biological interpretation.</w:t>
      </w:r>
    </w:p>
    <w:p w14:paraId="4A6644D6" w14:textId="77777777" w:rsidR="00C708CB" w:rsidRDefault="009B332C" w:rsidP="009B332C">
      <w:pPr>
        <w:pStyle w:val="Heading2"/>
        <w:rPr>
          <w:rFonts w:eastAsiaTheme="minorHAnsi"/>
          <w:b w:val="0"/>
          <w:bCs w:val="0"/>
          <w:color w:val="auto"/>
        </w:rPr>
      </w:pPr>
      <w:r w:rsidRPr="009B332C">
        <w:rPr>
          <w:rFonts w:eastAsiaTheme="minorHAnsi"/>
          <w:b w:val="0"/>
          <w:bCs w:val="0"/>
          <w:color w:val="auto"/>
        </w:rPr>
        <w:t>Distance-based redundancy analysis (db-RDA) and variance partitioning analysis (VPA) were run on the data to more clearly investigate the effects of variables on the LFC. A model with only spatiotemporal variables and a model with spatiotemporal and environmental variables were both found to explain a significant amount of variance in the community (p-values &lt; 0.05). Comparison of these models found a significant increase in explanatory power with the introduction of environmental variables to the spatiotemporal-only model (</w:t>
      </w:r>
      <w:commentRangeStart w:id="21"/>
      <w:r w:rsidRPr="009B332C">
        <w:rPr>
          <w:rFonts w:eastAsiaTheme="minorHAnsi"/>
          <w:b w:val="0"/>
          <w:bCs w:val="0"/>
          <w:color w:val="auto"/>
        </w:rPr>
        <w:t>p = …</w:t>
      </w:r>
      <w:commentRangeEnd w:id="21"/>
      <w:r w:rsidR="00974EBE" w:rsidRPr="009B332C">
        <w:rPr>
          <w:rStyle w:val="CommentReference"/>
          <w:rFonts w:eastAsiaTheme="minorHAnsi"/>
          <w:b w:val="0"/>
          <w:bCs w:val="0"/>
          <w:color w:val="auto"/>
          <w:sz w:val="24"/>
          <w:szCs w:val="24"/>
        </w:rPr>
        <w:commentReference w:id="21"/>
      </w:r>
      <w:r w:rsidRPr="009B332C">
        <w:rPr>
          <w:rFonts w:eastAsiaTheme="minorHAnsi"/>
          <w:b w:val="0"/>
          <w:bCs w:val="0"/>
          <w:color w:val="auto"/>
        </w:rPr>
        <w:t xml:space="preserve">). VPA indicated that about </w:t>
      </w:r>
      <w:commentRangeStart w:id="22"/>
      <w:r w:rsidR="00AD6F4E">
        <w:rPr>
          <w:rFonts w:eastAsiaTheme="minorHAnsi"/>
          <w:b w:val="0"/>
          <w:bCs w:val="0"/>
          <w:color w:val="auto"/>
        </w:rPr>
        <w:t>3.</w:t>
      </w:r>
      <w:r w:rsidR="003F0B83">
        <w:rPr>
          <w:rFonts w:eastAsiaTheme="minorHAnsi"/>
          <w:b w:val="0"/>
          <w:bCs w:val="0"/>
          <w:color w:val="auto"/>
        </w:rPr>
        <w:t>72</w:t>
      </w:r>
      <w:r w:rsidRPr="009B332C">
        <w:rPr>
          <w:rFonts w:eastAsiaTheme="minorHAnsi"/>
          <w:b w:val="0"/>
          <w:bCs w:val="0"/>
          <w:color w:val="auto"/>
        </w:rPr>
        <w:t>% of variance was explained by spatiotemporal variables alone</w:t>
      </w:r>
      <w:r w:rsidR="00263B2A">
        <w:rPr>
          <w:rFonts w:eastAsiaTheme="minorHAnsi"/>
          <w:b w:val="0"/>
          <w:bCs w:val="0"/>
          <w:color w:val="auto"/>
        </w:rPr>
        <w:t xml:space="preserve">, </w:t>
      </w:r>
      <w:r w:rsidR="00826689">
        <w:rPr>
          <w:rFonts w:eastAsiaTheme="minorHAnsi"/>
          <w:b w:val="0"/>
          <w:bCs w:val="0"/>
          <w:color w:val="auto"/>
        </w:rPr>
        <w:t xml:space="preserve">1.92% was explained by environmental </w:t>
      </w:r>
      <w:r w:rsidR="001F4A57">
        <w:rPr>
          <w:rFonts w:eastAsiaTheme="minorHAnsi"/>
          <w:b w:val="0"/>
          <w:bCs w:val="0"/>
          <w:color w:val="auto"/>
        </w:rPr>
        <w:t>variables alone, and together all the variables explained 1.57%</w:t>
      </w:r>
      <w:commentRangeEnd w:id="22"/>
      <w:r w:rsidR="001F4A57">
        <w:rPr>
          <w:rStyle w:val="CommentReference"/>
          <w:rFonts w:eastAsiaTheme="minorHAnsi"/>
          <w:b w:val="0"/>
          <w:bCs w:val="0"/>
          <w:color w:val="auto"/>
          <w:sz w:val="24"/>
          <w:szCs w:val="24"/>
        </w:rPr>
        <w:commentReference w:id="22"/>
      </w:r>
      <w:r w:rsidR="001F4A57">
        <w:rPr>
          <w:rFonts w:eastAsiaTheme="minorHAnsi"/>
          <w:b w:val="0"/>
          <w:bCs w:val="0"/>
          <w:color w:val="auto"/>
        </w:rPr>
        <w:t xml:space="preserve">I  of variance. </w:t>
      </w:r>
    </w:p>
    <w:p w14:paraId="4BFCA576" w14:textId="33A154B6" w:rsidR="00C708CB" w:rsidRPr="00724926" w:rsidRDefault="00E637F1" w:rsidP="0075057E">
      <w:pPr>
        <w:pStyle w:val="Heading2"/>
        <w:rPr>
          <w:rFonts w:eastAsiaTheme="minorHAnsi"/>
          <w:b w:val="0"/>
          <w:bCs w:val="0"/>
          <w:color w:val="auto"/>
        </w:rPr>
      </w:pPr>
      <w:r>
        <w:rPr>
          <w:rFonts w:eastAsiaTheme="minorHAnsi"/>
          <w:b w:val="0"/>
          <w:bCs w:val="0"/>
          <w:color w:val="auto"/>
        </w:rPr>
        <w:t xml:space="preserve">The db-RDA identified </w:t>
      </w:r>
      <w:r w:rsidR="00F33370">
        <w:rPr>
          <w:rFonts w:eastAsiaTheme="minorHAnsi"/>
          <w:b w:val="0"/>
          <w:bCs w:val="0"/>
          <w:color w:val="auto"/>
        </w:rPr>
        <w:t xml:space="preserve">that all covariates had </w:t>
      </w:r>
      <w:r w:rsidR="00D558C1">
        <w:rPr>
          <w:rFonts w:eastAsiaTheme="minorHAnsi"/>
          <w:b w:val="0"/>
          <w:bCs w:val="0"/>
          <w:color w:val="auto"/>
        </w:rPr>
        <w:t xml:space="preserve">statistically </w:t>
      </w:r>
      <w:r w:rsidR="00F33370">
        <w:rPr>
          <w:rFonts w:eastAsiaTheme="minorHAnsi"/>
          <w:b w:val="0"/>
          <w:bCs w:val="0"/>
          <w:color w:val="auto"/>
        </w:rPr>
        <w:t xml:space="preserve">significant effects on the model, to varied degrees. </w:t>
      </w:r>
      <w:r w:rsidR="00D1643A">
        <w:rPr>
          <w:rFonts w:eastAsiaTheme="minorHAnsi"/>
          <w:b w:val="0"/>
          <w:bCs w:val="0"/>
          <w:color w:val="auto"/>
        </w:rPr>
        <w:t>A plot</w:t>
      </w:r>
      <w:r w:rsidR="008634A9">
        <w:rPr>
          <w:rFonts w:eastAsiaTheme="minorHAnsi"/>
          <w:b w:val="0"/>
          <w:bCs w:val="0"/>
          <w:color w:val="auto"/>
        </w:rPr>
        <w:t xml:space="preserve"> of the db-RDA</w:t>
      </w:r>
      <w:r w:rsidR="00D1643A">
        <w:rPr>
          <w:rFonts w:eastAsiaTheme="minorHAnsi"/>
          <w:b w:val="0"/>
          <w:bCs w:val="0"/>
          <w:color w:val="auto"/>
        </w:rPr>
        <w:t xml:space="preserve"> </w:t>
      </w:r>
      <w:r w:rsidR="00F4306C">
        <w:rPr>
          <w:rFonts w:eastAsiaTheme="minorHAnsi"/>
          <w:b w:val="0"/>
          <w:bCs w:val="0"/>
          <w:color w:val="auto"/>
        </w:rPr>
        <w:t xml:space="preserve">visually represented the clustered net tows and </w:t>
      </w:r>
      <w:r w:rsidR="00CA286B">
        <w:rPr>
          <w:rFonts w:eastAsiaTheme="minorHAnsi"/>
          <w:b w:val="0"/>
          <w:bCs w:val="0"/>
          <w:color w:val="auto"/>
        </w:rPr>
        <w:t>covariates</w:t>
      </w:r>
      <w:r w:rsidR="004E0B71">
        <w:rPr>
          <w:rFonts w:eastAsiaTheme="minorHAnsi"/>
          <w:b w:val="0"/>
          <w:bCs w:val="0"/>
          <w:color w:val="auto"/>
        </w:rPr>
        <w:t xml:space="preserve"> </w:t>
      </w:r>
      <w:r w:rsidR="00785AF0">
        <w:rPr>
          <w:rFonts w:eastAsiaTheme="minorHAnsi"/>
          <w:b w:val="0"/>
          <w:bCs w:val="0"/>
          <w:color w:val="auto"/>
        </w:rPr>
        <w:t>in constrained ordination space</w:t>
      </w:r>
      <w:r w:rsidR="00762702">
        <w:rPr>
          <w:rFonts w:eastAsiaTheme="minorHAnsi"/>
          <w:b w:val="0"/>
          <w:bCs w:val="0"/>
          <w:color w:val="auto"/>
        </w:rPr>
        <w:t xml:space="preserve"> (Fig. </w:t>
      </w:r>
      <w:r w:rsidR="002F3E81">
        <w:rPr>
          <w:rFonts w:eastAsiaTheme="minorHAnsi"/>
          <w:b w:val="0"/>
          <w:bCs w:val="0"/>
          <w:color w:val="auto"/>
        </w:rPr>
        <w:t>5)</w:t>
      </w:r>
      <w:r w:rsidR="00785AF0">
        <w:rPr>
          <w:rFonts w:eastAsiaTheme="minorHAnsi"/>
          <w:b w:val="0"/>
          <w:bCs w:val="0"/>
          <w:color w:val="auto"/>
        </w:rPr>
        <w:t>. Like</w:t>
      </w:r>
      <w:r w:rsidR="00CA286B">
        <w:rPr>
          <w:rFonts w:eastAsiaTheme="minorHAnsi"/>
          <w:b w:val="0"/>
          <w:bCs w:val="0"/>
          <w:color w:val="auto"/>
        </w:rPr>
        <w:t xml:space="preserve"> </w:t>
      </w:r>
      <w:r w:rsidR="0082539F">
        <w:rPr>
          <w:rFonts w:eastAsiaTheme="minorHAnsi"/>
          <w:b w:val="0"/>
          <w:bCs w:val="0"/>
          <w:color w:val="auto"/>
        </w:rPr>
        <w:t xml:space="preserve">on </w:t>
      </w:r>
      <w:r w:rsidR="00CA286B">
        <w:rPr>
          <w:rFonts w:eastAsiaTheme="minorHAnsi"/>
          <w:b w:val="0"/>
          <w:bCs w:val="0"/>
          <w:color w:val="auto"/>
        </w:rPr>
        <w:t xml:space="preserve">the </w:t>
      </w:r>
      <w:r w:rsidR="00785AF0">
        <w:rPr>
          <w:rFonts w:eastAsiaTheme="minorHAnsi"/>
          <w:b w:val="0"/>
          <w:bCs w:val="0"/>
          <w:color w:val="auto"/>
        </w:rPr>
        <w:t>NMDS</w:t>
      </w:r>
      <w:r w:rsidR="0082539F">
        <w:rPr>
          <w:rFonts w:eastAsiaTheme="minorHAnsi"/>
          <w:b w:val="0"/>
          <w:bCs w:val="0"/>
          <w:color w:val="auto"/>
        </w:rPr>
        <w:t xml:space="preserve"> plot</w:t>
      </w:r>
      <w:r w:rsidR="00785AF0">
        <w:rPr>
          <w:rFonts w:eastAsiaTheme="minorHAnsi"/>
          <w:b w:val="0"/>
          <w:bCs w:val="0"/>
          <w:color w:val="auto"/>
        </w:rPr>
        <w:t xml:space="preserve">, polygons were used to identify the bounds of clusters and vectors </w:t>
      </w:r>
      <w:r w:rsidR="00A7263A">
        <w:rPr>
          <w:rFonts w:eastAsiaTheme="minorHAnsi"/>
          <w:b w:val="0"/>
          <w:bCs w:val="0"/>
          <w:color w:val="auto"/>
        </w:rPr>
        <w:t>reflected</w:t>
      </w:r>
      <w:r w:rsidR="00CA286B">
        <w:rPr>
          <w:rFonts w:eastAsiaTheme="minorHAnsi"/>
          <w:b w:val="0"/>
          <w:bCs w:val="0"/>
          <w:color w:val="auto"/>
        </w:rPr>
        <w:t xml:space="preserve"> the association</w:t>
      </w:r>
      <w:r w:rsidR="00E47FCA">
        <w:rPr>
          <w:rFonts w:eastAsiaTheme="minorHAnsi"/>
          <w:b w:val="0"/>
          <w:bCs w:val="0"/>
          <w:color w:val="auto"/>
        </w:rPr>
        <w:t xml:space="preserve">s between covariates and the ordination axes. </w:t>
      </w:r>
      <w:r w:rsidR="001C4787">
        <w:rPr>
          <w:rFonts w:eastAsiaTheme="minorHAnsi"/>
          <w:b w:val="0"/>
          <w:bCs w:val="0"/>
          <w:color w:val="auto"/>
        </w:rPr>
        <w:t xml:space="preserve">The plot </w:t>
      </w:r>
      <w:r w:rsidR="00543FCD">
        <w:rPr>
          <w:rFonts w:eastAsiaTheme="minorHAnsi"/>
          <w:b w:val="0"/>
          <w:bCs w:val="0"/>
          <w:color w:val="auto"/>
        </w:rPr>
        <w:t>indicated</w:t>
      </w:r>
      <w:r w:rsidR="001C4787">
        <w:rPr>
          <w:rFonts w:eastAsiaTheme="minorHAnsi"/>
          <w:b w:val="0"/>
          <w:bCs w:val="0"/>
          <w:color w:val="auto"/>
        </w:rPr>
        <w:t xml:space="preserve"> a</w:t>
      </w:r>
      <w:r w:rsidR="00543FCD">
        <w:rPr>
          <w:rFonts w:eastAsiaTheme="minorHAnsi"/>
          <w:b w:val="0"/>
          <w:bCs w:val="0"/>
          <w:color w:val="auto"/>
        </w:rPr>
        <w:t xml:space="preserve"> relatively strong association of the</w:t>
      </w:r>
      <w:r w:rsidR="004575B7">
        <w:rPr>
          <w:rFonts w:eastAsiaTheme="minorHAnsi"/>
          <w:b w:val="0"/>
          <w:bCs w:val="0"/>
          <w:color w:val="auto"/>
        </w:rPr>
        <w:t xml:space="preserve"> </w:t>
      </w:r>
      <w:r w:rsidR="004575B7">
        <w:rPr>
          <w:rFonts w:eastAsiaTheme="minorHAnsi"/>
          <w:b w:val="0"/>
          <w:bCs w:val="0"/>
          <w:i/>
          <w:iCs/>
          <w:color w:val="auto"/>
        </w:rPr>
        <w:t>Sebastes</w:t>
      </w:r>
      <w:r w:rsidR="004575B7">
        <w:rPr>
          <w:rFonts w:eastAsiaTheme="minorHAnsi"/>
          <w:b w:val="0"/>
          <w:bCs w:val="0"/>
          <w:color w:val="auto"/>
        </w:rPr>
        <w:t xml:space="preserve"> spp. (cluster 1) and Myctophid (cluster 3) assemblages with sea</w:t>
      </w:r>
      <w:r w:rsidR="00A64097">
        <w:rPr>
          <w:rFonts w:eastAsiaTheme="minorHAnsi"/>
          <w:b w:val="0"/>
          <w:bCs w:val="0"/>
          <w:color w:val="auto"/>
        </w:rPr>
        <w:t>f</w:t>
      </w:r>
      <w:r w:rsidR="004575B7">
        <w:rPr>
          <w:rFonts w:eastAsiaTheme="minorHAnsi"/>
          <w:b w:val="0"/>
          <w:bCs w:val="0"/>
          <w:color w:val="auto"/>
        </w:rPr>
        <w:t>loor depth</w:t>
      </w:r>
      <w:r w:rsidR="00A64097">
        <w:rPr>
          <w:rFonts w:eastAsiaTheme="minorHAnsi"/>
          <w:b w:val="0"/>
          <w:bCs w:val="0"/>
          <w:color w:val="auto"/>
        </w:rPr>
        <w:t xml:space="preserve"> (p = </w:t>
      </w:r>
      <w:r w:rsidR="00532A6C">
        <w:rPr>
          <w:rFonts w:eastAsiaTheme="minorHAnsi"/>
          <w:b w:val="0"/>
          <w:bCs w:val="0"/>
          <w:color w:val="auto"/>
        </w:rPr>
        <w:t xml:space="preserve">0.002). </w:t>
      </w:r>
      <w:r w:rsidR="00650D3A">
        <w:rPr>
          <w:rFonts w:eastAsiaTheme="minorHAnsi"/>
          <w:b w:val="0"/>
          <w:bCs w:val="0"/>
          <w:color w:val="auto"/>
        </w:rPr>
        <w:t>These assemblages were also related to</w:t>
      </w:r>
      <w:r w:rsidR="00AA191D">
        <w:rPr>
          <w:rFonts w:eastAsiaTheme="minorHAnsi"/>
          <w:b w:val="0"/>
          <w:bCs w:val="0"/>
          <w:color w:val="auto"/>
        </w:rPr>
        <w:t xml:space="preserve"> mean tow depth</w:t>
      </w:r>
      <w:r w:rsidR="00A56D18">
        <w:rPr>
          <w:rFonts w:eastAsiaTheme="minorHAnsi"/>
          <w:b w:val="0"/>
          <w:bCs w:val="0"/>
          <w:color w:val="auto"/>
        </w:rPr>
        <w:t xml:space="preserve"> (p = 0.001)</w:t>
      </w:r>
      <w:r w:rsidR="00AA191D">
        <w:rPr>
          <w:rFonts w:eastAsiaTheme="minorHAnsi"/>
          <w:b w:val="0"/>
          <w:bCs w:val="0"/>
          <w:color w:val="auto"/>
        </w:rPr>
        <w:t xml:space="preserve"> and </w:t>
      </w:r>
      <w:r w:rsidR="0083671B">
        <w:rPr>
          <w:rFonts w:eastAsiaTheme="minorHAnsi"/>
          <w:b w:val="0"/>
          <w:bCs w:val="0"/>
          <w:color w:val="auto"/>
        </w:rPr>
        <w:t>salinity</w:t>
      </w:r>
      <w:r w:rsidR="00A56D18">
        <w:rPr>
          <w:rFonts w:eastAsiaTheme="minorHAnsi"/>
          <w:b w:val="0"/>
          <w:bCs w:val="0"/>
          <w:color w:val="auto"/>
        </w:rPr>
        <w:t xml:space="preserve"> (p = 0.001)</w:t>
      </w:r>
      <w:r w:rsidR="003F65FE">
        <w:rPr>
          <w:rFonts w:eastAsiaTheme="minorHAnsi"/>
          <w:b w:val="0"/>
          <w:bCs w:val="0"/>
          <w:color w:val="auto"/>
        </w:rPr>
        <w:t xml:space="preserve"> though </w:t>
      </w:r>
      <w:r w:rsidR="00824841">
        <w:rPr>
          <w:rFonts w:eastAsiaTheme="minorHAnsi"/>
          <w:b w:val="0"/>
          <w:bCs w:val="0"/>
          <w:color w:val="auto"/>
        </w:rPr>
        <w:t xml:space="preserve">both had relatively weaker associations on the plot. </w:t>
      </w:r>
      <w:r w:rsidR="00A56D18">
        <w:rPr>
          <w:rFonts w:eastAsiaTheme="minorHAnsi"/>
          <w:b w:val="0"/>
          <w:bCs w:val="0"/>
          <w:color w:val="auto"/>
        </w:rPr>
        <w:t>The Myctophid assemblage</w:t>
      </w:r>
      <w:r w:rsidR="00762702">
        <w:rPr>
          <w:rFonts w:eastAsiaTheme="minorHAnsi"/>
          <w:b w:val="0"/>
          <w:bCs w:val="0"/>
          <w:color w:val="auto"/>
        </w:rPr>
        <w:t xml:space="preserve"> (cluster 3)</w:t>
      </w:r>
      <w:r w:rsidR="00A56D18">
        <w:rPr>
          <w:rFonts w:eastAsiaTheme="minorHAnsi"/>
          <w:b w:val="0"/>
          <w:bCs w:val="0"/>
          <w:color w:val="auto"/>
        </w:rPr>
        <w:t xml:space="preserve"> </w:t>
      </w:r>
      <w:r w:rsidR="00826A33">
        <w:rPr>
          <w:rFonts w:eastAsiaTheme="minorHAnsi"/>
          <w:b w:val="0"/>
          <w:bCs w:val="0"/>
          <w:color w:val="auto"/>
        </w:rPr>
        <w:t xml:space="preserve">alone </w:t>
      </w:r>
      <w:r w:rsidR="00FB6252">
        <w:rPr>
          <w:rFonts w:eastAsiaTheme="minorHAnsi"/>
          <w:b w:val="0"/>
          <w:bCs w:val="0"/>
          <w:color w:val="auto"/>
        </w:rPr>
        <w:t xml:space="preserve">was </w:t>
      </w:r>
      <w:r w:rsidR="00C461B9">
        <w:rPr>
          <w:rFonts w:eastAsiaTheme="minorHAnsi"/>
          <w:b w:val="0"/>
          <w:bCs w:val="0"/>
          <w:color w:val="auto"/>
        </w:rPr>
        <w:t>related</w:t>
      </w:r>
      <w:r w:rsidR="00FB6252">
        <w:rPr>
          <w:rFonts w:eastAsiaTheme="minorHAnsi"/>
          <w:b w:val="0"/>
          <w:bCs w:val="0"/>
          <w:color w:val="auto"/>
        </w:rPr>
        <w:t xml:space="preserve"> </w:t>
      </w:r>
      <w:r w:rsidR="00C461B9">
        <w:rPr>
          <w:rFonts w:eastAsiaTheme="minorHAnsi"/>
          <w:b w:val="0"/>
          <w:bCs w:val="0"/>
          <w:color w:val="auto"/>
        </w:rPr>
        <w:t>to</w:t>
      </w:r>
      <w:r w:rsidR="00FB6252">
        <w:rPr>
          <w:rFonts w:eastAsiaTheme="minorHAnsi"/>
          <w:b w:val="0"/>
          <w:bCs w:val="0"/>
          <w:color w:val="auto"/>
        </w:rPr>
        <w:t xml:space="preserve"> DO</w:t>
      </w:r>
      <w:r w:rsidR="00910101">
        <w:rPr>
          <w:rFonts w:eastAsiaTheme="minorHAnsi"/>
          <w:b w:val="0"/>
          <w:bCs w:val="0"/>
          <w:color w:val="auto"/>
        </w:rPr>
        <w:t xml:space="preserve"> (p = </w:t>
      </w:r>
      <w:r w:rsidR="00C637AC">
        <w:rPr>
          <w:rFonts w:eastAsiaTheme="minorHAnsi"/>
          <w:b w:val="0"/>
          <w:bCs w:val="0"/>
          <w:color w:val="auto"/>
        </w:rPr>
        <w:t>0.001)</w:t>
      </w:r>
      <w:r w:rsidR="00FB6252">
        <w:rPr>
          <w:rFonts w:eastAsiaTheme="minorHAnsi"/>
          <w:b w:val="0"/>
          <w:bCs w:val="0"/>
          <w:color w:val="auto"/>
        </w:rPr>
        <w:t xml:space="preserve"> and temperature</w:t>
      </w:r>
      <w:r w:rsidR="00C637AC">
        <w:rPr>
          <w:rFonts w:eastAsiaTheme="minorHAnsi"/>
          <w:b w:val="0"/>
          <w:bCs w:val="0"/>
          <w:color w:val="auto"/>
        </w:rPr>
        <w:t xml:space="preserve"> (p = 0.010)</w:t>
      </w:r>
      <w:r w:rsidR="00FB6252">
        <w:rPr>
          <w:rFonts w:eastAsiaTheme="minorHAnsi"/>
          <w:b w:val="0"/>
          <w:bCs w:val="0"/>
          <w:color w:val="auto"/>
        </w:rPr>
        <w:t>, with the former having</w:t>
      </w:r>
      <w:r w:rsidR="00C27AC9">
        <w:rPr>
          <w:rFonts w:eastAsiaTheme="minorHAnsi"/>
          <w:b w:val="0"/>
          <w:bCs w:val="0"/>
          <w:color w:val="auto"/>
        </w:rPr>
        <w:t xml:space="preserve"> a relatively weaker association</w:t>
      </w:r>
      <w:r w:rsidR="00910101">
        <w:rPr>
          <w:rFonts w:eastAsiaTheme="minorHAnsi"/>
          <w:b w:val="0"/>
          <w:bCs w:val="0"/>
          <w:color w:val="auto"/>
        </w:rPr>
        <w:t>.</w:t>
      </w:r>
      <w:r w:rsidR="003A45A1">
        <w:rPr>
          <w:rFonts w:eastAsiaTheme="minorHAnsi"/>
          <w:b w:val="0"/>
          <w:bCs w:val="0"/>
          <w:color w:val="auto"/>
        </w:rPr>
        <w:t xml:space="preserve"> </w:t>
      </w:r>
      <w:r w:rsidR="00F7246C">
        <w:rPr>
          <w:rFonts w:eastAsiaTheme="minorHAnsi"/>
          <w:b w:val="0"/>
          <w:bCs w:val="0"/>
          <w:color w:val="auto"/>
        </w:rPr>
        <w:t>Chl-</w:t>
      </w:r>
      <w:r w:rsidR="00F7246C">
        <w:rPr>
          <w:rFonts w:eastAsiaTheme="minorHAnsi"/>
          <w:b w:val="0"/>
          <w:bCs w:val="0"/>
          <w:i/>
          <w:iCs/>
          <w:color w:val="auto"/>
        </w:rPr>
        <w:t>a</w:t>
      </w:r>
      <w:r w:rsidR="00F7246C">
        <w:rPr>
          <w:rFonts w:eastAsiaTheme="minorHAnsi"/>
          <w:b w:val="0"/>
          <w:bCs w:val="0"/>
          <w:color w:val="auto"/>
        </w:rPr>
        <w:t xml:space="preserve"> </w:t>
      </w:r>
      <w:r w:rsidR="00F7246C">
        <w:rPr>
          <w:rFonts w:eastAsiaTheme="minorHAnsi"/>
          <w:b w:val="0"/>
          <w:bCs w:val="0"/>
          <w:color w:val="auto"/>
        </w:rPr>
        <w:t>(p = 0.001)</w:t>
      </w:r>
      <w:r w:rsidR="00BA6ADE">
        <w:rPr>
          <w:rFonts w:eastAsiaTheme="minorHAnsi"/>
          <w:b w:val="0"/>
          <w:bCs w:val="0"/>
          <w:color w:val="auto"/>
        </w:rPr>
        <w:t xml:space="preserve"> associated relatively strongly with the </w:t>
      </w:r>
      <w:r w:rsidR="00BA6ADE">
        <w:rPr>
          <w:rFonts w:eastAsiaTheme="minorHAnsi"/>
          <w:b w:val="0"/>
          <w:bCs w:val="0"/>
          <w:i/>
          <w:iCs/>
          <w:color w:val="auto"/>
        </w:rPr>
        <w:t>P. vetulus</w:t>
      </w:r>
      <w:r w:rsidR="00BA6ADE">
        <w:rPr>
          <w:rFonts w:eastAsiaTheme="minorHAnsi"/>
          <w:b w:val="0"/>
          <w:bCs w:val="0"/>
          <w:color w:val="auto"/>
        </w:rPr>
        <w:t xml:space="preserve"> and </w:t>
      </w:r>
      <w:r w:rsidR="00ED4071">
        <w:rPr>
          <w:rFonts w:eastAsiaTheme="minorHAnsi"/>
          <w:b w:val="0"/>
          <w:bCs w:val="0"/>
          <w:color w:val="auto"/>
        </w:rPr>
        <w:t xml:space="preserve">Osmeridae </w:t>
      </w:r>
      <w:r w:rsidR="00BA6ADE">
        <w:rPr>
          <w:rFonts w:eastAsiaTheme="minorHAnsi"/>
          <w:b w:val="0"/>
          <w:bCs w:val="0"/>
          <w:color w:val="auto"/>
        </w:rPr>
        <w:t>assemblages (clusters 2 and 6, respectively)</w:t>
      </w:r>
      <w:r w:rsidR="00E25554">
        <w:rPr>
          <w:rFonts w:eastAsiaTheme="minorHAnsi"/>
          <w:b w:val="0"/>
          <w:bCs w:val="0"/>
          <w:color w:val="auto"/>
        </w:rPr>
        <w:t>.</w:t>
      </w:r>
      <w:r w:rsidR="00DA3FB4">
        <w:rPr>
          <w:rFonts w:eastAsiaTheme="minorHAnsi"/>
          <w:b w:val="0"/>
          <w:bCs w:val="0"/>
          <w:color w:val="auto"/>
        </w:rPr>
        <w:t xml:space="preserve"> The </w:t>
      </w:r>
      <w:r w:rsidR="00A2677C">
        <w:rPr>
          <w:rFonts w:eastAsiaTheme="minorHAnsi"/>
          <w:b w:val="0"/>
          <w:bCs w:val="0"/>
          <w:color w:val="auto"/>
        </w:rPr>
        <w:t>general nearshore assemblage (cluster 5) was related strongly to latitude</w:t>
      </w:r>
      <w:r>
        <w:rPr>
          <w:rFonts w:eastAsiaTheme="minorHAnsi"/>
          <w:b w:val="0"/>
          <w:bCs w:val="0"/>
          <w:color w:val="auto"/>
        </w:rPr>
        <w:t xml:space="preserve"> (p = </w:t>
      </w:r>
      <w:r w:rsidR="003A6427">
        <w:rPr>
          <w:rFonts w:eastAsiaTheme="minorHAnsi"/>
          <w:b w:val="0"/>
          <w:bCs w:val="0"/>
          <w:color w:val="auto"/>
        </w:rPr>
        <w:t xml:space="preserve">0.001). </w:t>
      </w:r>
      <w:r w:rsidR="00724926">
        <w:rPr>
          <w:rFonts w:eastAsiaTheme="minorHAnsi"/>
          <w:b w:val="0"/>
          <w:bCs w:val="0"/>
          <w:color w:val="auto"/>
        </w:rPr>
        <w:t xml:space="preserve">This assemblage, along with the </w:t>
      </w:r>
      <w:r w:rsidR="00724926">
        <w:rPr>
          <w:rFonts w:eastAsiaTheme="minorHAnsi"/>
          <w:b w:val="0"/>
          <w:bCs w:val="0"/>
          <w:i/>
          <w:iCs/>
          <w:color w:val="auto"/>
        </w:rPr>
        <w:t>Sebastes</w:t>
      </w:r>
      <w:r w:rsidR="00724926">
        <w:rPr>
          <w:rFonts w:eastAsiaTheme="minorHAnsi"/>
          <w:b w:val="0"/>
          <w:bCs w:val="0"/>
          <w:color w:val="auto"/>
        </w:rPr>
        <w:t xml:space="preserve"> spp. assemblage, was also associated with time of day (p = </w:t>
      </w:r>
      <w:r w:rsidR="00340B81">
        <w:rPr>
          <w:rFonts w:eastAsiaTheme="minorHAnsi"/>
          <w:b w:val="0"/>
          <w:bCs w:val="0"/>
          <w:color w:val="auto"/>
        </w:rPr>
        <w:t>0.027)</w:t>
      </w:r>
      <w:commentRangeStart w:id="23"/>
      <w:r w:rsidR="00340B81">
        <w:rPr>
          <w:rFonts w:eastAsiaTheme="minorHAnsi"/>
          <w:b w:val="0"/>
          <w:bCs w:val="0"/>
          <w:color w:val="auto"/>
        </w:rPr>
        <w:t>.</w:t>
      </w:r>
      <w:commentRangeEnd w:id="23"/>
      <w:r w:rsidR="00DA2CC1" w:rsidRPr="00724926">
        <w:rPr>
          <w:rStyle w:val="CommentReference"/>
          <w:rFonts w:eastAsiaTheme="minorHAnsi"/>
          <w:b w:val="0"/>
          <w:bCs w:val="0"/>
          <w:color w:val="auto"/>
          <w:sz w:val="24"/>
          <w:szCs w:val="24"/>
        </w:rPr>
        <w:commentReference w:id="23"/>
      </w:r>
    </w:p>
    <w:p w14:paraId="215B4BA9" w14:textId="129BF9E7" w:rsidR="00D61FDF" w:rsidRDefault="00D61FDF" w:rsidP="009B332C">
      <w:pPr>
        <w:pStyle w:val="Heading2"/>
      </w:pPr>
      <w:r>
        <w:t>2.3</w:t>
      </w:r>
      <w:r>
        <w:tab/>
        <w:t xml:space="preserve">Diel effects on </w:t>
      </w:r>
      <w:r w:rsidR="00F64BA4">
        <w:t>depth and abundance</w:t>
      </w:r>
    </w:p>
    <w:p w14:paraId="6B98C430" w14:textId="5234CD69" w:rsidR="00BC560D" w:rsidRPr="006156FD" w:rsidDel="007B7E8F" w:rsidRDefault="0088423C" w:rsidP="00241E61">
      <w:pPr>
        <w:rPr>
          <w:del w:id="24" w:author="Bobay, Luke Andrew" w:date="2026-08-28T18:22:00Z" w16du:dateUtc="2026-08-29T01:22:00Z"/>
        </w:rPr>
      </w:pPr>
      <w:r>
        <w:lastRenderedPageBreak/>
        <w:t xml:space="preserve"> In the GLMM of ichthyoplankton </w:t>
      </w:r>
      <w:r w:rsidR="00AF0685">
        <w:t>counts</w:t>
      </w:r>
      <w:r w:rsidR="00E86440">
        <w:t>, the</w:t>
      </w:r>
      <w:r w:rsidR="00A449D3">
        <w:t xml:space="preserve"> conditional fixed</w:t>
      </w:r>
      <w:r w:rsidR="00E86440">
        <w:t xml:space="preserve"> effects </w:t>
      </w:r>
      <w:r w:rsidR="00A449D3">
        <w:t xml:space="preserve">on the log-abundance scale </w:t>
      </w:r>
      <w:r w:rsidR="00E86440">
        <w:t xml:space="preserve">of latitude (0.64, </w:t>
      </w:r>
      <w:r w:rsidR="00E86440">
        <w:rPr>
          <w:i/>
          <w:iCs/>
        </w:rPr>
        <w:t>p</w:t>
      </w:r>
      <w:r w:rsidR="00E86440">
        <w:t xml:space="preserve"> &lt; 0.001), DO (-0.65, </w:t>
      </w:r>
      <w:r w:rsidR="00E86440">
        <w:rPr>
          <w:i/>
          <w:iCs/>
        </w:rPr>
        <w:t xml:space="preserve">p </w:t>
      </w:r>
      <w:r w:rsidR="00E86440">
        <w:t>&lt; 0.01), and chl-</w:t>
      </w:r>
      <w:r w:rsidR="00E86440">
        <w:rPr>
          <w:i/>
          <w:iCs/>
        </w:rPr>
        <w:t>a</w:t>
      </w:r>
      <w:r w:rsidR="00E86440">
        <w:t xml:space="preserve"> (0.44, </w:t>
      </w:r>
      <w:r w:rsidR="00E86440">
        <w:rPr>
          <w:i/>
          <w:iCs/>
        </w:rPr>
        <w:t>p</w:t>
      </w:r>
      <w:r w:rsidR="00E86440">
        <w:t xml:space="preserve"> &lt; 0.001) were significant at the </w:t>
      </w:r>
      <w:r w:rsidR="00E86440" w:rsidRPr="00A155FE">
        <w:rPr>
          <w:i/>
          <w:iCs/>
        </w:rPr>
        <w:t>ɑ</w:t>
      </w:r>
      <w:r w:rsidR="00E86440">
        <w:t xml:space="preserve"> = 0.05 </w:t>
      </w:r>
      <w:r w:rsidR="00A449D3">
        <w:t>significance</w:t>
      </w:r>
      <w:r w:rsidR="00E86440">
        <w:t xml:space="preserve"> level, while the effects of year, seafloor depth, temperature, and salinity were not (all </w:t>
      </w:r>
      <w:r w:rsidR="00E86440">
        <w:rPr>
          <w:i/>
          <w:iCs/>
        </w:rPr>
        <w:t>p</w:t>
      </w:r>
      <w:r w:rsidR="00E86440">
        <w:t xml:space="preserve"> &gt; 0.05). For many taxa</w:t>
      </w:r>
      <w:r>
        <w:t xml:space="preserve">, the interaction of taxon, time of day, and depth </w:t>
      </w:r>
      <w:r w:rsidR="00E86440">
        <w:t>or its constituent effects were</w:t>
      </w:r>
      <w:r>
        <w:t xml:space="preserve"> significant (Table S1). </w:t>
      </w:r>
      <w:r w:rsidR="00D612C2">
        <w:t xml:space="preserve">Plots </w:t>
      </w:r>
      <w:r w:rsidR="000329E6">
        <w:t>of</w:t>
      </w:r>
      <w:r w:rsidR="00D612C2">
        <w:t xml:space="preserve"> predicted taxon-specific abundance in relation to time of day and depth revealed several patterns of the occurrence of greatest predicted abundance: during daytime and in the deepest sampled </w:t>
      </w:r>
      <w:r w:rsidR="000329E6">
        <w:t>depths</w:t>
      </w:r>
      <w:r w:rsidR="00D612C2">
        <w:t xml:space="preserve"> (Agonidae)</w:t>
      </w:r>
      <w:r w:rsidR="001E3A4F">
        <w:t>;</w:t>
      </w:r>
      <w:r w:rsidR="00D612C2">
        <w:t xml:space="preserve"> during nighttime and in the deepest sampled </w:t>
      </w:r>
      <w:r w:rsidR="000329E6">
        <w:t>depths</w:t>
      </w:r>
      <w:r w:rsidR="00D612C2">
        <w:t xml:space="preserve"> (</w:t>
      </w:r>
      <w:r w:rsidR="00D612C2">
        <w:rPr>
          <w:i/>
          <w:iCs/>
        </w:rPr>
        <w:t xml:space="preserve">Protomyctophum </w:t>
      </w:r>
      <w:r w:rsidR="00D612C2">
        <w:t>spp.)</w:t>
      </w:r>
      <w:r w:rsidR="001E3A4F">
        <w:t xml:space="preserve">; </w:t>
      </w:r>
      <w:r w:rsidR="00D612C2">
        <w:t xml:space="preserve">during nighttime across all sampled </w:t>
      </w:r>
      <w:r w:rsidR="000329E6">
        <w:t>depths</w:t>
      </w:r>
      <w:r w:rsidR="00D612C2">
        <w:t xml:space="preserve"> (</w:t>
      </w:r>
      <w:r w:rsidR="000329E6">
        <w:rPr>
          <w:i/>
          <w:iCs/>
        </w:rPr>
        <w:t xml:space="preserve">Bathylagus ochotensis </w:t>
      </w:r>
      <w:r w:rsidR="000329E6">
        <w:t xml:space="preserve">and </w:t>
      </w:r>
      <w:r w:rsidR="000329E6">
        <w:rPr>
          <w:i/>
          <w:iCs/>
        </w:rPr>
        <w:t>Tarletonbeania crenularis</w:t>
      </w:r>
      <w:r w:rsidR="000329E6">
        <w:t>)</w:t>
      </w:r>
      <w:r w:rsidR="001E3A4F">
        <w:t xml:space="preserve">; </w:t>
      </w:r>
      <w:r w:rsidR="000329E6">
        <w:t>during nighttime and in the shallowest sampled depths (</w:t>
      </w:r>
      <w:r w:rsidR="000329E6">
        <w:rPr>
          <w:i/>
          <w:iCs/>
        </w:rPr>
        <w:t>e.g.</w:t>
      </w:r>
      <w:r w:rsidR="000329E6">
        <w:t xml:space="preserve">, </w:t>
      </w:r>
      <w:r w:rsidR="000329E6">
        <w:rPr>
          <w:i/>
          <w:iCs/>
        </w:rPr>
        <w:t>Lestidiops ringens</w:t>
      </w:r>
      <w:r w:rsidR="000329E6">
        <w:t>)</w:t>
      </w:r>
      <w:r w:rsidR="001E3A4F">
        <w:t xml:space="preserve">; </w:t>
      </w:r>
      <w:r w:rsidR="000329E6">
        <w:t>throughout the full day at the shallowest sampled depths (</w:t>
      </w:r>
      <w:r w:rsidR="000329E6">
        <w:rPr>
          <w:i/>
          <w:iCs/>
        </w:rPr>
        <w:t>e.g.</w:t>
      </w:r>
      <w:r w:rsidR="000329E6">
        <w:t>, Ammodytidae)</w:t>
      </w:r>
      <w:r w:rsidR="001E3A4F">
        <w:t xml:space="preserve">; </w:t>
      </w:r>
      <w:r w:rsidR="000329E6">
        <w:t>during daytime and at the shallowest sampled depths (</w:t>
      </w:r>
      <w:r w:rsidR="000329E6">
        <w:rPr>
          <w:i/>
          <w:iCs/>
        </w:rPr>
        <w:t>e.g.</w:t>
      </w:r>
      <w:r w:rsidR="000329E6">
        <w:t>, Osmeridae)</w:t>
      </w:r>
      <w:r w:rsidR="001E3A4F">
        <w:t>;</w:t>
      </w:r>
      <w:r w:rsidR="001E3C4B">
        <w:t xml:space="preserve"> </w:t>
      </w:r>
      <w:r w:rsidR="000329E6">
        <w:t>and during nighttime at the deepest sampled depths and during daytime at the shallowest sampled depths (</w:t>
      </w:r>
      <w:r w:rsidR="000329E6">
        <w:rPr>
          <w:i/>
          <w:iCs/>
        </w:rPr>
        <w:t xml:space="preserve">Liparis </w:t>
      </w:r>
      <w:r w:rsidR="000329E6">
        <w:t xml:space="preserve">spp. and </w:t>
      </w:r>
      <w:r w:rsidR="004A0FB5">
        <w:rPr>
          <w:i/>
          <w:iCs/>
        </w:rPr>
        <w:t>S.</w:t>
      </w:r>
      <w:r w:rsidR="000329E6">
        <w:rPr>
          <w:i/>
          <w:iCs/>
        </w:rPr>
        <w:t xml:space="preserve"> leucopsarus</w:t>
      </w:r>
      <w:r w:rsidR="000329E6">
        <w:t xml:space="preserve">) (Fig. 6). </w:t>
      </w:r>
      <w:r w:rsidR="00624A4D">
        <w:t>T</w:t>
      </w:r>
      <w:r w:rsidR="00435F79">
        <w:t xml:space="preserve">he total abundance </w:t>
      </w:r>
      <w:r w:rsidR="00624A4D">
        <w:t>of larvae in the sampled portion of the water column</w:t>
      </w:r>
      <w:r w:rsidR="00435F79">
        <w:t xml:space="preserve"> varies </w:t>
      </w:r>
      <w:r w:rsidR="00624A4D">
        <w:t xml:space="preserve">substantially </w:t>
      </w:r>
      <w:r w:rsidR="00435F79">
        <w:t>over the course of a day</w:t>
      </w:r>
      <w:r w:rsidR="00624A4D">
        <w:t xml:space="preserve"> for some taxa</w:t>
      </w:r>
      <w:r w:rsidR="00435F79">
        <w:t xml:space="preserve"> (</w:t>
      </w:r>
      <w:r w:rsidR="00435F79">
        <w:rPr>
          <w:i/>
          <w:iCs/>
        </w:rPr>
        <w:t>e.g.</w:t>
      </w:r>
      <w:r w:rsidR="00435F79">
        <w:t xml:space="preserve">, </w:t>
      </w:r>
      <w:r w:rsidR="00624A4D">
        <w:rPr>
          <w:i/>
          <w:iCs/>
        </w:rPr>
        <w:t>Bathylagus ochotensis</w:t>
      </w:r>
      <w:r w:rsidR="00624A4D">
        <w:t xml:space="preserve"> and </w:t>
      </w:r>
      <w:r w:rsidR="004A0FB5">
        <w:rPr>
          <w:i/>
          <w:iCs/>
        </w:rPr>
        <w:t>S.</w:t>
      </w:r>
      <w:r w:rsidR="006156FD">
        <w:rPr>
          <w:i/>
          <w:iCs/>
        </w:rPr>
        <w:t xml:space="preserve"> leucopsarus</w:t>
      </w:r>
      <w:r w:rsidR="00624A4D">
        <w:t>) but not others (</w:t>
      </w:r>
      <w:r w:rsidR="00624A4D">
        <w:rPr>
          <w:i/>
          <w:iCs/>
        </w:rPr>
        <w:t>e.g.</w:t>
      </w:r>
      <w:r w:rsidR="00624A4D">
        <w:t>, Cottidae) (Fig. 7). Similarly, depth-abundance gradients vary substantially over the course of a day for some taxa (</w:t>
      </w:r>
      <w:r w:rsidR="00624A4D">
        <w:rPr>
          <w:i/>
          <w:iCs/>
        </w:rPr>
        <w:t>e.g.</w:t>
      </w:r>
      <w:r w:rsidR="00624A4D">
        <w:t xml:space="preserve">, </w:t>
      </w:r>
      <w:r w:rsidR="00624A4D">
        <w:rPr>
          <w:i/>
          <w:iCs/>
        </w:rPr>
        <w:t xml:space="preserve">Protomyctophum </w:t>
      </w:r>
      <w:r w:rsidR="00624A4D">
        <w:t>spp. and Hexagrammidae) but not others (</w:t>
      </w:r>
      <w:r w:rsidR="00624A4D">
        <w:rPr>
          <w:i/>
          <w:iCs/>
        </w:rPr>
        <w:t>e.g.</w:t>
      </w:r>
      <w:r w:rsidR="00624A4D">
        <w:t xml:space="preserve">, </w:t>
      </w:r>
      <w:r w:rsidR="006156FD">
        <w:rPr>
          <w:i/>
          <w:iCs/>
        </w:rPr>
        <w:t xml:space="preserve">Sebastes </w:t>
      </w:r>
      <w:r w:rsidR="006156FD">
        <w:t>spp. and Osmeridae).</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obay, Luke Andrew" w:date="2026-08-27T11:23:00Z" w:initials="LB">
    <w:p w14:paraId="0A884BF3" w14:textId="77777777" w:rsidR="00F66332" w:rsidRDefault="00F66332" w:rsidP="00F66332">
      <w:pPr>
        <w:pStyle w:val="CommentText"/>
      </w:pPr>
      <w:r>
        <w:rPr>
          <w:rStyle w:val="CommentReference"/>
        </w:rPr>
        <w:annotationRef/>
      </w:r>
      <w:r>
        <w:t>We should refer to the system as the northern California Current ecosystem throughout the paper. There are a few distinct currents in the region, and we generally aren’t talking only about the California Current, but also the Davidson Current, California Undercurrent, etc.</w:t>
      </w:r>
    </w:p>
  </w:comment>
  <w:comment w:id="1"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2"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3"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4" w:author="Bobay, Luke Andrew" w:date="2026-08-28T07:42:00Z" w:initials="LB">
    <w:p w14:paraId="7A36192A" w14:textId="77777777" w:rsidR="00943701" w:rsidRDefault="00943701" w:rsidP="00943701">
      <w:pPr>
        <w:pStyle w:val="CommentText"/>
      </w:pPr>
      <w:r>
        <w:rPr>
          <w:rStyle w:val="CommentReference"/>
        </w:rPr>
        <w:annotationRef/>
      </w:r>
      <w:r>
        <w:t>Changing in-text citations to Zotero ones</w:t>
      </w:r>
    </w:p>
  </w:comment>
  <w:comment w:id="6"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8" w:author="McCloskey, Ross" w:date="2026-08-18T15:12:00Z" w:initials="RM">
    <w:p w14:paraId="4C6AC411" w14:textId="77777777" w:rsidR="005945D2" w:rsidRDefault="005945D2" w:rsidP="00241E61">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9" w:author="McCloskey, Ross" w:date="2026-08-25T13:29:00Z" w:initials="RM">
    <w:p w14:paraId="4E80129C" w14:textId="77777777" w:rsidR="002C0601" w:rsidRDefault="002C0601" w:rsidP="002C0601">
      <w:pPr>
        <w:pStyle w:val="CommentText"/>
      </w:pPr>
      <w:r>
        <w:rPr>
          <w:rStyle w:val="CommentReference"/>
        </w:rPr>
        <w:annotationRef/>
      </w:r>
      <w:r>
        <w:t>Mention PDO, ENSO as indicators for LFC ?</w:t>
      </w:r>
    </w:p>
  </w:comment>
  <w:comment w:id="10" w:author="Bobay, Luke Andrew" w:date="2026-08-28T14:13:00Z" w:initials="LB">
    <w:p w14:paraId="0CEAC413" w14:textId="77777777" w:rsidR="00D50AF7" w:rsidRDefault="00D50AF7" w:rsidP="00D50AF7">
      <w:pPr>
        <w:pStyle w:val="CommentText"/>
      </w:pPr>
      <w:r>
        <w:rPr>
          <w:rStyle w:val="CommentReference"/>
        </w:rPr>
        <w:annotationRef/>
      </w:r>
      <w:r>
        <w:t>I added some mention of climate indices, which are important but not a focus of our study</w:t>
      </w:r>
    </w:p>
  </w:comment>
  <w:comment w:id="7" w:author="Bobay, Luke Andrew" w:date="2026-08-28T09:18:00Z" w:initials="LB">
    <w:p w14:paraId="776556A8" w14:textId="77777777" w:rsidR="00905D9C" w:rsidRDefault="001813A1" w:rsidP="00905D9C">
      <w:pPr>
        <w:pStyle w:val="CommentText"/>
      </w:pPr>
      <w:r>
        <w:rPr>
          <w:rStyle w:val="CommentReference"/>
        </w:rPr>
        <w:annotationRef/>
      </w:r>
      <w:r w:rsidR="00905D9C">
        <w:t>This is a bit too comprehensive; we aren’t writing a review paper that covers everything known about the topic. I tried to reduce this to only the information that supports/provides context for the study we did.</w:t>
      </w:r>
    </w:p>
  </w:comment>
  <w:comment w:id="11"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12"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13" w:author="McCloskey, Ross" w:date="2026-09-07T11:52:00Z" w:initials="RM">
    <w:p w14:paraId="674FD3BE" w14:textId="77777777" w:rsidR="000F5EA3" w:rsidRDefault="000F5EA3" w:rsidP="000F5EA3">
      <w:pPr>
        <w:pStyle w:val="CommentText"/>
      </w:pPr>
      <w:r>
        <w:rPr>
          <w:rStyle w:val="CommentReference"/>
        </w:rPr>
        <w:annotationRef/>
      </w:r>
      <w:r>
        <w:t>I can’t recall if these are still the thresholds we used so may need to edit.</w:t>
      </w:r>
    </w:p>
  </w:comment>
  <w:comment w:id="14"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15" w:author="McCloskey, Ross" w:date="2026-09-03T17:40:00Z" w:initials="RM">
    <w:p w14:paraId="5D36C521" w14:textId="77777777" w:rsidR="006A441B" w:rsidRDefault="006A441B" w:rsidP="006A441B">
      <w:pPr>
        <w:pStyle w:val="CommentText"/>
      </w:pPr>
      <w:r>
        <w:rPr>
          <w:rStyle w:val="CommentReference"/>
        </w:rPr>
        <w:annotationRef/>
      </w:r>
      <w:r>
        <w:t>Should we also be citing the R packages we’re using like vegan and such?</w:t>
      </w:r>
    </w:p>
  </w:comment>
  <w:comment w:id="17" w:author="McCloskey, Ross" w:date="2026-09-07T12:07:00Z" w:initials="RM">
    <w:p w14:paraId="1AEF4160" w14:textId="77777777" w:rsidR="000B5C8B" w:rsidRDefault="000B5C8B" w:rsidP="000B5C8B">
      <w:pPr>
        <w:pStyle w:val="CommentText"/>
      </w:pPr>
      <w:r>
        <w:rPr>
          <w:rStyle w:val="CommentReference"/>
        </w:rPr>
        <w:annotationRef/>
      </w:r>
      <w:r>
        <w:t>Since these are the first times the species are mentioned, do we use the full genus? Do we need to include in parentheses the shortened nomenclature we’ll be using or is it okay as is?</w:t>
      </w:r>
    </w:p>
  </w:comment>
  <w:comment w:id="18" w:author="McCloskey, Ross" w:date="2026-09-07T12:10:00Z" w:initials="RM">
    <w:p w14:paraId="5C9098B6" w14:textId="77777777" w:rsidR="00ED46FB" w:rsidRDefault="00ED46FB" w:rsidP="00ED46FB">
      <w:pPr>
        <w:pStyle w:val="CommentText"/>
      </w:pPr>
      <w:r>
        <w:rPr>
          <w:rStyle w:val="CommentReference"/>
        </w:rPr>
        <w:annotationRef/>
      </w:r>
      <w:r>
        <w:t>Do we also need to cite the taxonomic authorities for these?</w:t>
      </w:r>
    </w:p>
  </w:comment>
  <w:comment w:id="19" w:author="McCloskey, Ross" w:date="2026-09-03T18:06:00Z" w:initials="RM">
    <w:p w14:paraId="60EFF882" w14:textId="77777777" w:rsidR="002B3D66" w:rsidRDefault="002B3D66" w:rsidP="002B3D66">
      <w:pPr>
        <w:pStyle w:val="CommentText"/>
      </w:pPr>
      <w:r>
        <w:rPr>
          <w:rStyle w:val="CommentReference"/>
        </w:rPr>
        <w:annotationRef/>
      </w:r>
      <w:r>
        <w:t>Need to check this is still the correct stress statistic with the final data</w:t>
      </w:r>
    </w:p>
  </w:comment>
  <w:comment w:id="20" w:author="McCloskey, Ross" w:date="2026-09-03T18:07:00Z" w:initials="RM">
    <w:p w14:paraId="11847F66" w14:textId="77777777" w:rsidR="00974EBE" w:rsidRDefault="00974EBE" w:rsidP="00974EBE">
      <w:pPr>
        <w:pStyle w:val="CommentText"/>
      </w:pPr>
      <w:r>
        <w:rPr>
          <w:rStyle w:val="CommentReference"/>
        </w:rPr>
        <w:annotationRef/>
      </w:r>
      <w:r>
        <w:t>Like above, need to check that this is still the correct value with the final data</w:t>
      </w:r>
    </w:p>
  </w:comment>
  <w:comment w:id="21" w:author="McCloskey, Ross" w:date="2026-09-03T18:07:00Z" w:initials="RM">
    <w:p w14:paraId="61CF42B2" w14:textId="77777777" w:rsidR="00974EBE" w:rsidRDefault="00974EBE" w:rsidP="00974EBE">
      <w:pPr>
        <w:pStyle w:val="CommentText"/>
      </w:pPr>
      <w:r>
        <w:rPr>
          <w:rStyle w:val="CommentReference"/>
        </w:rPr>
        <w:annotationRef/>
      </w:r>
      <w:r>
        <w:t>Need this p-value</w:t>
      </w:r>
    </w:p>
  </w:comment>
  <w:comment w:id="22" w:author="McCloskey, Ross" w:date="2026-09-07T12:33:00Z" w:initials="RM">
    <w:p w14:paraId="457EC8E9" w14:textId="77777777" w:rsidR="001F4A57" w:rsidRDefault="001F4A57" w:rsidP="001F4A57">
      <w:pPr>
        <w:pStyle w:val="CommentText"/>
      </w:pPr>
      <w:r>
        <w:rPr>
          <w:rStyle w:val="CommentReference"/>
        </w:rPr>
        <w:annotationRef/>
      </w:r>
      <w:r>
        <w:t>Got these values from the bottom right table on slide 8. I don’t know if I’m interpreting/describing this right, though.</w:t>
      </w:r>
    </w:p>
  </w:comment>
  <w:comment w:id="23" w:author="McCloskey, Ross" w:date="2026-09-07T13:29:00Z" w:initials="RM">
    <w:p w14:paraId="240AE705" w14:textId="77777777" w:rsidR="00DA2CC1" w:rsidRDefault="00DA2CC1" w:rsidP="00DA2CC1">
      <w:pPr>
        <w:pStyle w:val="CommentText"/>
      </w:pPr>
      <w:r>
        <w:rPr>
          <w:rStyle w:val="CommentReference"/>
        </w:rPr>
        <w:annotationRef/>
      </w:r>
      <w:r>
        <w:t>I took a stab at this but I don’t know if I’m interpreting or phrasing this correctly. Could maybe be more eloquent since this is kind of clunky to read.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84BF3" w15:done="0"/>
  <w15:commentEx w15:paraId="2F1B268D" w15:done="0"/>
  <w15:commentEx w15:paraId="021223F3" w15:done="0"/>
  <w15:commentEx w15:paraId="796C364A" w15:paraIdParent="021223F3" w15:done="0"/>
  <w15:commentEx w15:paraId="7A36192A" w15:done="0"/>
  <w15:commentEx w15:paraId="5B8443B7" w15:done="1"/>
  <w15:commentEx w15:paraId="4C6AC411" w15:done="0"/>
  <w15:commentEx w15:paraId="4E80129C" w15:paraIdParent="4C6AC411" w15:done="0"/>
  <w15:commentEx w15:paraId="0CEAC413" w15:paraIdParent="4C6AC411" w15:done="0"/>
  <w15:commentEx w15:paraId="776556A8" w15:done="0"/>
  <w15:commentEx w15:paraId="763D8A91" w15:done="0"/>
  <w15:commentEx w15:paraId="0A2C9749" w15:paraIdParent="763D8A91" w15:done="0"/>
  <w15:commentEx w15:paraId="674FD3BE" w15:done="0"/>
  <w15:commentEx w15:paraId="1F69DA66" w15:done="0"/>
  <w15:commentEx w15:paraId="5D36C521" w15:paraIdParent="1F69DA66" w15:done="0"/>
  <w15:commentEx w15:paraId="1AEF4160" w15:done="0"/>
  <w15:commentEx w15:paraId="5C9098B6" w15:paraIdParent="1AEF4160" w15:done="0"/>
  <w15:commentEx w15:paraId="60EFF882" w15:done="0"/>
  <w15:commentEx w15:paraId="11847F66" w15:done="0"/>
  <w15:commentEx w15:paraId="61CF42B2" w15:done="0"/>
  <w15:commentEx w15:paraId="457EC8E9" w15:done="0"/>
  <w15:commentEx w15:paraId="240AE7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3BB0C4" w16cex:dateUtc="2026-08-27T18:23:00Z">
    <w16cex:extLst>
      <w16:ext w16:uri="{CE6994B0-6A32-4C9F-8C6B-6E91EDA988CE}">
        <cr:reactions xmlns:cr="http://schemas.microsoft.com/office/comments/2020/reactions">
          <cr:reaction reactionType="1">
            <cr:reactionInfo dateUtc="2026-09-04T00:12:03Z">
              <cr:user userId="S::mccloskw@oregonstate.edu::b1990487-ee44-4922-b58f-5b2980a02730" userProvider="AD" userName="McCloskey, Ross"/>
            </cr:reactionInfo>
          </cr:reaction>
        </cr:reactions>
      </w16:ext>
    </w16cex:extLst>
  </w16cex:commentExtensible>
  <w16cex:commentExtensible w16cex:durableId="03FE2B67" w16cex:dateUtc="2026-08-18T19:36:00Z"/>
  <w16cex:commentExtensible w16cex:durableId="2C3AF867" w16cex:dateUtc="2026-08-18T20:05:00Z"/>
  <w16cex:commentExtensible w16cex:durableId="60EC0075" w16cex:dateUtc="2026-08-27T18:16:00Z"/>
  <w16cex:commentExtensible w16cex:durableId="5FC70A75" w16cex:dateUtc="2026-08-28T14:42:00Z">
    <w16cex:extLst>
      <w16:ext w16:uri="{CE6994B0-6A32-4C9F-8C6B-6E91EDA988CE}">
        <cr:reactions xmlns:cr="http://schemas.microsoft.com/office/comments/2020/reactions">
          <cr:reaction reactionType="1">
            <cr:reactionInfo dateUtc="2026-09-04T00:15:06Z">
              <cr:user userId="S::mccloskw@oregonstate.edu::b1990487-ee44-4922-b58f-5b2980a02730" userProvider="AD" userName="McCloskey, Ross"/>
            </cr:reactionInfo>
          </cr:reaction>
        </cr:reactions>
      </w16:ext>
    </w16cex:extLst>
  </w16cex:commentExtensible>
  <w16cex:commentExtensible w16cex:durableId="0798161C" w16cex:dateUtc="2026-08-18T20:06:00Z"/>
  <w16cex:commentExtensible w16cex:durableId="2B4ADF92" w16cex:dateUtc="2026-08-18T20:12:00Z"/>
  <w16cex:commentExtensible w16cex:durableId="0EE97655" w16cex:dateUtc="2026-08-25T18:29:00Z"/>
  <w16cex:commentExtensible w16cex:durableId="16DB37DF" w16cex:dateUtc="2026-08-28T21:13:00Z"/>
  <w16cex:commentExtensible w16cex:durableId="318C9CE1" w16cex:dateUtc="2026-08-28T16:18:00Z">
    <w16cex:extLst>
      <w16:ext w16:uri="{CE6994B0-6A32-4C9F-8C6B-6E91EDA988CE}">
        <cr:reactions xmlns:cr="http://schemas.microsoft.com/office/comments/2020/reactions">
          <cr:reaction reactionType="1">
            <cr:reactionInfo dateUtc="2026-09-04T00:15:23Z">
              <cr:user userId="S::mccloskw@oregonstate.edu::b1990487-ee44-4922-b58f-5b2980a02730" userProvider="AD" userName="McCloskey, Ross"/>
            </cr:reactionInfo>
          </cr:reaction>
        </cr:reactions>
      </w16:ext>
    </w16cex:extLst>
  </w16cex:commentExtensible>
  <w16cex:commentExtensible w16cex:durableId="167F67C8" w16cex:dateUtc="2026-08-18T20:29:00Z"/>
  <w16cex:commentExtensible w16cex:durableId="60C23C39" w16cex:dateUtc="2026-08-28T21:16:00Z">
    <w16cex:extLst>
      <w16:ext w16:uri="{CE6994B0-6A32-4C9F-8C6B-6E91EDA988CE}">
        <cr:reactions xmlns:cr="http://schemas.microsoft.com/office/comments/2020/reactions">
          <cr:reaction reactionType="1">
            <cr:reactionInfo dateUtc="2026-09-04T00:19:53Z">
              <cr:user userId="S::mccloskw@oregonstate.edu::b1990487-ee44-4922-b58f-5b2980a02730" userProvider="AD" userName="McCloskey, Ross"/>
            </cr:reactionInfo>
          </cr:reaction>
        </cr:reactions>
      </w16:ext>
    </w16cex:extLst>
  </w16cex:commentExtensible>
  <w16cex:commentExtensible w16cex:durableId="0E35137F" w16cex:dateUtc="2026-09-07T18:52:00Z"/>
  <w16cex:commentExtensible w16cex:durableId="120E2433" w16cex:dateUtc="2026-08-18T19:58:00Z"/>
  <w16cex:commentExtensible w16cex:durableId="24A17EB3" w16cex:dateUtc="2026-09-04T00:40:00Z"/>
  <w16cex:commentExtensible w16cex:durableId="2D06587C" w16cex:dateUtc="2026-09-07T19:07:00Z"/>
  <w16cex:commentExtensible w16cex:durableId="4C2C3F5B" w16cex:dateUtc="2026-09-07T19:10:00Z"/>
  <w16cex:commentExtensible w16cex:durableId="1803F2CB" w16cex:dateUtc="2026-09-04T01:06:00Z"/>
  <w16cex:commentExtensible w16cex:durableId="2CEF65EE" w16cex:dateUtc="2026-09-04T01:07:00Z"/>
  <w16cex:commentExtensible w16cex:durableId="390A3A60" w16cex:dateUtc="2026-09-04T01:07:00Z"/>
  <w16cex:commentExtensible w16cex:durableId="285C1B87" w16cex:dateUtc="2026-09-07T19:33:00Z"/>
  <w16cex:commentExtensible w16cex:durableId="2526330B" w16cex:dateUtc="2026-09-07T2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84BF3" w16cid:durableId="613BB0C4"/>
  <w16cid:commentId w16cid:paraId="2F1B268D" w16cid:durableId="03FE2B67"/>
  <w16cid:commentId w16cid:paraId="021223F3" w16cid:durableId="2C3AF867"/>
  <w16cid:commentId w16cid:paraId="796C364A" w16cid:durableId="60EC0075"/>
  <w16cid:commentId w16cid:paraId="7A36192A" w16cid:durableId="5FC70A75"/>
  <w16cid:commentId w16cid:paraId="5B8443B7" w16cid:durableId="0798161C"/>
  <w16cid:commentId w16cid:paraId="4C6AC411" w16cid:durableId="2B4ADF92"/>
  <w16cid:commentId w16cid:paraId="4E80129C" w16cid:durableId="0EE97655"/>
  <w16cid:commentId w16cid:paraId="0CEAC413" w16cid:durableId="16DB37DF"/>
  <w16cid:commentId w16cid:paraId="776556A8" w16cid:durableId="318C9CE1"/>
  <w16cid:commentId w16cid:paraId="763D8A91" w16cid:durableId="167F67C8"/>
  <w16cid:commentId w16cid:paraId="0A2C9749" w16cid:durableId="60C23C39"/>
  <w16cid:commentId w16cid:paraId="674FD3BE" w16cid:durableId="0E35137F"/>
  <w16cid:commentId w16cid:paraId="1F69DA66" w16cid:durableId="120E2433"/>
  <w16cid:commentId w16cid:paraId="5D36C521" w16cid:durableId="24A17EB3"/>
  <w16cid:commentId w16cid:paraId="1AEF4160" w16cid:durableId="2D06587C"/>
  <w16cid:commentId w16cid:paraId="5C9098B6" w16cid:durableId="4C2C3F5B"/>
  <w16cid:commentId w16cid:paraId="60EFF882" w16cid:durableId="1803F2CB"/>
  <w16cid:commentId w16cid:paraId="11847F66" w16cid:durableId="2CEF65EE"/>
  <w16cid:commentId w16cid:paraId="61CF42B2" w16cid:durableId="390A3A60"/>
  <w16cid:commentId w16cid:paraId="457EC8E9" w16cid:durableId="285C1B87"/>
  <w16cid:commentId w16cid:paraId="240AE705" w16cid:durableId="252633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ay, Luke Andrew">
    <w15:presenceInfo w15:providerId="AD" w15:userId="S::bobayl@oregonstate.edu::51702319-4e48-496d-9001-3f54d6daf042"/>
  </w15:person>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2023"/>
    <w:rsid w:val="00013228"/>
    <w:rsid w:val="000179E0"/>
    <w:rsid w:val="000329E6"/>
    <w:rsid w:val="0003408B"/>
    <w:rsid w:val="0003588C"/>
    <w:rsid w:val="00036569"/>
    <w:rsid w:val="000422F8"/>
    <w:rsid w:val="00045C30"/>
    <w:rsid w:val="00051023"/>
    <w:rsid w:val="00056EB0"/>
    <w:rsid w:val="00073331"/>
    <w:rsid w:val="00073AEF"/>
    <w:rsid w:val="0007479F"/>
    <w:rsid w:val="00074A37"/>
    <w:rsid w:val="000A0F1A"/>
    <w:rsid w:val="000B5C8B"/>
    <w:rsid w:val="000D2FB7"/>
    <w:rsid w:val="000D6DD6"/>
    <w:rsid w:val="000F5EA2"/>
    <w:rsid w:val="000F5EA3"/>
    <w:rsid w:val="001013FF"/>
    <w:rsid w:val="00110242"/>
    <w:rsid w:val="001269B6"/>
    <w:rsid w:val="0013665A"/>
    <w:rsid w:val="001366D6"/>
    <w:rsid w:val="0014193D"/>
    <w:rsid w:val="0014295B"/>
    <w:rsid w:val="0014628A"/>
    <w:rsid w:val="0015125F"/>
    <w:rsid w:val="00155087"/>
    <w:rsid w:val="00166DF3"/>
    <w:rsid w:val="00174277"/>
    <w:rsid w:val="001813A1"/>
    <w:rsid w:val="001860AC"/>
    <w:rsid w:val="00191EA4"/>
    <w:rsid w:val="00196E2D"/>
    <w:rsid w:val="001A6532"/>
    <w:rsid w:val="001A7C11"/>
    <w:rsid w:val="001C0BC1"/>
    <w:rsid w:val="001C409C"/>
    <w:rsid w:val="001C4787"/>
    <w:rsid w:val="001C4C0F"/>
    <w:rsid w:val="001C555A"/>
    <w:rsid w:val="001D22B8"/>
    <w:rsid w:val="001D7CC3"/>
    <w:rsid w:val="001E3A4F"/>
    <w:rsid w:val="001E3C4B"/>
    <w:rsid w:val="001E3F28"/>
    <w:rsid w:val="001E547D"/>
    <w:rsid w:val="001E6EA3"/>
    <w:rsid w:val="001F3F34"/>
    <w:rsid w:val="001F4A57"/>
    <w:rsid w:val="002050D6"/>
    <w:rsid w:val="00217F18"/>
    <w:rsid w:val="002227CA"/>
    <w:rsid w:val="00225EA7"/>
    <w:rsid w:val="00241E61"/>
    <w:rsid w:val="00243FA2"/>
    <w:rsid w:val="00263B2A"/>
    <w:rsid w:val="002736F3"/>
    <w:rsid w:val="00273CE5"/>
    <w:rsid w:val="002826AD"/>
    <w:rsid w:val="00285E42"/>
    <w:rsid w:val="002A052D"/>
    <w:rsid w:val="002A2056"/>
    <w:rsid w:val="002B34AD"/>
    <w:rsid w:val="002B3D66"/>
    <w:rsid w:val="002C0601"/>
    <w:rsid w:val="002E4113"/>
    <w:rsid w:val="002F3E81"/>
    <w:rsid w:val="00312F9D"/>
    <w:rsid w:val="00317731"/>
    <w:rsid w:val="003246A0"/>
    <w:rsid w:val="00340B81"/>
    <w:rsid w:val="003411FF"/>
    <w:rsid w:val="00350629"/>
    <w:rsid w:val="00350BBD"/>
    <w:rsid w:val="003511BE"/>
    <w:rsid w:val="00352F80"/>
    <w:rsid w:val="003600B0"/>
    <w:rsid w:val="00361B67"/>
    <w:rsid w:val="003647AC"/>
    <w:rsid w:val="00374B65"/>
    <w:rsid w:val="00381A32"/>
    <w:rsid w:val="00393369"/>
    <w:rsid w:val="003A45A1"/>
    <w:rsid w:val="003A6427"/>
    <w:rsid w:val="003A7D45"/>
    <w:rsid w:val="003B724D"/>
    <w:rsid w:val="003C55F5"/>
    <w:rsid w:val="003D309B"/>
    <w:rsid w:val="003D3264"/>
    <w:rsid w:val="003F0B83"/>
    <w:rsid w:val="003F65FE"/>
    <w:rsid w:val="00410471"/>
    <w:rsid w:val="004113AA"/>
    <w:rsid w:val="00413B61"/>
    <w:rsid w:val="00416033"/>
    <w:rsid w:val="00417D09"/>
    <w:rsid w:val="00434324"/>
    <w:rsid w:val="00435BD1"/>
    <w:rsid w:val="00435F79"/>
    <w:rsid w:val="00441A53"/>
    <w:rsid w:val="004511A7"/>
    <w:rsid w:val="00455278"/>
    <w:rsid w:val="004575B7"/>
    <w:rsid w:val="00461BB9"/>
    <w:rsid w:val="00461FBA"/>
    <w:rsid w:val="004638C0"/>
    <w:rsid w:val="00464F86"/>
    <w:rsid w:val="00467331"/>
    <w:rsid w:val="00480665"/>
    <w:rsid w:val="00485379"/>
    <w:rsid w:val="004879F4"/>
    <w:rsid w:val="004901C2"/>
    <w:rsid w:val="00490E2C"/>
    <w:rsid w:val="00494261"/>
    <w:rsid w:val="004A0FB5"/>
    <w:rsid w:val="004A601C"/>
    <w:rsid w:val="004A6767"/>
    <w:rsid w:val="004A6905"/>
    <w:rsid w:val="004C7D48"/>
    <w:rsid w:val="004D2F54"/>
    <w:rsid w:val="004E0B71"/>
    <w:rsid w:val="004E11AC"/>
    <w:rsid w:val="004E12CD"/>
    <w:rsid w:val="004E24A9"/>
    <w:rsid w:val="004F62F3"/>
    <w:rsid w:val="00501607"/>
    <w:rsid w:val="005053B5"/>
    <w:rsid w:val="005067C5"/>
    <w:rsid w:val="0050797B"/>
    <w:rsid w:val="00514F21"/>
    <w:rsid w:val="005166E6"/>
    <w:rsid w:val="00520973"/>
    <w:rsid w:val="005228C5"/>
    <w:rsid w:val="00525C19"/>
    <w:rsid w:val="00532A6C"/>
    <w:rsid w:val="00543FCD"/>
    <w:rsid w:val="005472BE"/>
    <w:rsid w:val="00553F2A"/>
    <w:rsid w:val="00556910"/>
    <w:rsid w:val="00563F50"/>
    <w:rsid w:val="00565CF9"/>
    <w:rsid w:val="00576703"/>
    <w:rsid w:val="00584331"/>
    <w:rsid w:val="005945D2"/>
    <w:rsid w:val="0059642C"/>
    <w:rsid w:val="005A34F0"/>
    <w:rsid w:val="005A7978"/>
    <w:rsid w:val="005B1264"/>
    <w:rsid w:val="005B3622"/>
    <w:rsid w:val="005B6DC3"/>
    <w:rsid w:val="005D1578"/>
    <w:rsid w:val="005E0081"/>
    <w:rsid w:val="005E116B"/>
    <w:rsid w:val="005E284A"/>
    <w:rsid w:val="005E508C"/>
    <w:rsid w:val="005E656F"/>
    <w:rsid w:val="00614ADF"/>
    <w:rsid w:val="006156FD"/>
    <w:rsid w:val="00624A4D"/>
    <w:rsid w:val="00624A54"/>
    <w:rsid w:val="0062773F"/>
    <w:rsid w:val="00633FF4"/>
    <w:rsid w:val="00635AEA"/>
    <w:rsid w:val="00642639"/>
    <w:rsid w:val="006429C0"/>
    <w:rsid w:val="00643520"/>
    <w:rsid w:val="00650D3A"/>
    <w:rsid w:val="00655DF5"/>
    <w:rsid w:val="0066049B"/>
    <w:rsid w:val="00661AD6"/>
    <w:rsid w:val="00663747"/>
    <w:rsid w:val="0066583C"/>
    <w:rsid w:val="00666F7B"/>
    <w:rsid w:val="00680E34"/>
    <w:rsid w:val="006811CA"/>
    <w:rsid w:val="00682E3B"/>
    <w:rsid w:val="006878C0"/>
    <w:rsid w:val="006955A6"/>
    <w:rsid w:val="006A441B"/>
    <w:rsid w:val="006A5A52"/>
    <w:rsid w:val="006B0B32"/>
    <w:rsid w:val="006D38F2"/>
    <w:rsid w:val="006D744D"/>
    <w:rsid w:val="006E7A6D"/>
    <w:rsid w:val="0070270B"/>
    <w:rsid w:val="00705ECA"/>
    <w:rsid w:val="00716D2E"/>
    <w:rsid w:val="00724926"/>
    <w:rsid w:val="007254ED"/>
    <w:rsid w:val="0075057E"/>
    <w:rsid w:val="00752993"/>
    <w:rsid w:val="00756C9B"/>
    <w:rsid w:val="007622CC"/>
    <w:rsid w:val="00762702"/>
    <w:rsid w:val="007638DF"/>
    <w:rsid w:val="0077607F"/>
    <w:rsid w:val="00785AF0"/>
    <w:rsid w:val="00794531"/>
    <w:rsid w:val="00796201"/>
    <w:rsid w:val="007A42CB"/>
    <w:rsid w:val="007A52BF"/>
    <w:rsid w:val="007B44F8"/>
    <w:rsid w:val="007B7E8F"/>
    <w:rsid w:val="007D02B3"/>
    <w:rsid w:val="007D245A"/>
    <w:rsid w:val="007D3CA1"/>
    <w:rsid w:val="007E0ACC"/>
    <w:rsid w:val="007E130E"/>
    <w:rsid w:val="007E7589"/>
    <w:rsid w:val="00824841"/>
    <w:rsid w:val="00824FEC"/>
    <w:rsid w:val="0082539F"/>
    <w:rsid w:val="00826689"/>
    <w:rsid w:val="00826A33"/>
    <w:rsid w:val="0083671B"/>
    <w:rsid w:val="008518D4"/>
    <w:rsid w:val="00851E58"/>
    <w:rsid w:val="00852AFF"/>
    <w:rsid w:val="008544F1"/>
    <w:rsid w:val="00855538"/>
    <w:rsid w:val="00860CF6"/>
    <w:rsid w:val="00860E67"/>
    <w:rsid w:val="008634A9"/>
    <w:rsid w:val="00883932"/>
    <w:rsid w:val="00884195"/>
    <w:rsid w:val="0088423C"/>
    <w:rsid w:val="0089170B"/>
    <w:rsid w:val="008A109A"/>
    <w:rsid w:val="008A2030"/>
    <w:rsid w:val="008C3CA6"/>
    <w:rsid w:val="008C6B01"/>
    <w:rsid w:val="008D5367"/>
    <w:rsid w:val="008D53EF"/>
    <w:rsid w:val="008E1B9B"/>
    <w:rsid w:val="008E419C"/>
    <w:rsid w:val="008F02B9"/>
    <w:rsid w:val="008F647F"/>
    <w:rsid w:val="0090034F"/>
    <w:rsid w:val="00903865"/>
    <w:rsid w:val="00905D9C"/>
    <w:rsid w:val="00910101"/>
    <w:rsid w:val="00920410"/>
    <w:rsid w:val="00931014"/>
    <w:rsid w:val="00943701"/>
    <w:rsid w:val="00945CA1"/>
    <w:rsid w:val="00956532"/>
    <w:rsid w:val="00956633"/>
    <w:rsid w:val="009625C6"/>
    <w:rsid w:val="009733A8"/>
    <w:rsid w:val="00974EBE"/>
    <w:rsid w:val="00992616"/>
    <w:rsid w:val="009948C8"/>
    <w:rsid w:val="009A6271"/>
    <w:rsid w:val="009B00D7"/>
    <w:rsid w:val="009B20E9"/>
    <w:rsid w:val="009B332C"/>
    <w:rsid w:val="009B4152"/>
    <w:rsid w:val="009B72BE"/>
    <w:rsid w:val="009C4C74"/>
    <w:rsid w:val="009D0E39"/>
    <w:rsid w:val="009D1D41"/>
    <w:rsid w:val="009D242D"/>
    <w:rsid w:val="009E2A8B"/>
    <w:rsid w:val="009E52C4"/>
    <w:rsid w:val="009E7309"/>
    <w:rsid w:val="009F702D"/>
    <w:rsid w:val="009F7822"/>
    <w:rsid w:val="00A012AB"/>
    <w:rsid w:val="00A155FE"/>
    <w:rsid w:val="00A2677C"/>
    <w:rsid w:val="00A26F1E"/>
    <w:rsid w:val="00A31F5D"/>
    <w:rsid w:val="00A40481"/>
    <w:rsid w:val="00A449D3"/>
    <w:rsid w:val="00A50F1D"/>
    <w:rsid w:val="00A5340A"/>
    <w:rsid w:val="00A545DE"/>
    <w:rsid w:val="00A56D18"/>
    <w:rsid w:val="00A64097"/>
    <w:rsid w:val="00A7263A"/>
    <w:rsid w:val="00A81F94"/>
    <w:rsid w:val="00A95481"/>
    <w:rsid w:val="00A9626B"/>
    <w:rsid w:val="00AA191D"/>
    <w:rsid w:val="00AA28D8"/>
    <w:rsid w:val="00AC5338"/>
    <w:rsid w:val="00AD12FC"/>
    <w:rsid w:val="00AD5ABC"/>
    <w:rsid w:val="00AD6022"/>
    <w:rsid w:val="00AD6F4E"/>
    <w:rsid w:val="00AE209F"/>
    <w:rsid w:val="00AE2126"/>
    <w:rsid w:val="00AE7159"/>
    <w:rsid w:val="00AF036C"/>
    <w:rsid w:val="00AF0685"/>
    <w:rsid w:val="00AF7B28"/>
    <w:rsid w:val="00B018DE"/>
    <w:rsid w:val="00B16C42"/>
    <w:rsid w:val="00B16F79"/>
    <w:rsid w:val="00B37C7A"/>
    <w:rsid w:val="00B40B38"/>
    <w:rsid w:val="00B41A14"/>
    <w:rsid w:val="00B57A56"/>
    <w:rsid w:val="00B601DD"/>
    <w:rsid w:val="00B61E31"/>
    <w:rsid w:val="00B64419"/>
    <w:rsid w:val="00B65034"/>
    <w:rsid w:val="00B7062D"/>
    <w:rsid w:val="00B85AD5"/>
    <w:rsid w:val="00BA11AD"/>
    <w:rsid w:val="00BA2B40"/>
    <w:rsid w:val="00BA6212"/>
    <w:rsid w:val="00BA6ADE"/>
    <w:rsid w:val="00BB3B43"/>
    <w:rsid w:val="00BC019A"/>
    <w:rsid w:val="00BC560D"/>
    <w:rsid w:val="00BD5624"/>
    <w:rsid w:val="00C04DA1"/>
    <w:rsid w:val="00C147F1"/>
    <w:rsid w:val="00C21F7C"/>
    <w:rsid w:val="00C2372B"/>
    <w:rsid w:val="00C27AC9"/>
    <w:rsid w:val="00C32911"/>
    <w:rsid w:val="00C43565"/>
    <w:rsid w:val="00C4544A"/>
    <w:rsid w:val="00C461B9"/>
    <w:rsid w:val="00C532A5"/>
    <w:rsid w:val="00C6078B"/>
    <w:rsid w:val="00C6190C"/>
    <w:rsid w:val="00C637AC"/>
    <w:rsid w:val="00C660BE"/>
    <w:rsid w:val="00C708CB"/>
    <w:rsid w:val="00C81B12"/>
    <w:rsid w:val="00C903B8"/>
    <w:rsid w:val="00C90B8A"/>
    <w:rsid w:val="00C94D00"/>
    <w:rsid w:val="00C97163"/>
    <w:rsid w:val="00CA1CE2"/>
    <w:rsid w:val="00CA286B"/>
    <w:rsid w:val="00CB0420"/>
    <w:rsid w:val="00CB5111"/>
    <w:rsid w:val="00CB7566"/>
    <w:rsid w:val="00CC24C0"/>
    <w:rsid w:val="00CC2B07"/>
    <w:rsid w:val="00CC3AC6"/>
    <w:rsid w:val="00CC6883"/>
    <w:rsid w:val="00CD5097"/>
    <w:rsid w:val="00CE2FC6"/>
    <w:rsid w:val="00CF1DE3"/>
    <w:rsid w:val="00CF67AE"/>
    <w:rsid w:val="00CF67EC"/>
    <w:rsid w:val="00D04EA2"/>
    <w:rsid w:val="00D1643A"/>
    <w:rsid w:val="00D30611"/>
    <w:rsid w:val="00D367E1"/>
    <w:rsid w:val="00D431E7"/>
    <w:rsid w:val="00D45259"/>
    <w:rsid w:val="00D50AF7"/>
    <w:rsid w:val="00D53C02"/>
    <w:rsid w:val="00D558C1"/>
    <w:rsid w:val="00D612C2"/>
    <w:rsid w:val="00D61FDF"/>
    <w:rsid w:val="00D7240E"/>
    <w:rsid w:val="00D8138A"/>
    <w:rsid w:val="00D81E20"/>
    <w:rsid w:val="00D82DA2"/>
    <w:rsid w:val="00D87B9A"/>
    <w:rsid w:val="00D919C0"/>
    <w:rsid w:val="00D95383"/>
    <w:rsid w:val="00DA06BA"/>
    <w:rsid w:val="00DA2CC1"/>
    <w:rsid w:val="00DA3FB4"/>
    <w:rsid w:val="00DB03FC"/>
    <w:rsid w:val="00DB6493"/>
    <w:rsid w:val="00DC2FF2"/>
    <w:rsid w:val="00DD7E7D"/>
    <w:rsid w:val="00DD7F22"/>
    <w:rsid w:val="00DE1D8D"/>
    <w:rsid w:val="00DF4B39"/>
    <w:rsid w:val="00DF592A"/>
    <w:rsid w:val="00DF623E"/>
    <w:rsid w:val="00E04C54"/>
    <w:rsid w:val="00E11EF5"/>
    <w:rsid w:val="00E168AC"/>
    <w:rsid w:val="00E25554"/>
    <w:rsid w:val="00E313CA"/>
    <w:rsid w:val="00E42CE3"/>
    <w:rsid w:val="00E47FCA"/>
    <w:rsid w:val="00E637F1"/>
    <w:rsid w:val="00E64DEF"/>
    <w:rsid w:val="00E6748D"/>
    <w:rsid w:val="00E76AEB"/>
    <w:rsid w:val="00E82058"/>
    <w:rsid w:val="00E82241"/>
    <w:rsid w:val="00E82C62"/>
    <w:rsid w:val="00E86440"/>
    <w:rsid w:val="00EA43BE"/>
    <w:rsid w:val="00EA4AC4"/>
    <w:rsid w:val="00EA7BA1"/>
    <w:rsid w:val="00EB22A2"/>
    <w:rsid w:val="00EB5A95"/>
    <w:rsid w:val="00ED380A"/>
    <w:rsid w:val="00ED4071"/>
    <w:rsid w:val="00ED4280"/>
    <w:rsid w:val="00ED46FB"/>
    <w:rsid w:val="00EF39E9"/>
    <w:rsid w:val="00EF6175"/>
    <w:rsid w:val="00F058F4"/>
    <w:rsid w:val="00F07BFB"/>
    <w:rsid w:val="00F109BB"/>
    <w:rsid w:val="00F116D9"/>
    <w:rsid w:val="00F22043"/>
    <w:rsid w:val="00F25CA3"/>
    <w:rsid w:val="00F331B9"/>
    <w:rsid w:val="00F33370"/>
    <w:rsid w:val="00F4306C"/>
    <w:rsid w:val="00F53015"/>
    <w:rsid w:val="00F53EA2"/>
    <w:rsid w:val="00F5410F"/>
    <w:rsid w:val="00F55037"/>
    <w:rsid w:val="00F61F58"/>
    <w:rsid w:val="00F64BA4"/>
    <w:rsid w:val="00F66332"/>
    <w:rsid w:val="00F7246C"/>
    <w:rsid w:val="00F8449D"/>
    <w:rsid w:val="00F905C9"/>
    <w:rsid w:val="00F91699"/>
    <w:rsid w:val="00F91ED4"/>
    <w:rsid w:val="00F951F4"/>
    <w:rsid w:val="00F96063"/>
    <w:rsid w:val="00FA2EDA"/>
    <w:rsid w:val="00FB37D5"/>
    <w:rsid w:val="00FB6252"/>
    <w:rsid w:val="00FB680D"/>
    <w:rsid w:val="00FC169F"/>
    <w:rsid w:val="00FD0F93"/>
    <w:rsid w:val="00FD378B"/>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 w:type="character" w:styleId="PlaceholderText">
    <w:name w:val="Placeholder Text"/>
    <w:basedOn w:val="DefaultParagraphFont"/>
    <w:uiPriority w:val="99"/>
    <w:semiHidden/>
    <w:rsid w:val="00BA2B4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6AE4D-B9CA-4F02-9CD6-274F100AA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5922</TotalTime>
  <Pages>8</Pages>
  <Words>10241</Words>
  <Characters>58375</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364</cp:revision>
  <dcterms:created xsi:type="dcterms:W3CDTF">2026-05-12T20:59:00Z</dcterms:created>
  <dcterms:modified xsi:type="dcterms:W3CDTF">2026-09-07T20:33:00Z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id="RMQ5nF14"/&gt;&lt;style id="http://www.zotero.org/styles/frontiers-in-marine-science" hasBibliography="1" bibliographyStyleHasBeenSet="0"/&gt;&lt;prefs&gt;&lt;pref name="fieldType" value="Field"/&gt;&lt;/prefs&gt;&lt;/data&gt;</vt:lpwstr>
  </property>
</Properties>
</file>