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ecosystem</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1"/>
      <w:commentRangeStart w:id="2"/>
      <w:r>
        <w:t>ABSTRACT</w:t>
      </w:r>
      <w:commentRangeEnd w:id="1"/>
      <w:r w:rsidR="00DF4B39">
        <w:rPr>
          <w:rStyle w:val="CommentReference"/>
          <w:sz w:val="24"/>
          <w:szCs w:val="24"/>
        </w:rPr>
        <w:commentReference w:id="1"/>
      </w:r>
      <w:commentRangeEnd w:id="2"/>
      <w:r w:rsidR="00F66332">
        <w:rPr>
          <w:rStyle w:val="CommentReference"/>
          <w:sz w:val="24"/>
          <w:szCs w:val="24"/>
        </w:rPr>
        <w:commentReference w:id="2"/>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35B7DB88"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r w:rsidR="00943701">
        <w:t xml:space="preserve"> </w:t>
      </w:r>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r w:rsidRPr="00DF4B39">
        <w:t>. For many of these species</w:t>
      </w:r>
      <w:r w:rsidR="00EA4AC4" w:rsidRPr="00DF4B39">
        <w:t>, peak spawning occurs in winter during which offshore transport is minimal</w:t>
      </w:r>
      <w:r w:rsidR="00943701">
        <w:t xml:space="preserve"> </w:t>
      </w:r>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r w:rsidR="00C660BE">
        <w:t>.</w:t>
      </w:r>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 xml:space="preserve">favorable for ship-based sampling </w:t>
      </w:r>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3"/>
      <w:r w:rsidR="0014193D" w:rsidRPr="00DF4B39">
        <w:t xml:space="preserve">. </w:t>
      </w:r>
      <w:commentRangeEnd w:id="3"/>
      <w:r w:rsidR="00DF4B39">
        <w:rPr>
          <w:rStyle w:val="CommentReference"/>
          <w:sz w:val="24"/>
          <w:szCs w:val="24"/>
        </w:rPr>
        <w:commentReference w:id="3"/>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 xml:space="preserve">less attention has been paid to fine-scale spatiotemporal and environmental factors that may </w:t>
      </w:r>
      <w:del w:id="4" w:author="McCloskey, Ross" w:date="2026-09-23T15:28:00Z" w16du:dateUtc="2026-09-23T22:28:00Z">
        <w:r w:rsidR="00F25CA3" w:rsidDel="00F07445">
          <w:delText xml:space="preserve">have </w:delText>
        </w:r>
      </w:del>
      <w:r w:rsidR="00FF2FCA">
        <w:t xml:space="preserve">influence </w:t>
      </w:r>
      <w:r w:rsidR="00F25CA3">
        <w:t>ichthyoplankton assemblage composition and abundance</w:t>
      </w:r>
      <w:r w:rsidR="00FF2FCA">
        <w:t xml:space="preserve"> through physical, ecological, and physiological mechanisms</w:t>
      </w:r>
      <w:r w:rsidR="00F25CA3">
        <w:t>.</w:t>
      </w:r>
    </w:p>
    <w:p w14:paraId="61CFCD68" w14:textId="37C2B03A" w:rsidR="00EA4AC4" w:rsidRPr="00DF4B39" w:rsidRDefault="00EA4AC4" w:rsidP="00241E61">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r w:rsidR="00B85AD5">
        <w:t>circulation</w:t>
      </w:r>
      <w:r w:rsidRPr="00DF4B39">
        <w:t xml:space="preserve">, and </w:t>
      </w:r>
      <w:r w:rsidR="00905D9C">
        <w:t>seafloor</w:t>
      </w:r>
      <w:r w:rsidR="00905D9C" w:rsidRPr="00DF4B39">
        <w:t xml:space="preserve"> </w:t>
      </w:r>
      <w:r w:rsidRPr="00DF4B39">
        <w:t>topography have been found to influence the composition, abundance, and distribution of larval fish</w:t>
      </w:r>
      <w:r w:rsidR="00E82241">
        <w:t xml:space="preserve"> </w:t>
      </w:r>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w:t>
      </w:r>
      <w:r w:rsidR="002A052D">
        <w:t>which</w:t>
      </w:r>
      <w:r w:rsidR="00B41A14">
        <w:t xml:space="preserve">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w:t>
      </w:r>
      <w:r w:rsidR="00B601DD">
        <w:t>-</w:t>
      </w:r>
      <w:r w:rsidR="00CB5111">
        <w:t>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5"/>
      <w:commentRangeStart w:id="6"/>
      <w:r w:rsidR="008544F1" w:rsidRPr="00DF4B39">
        <w:t>.</w:t>
      </w:r>
      <w:commentRangeEnd w:id="5"/>
      <w:r w:rsidR="00DF4B39" w:rsidRPr="00DF4B39">
        <w:rPr>
          <w:rStyle w:val="CommentReference"/>
          <w:sz w:val="24"/>
          <w:szCs w:val="24"/>
        </w:rPr>
        <w:commentReference w:id="5"/>
      </w:r>
      <w:commentRangeEnd w:id="6"/>
      <w:r w:rsidR="00D50AF7" w:rsidRPr="00DF4B39">
        <w:rPr>
          <w:rStyle w:val="CommentReference"/>
          <w:sz w:val="24"/>
          <w:szCs w:val="24"/>
        </w:rPr>
        <w:commentReference w:id="6"/>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777FDC0" w:rsidR="00434324" w:rsidRDefault="00956532" w:rsidP="00241E61">
      <w:r>
        <w:t>Field sampling took place</w:t>
      </w:r>
      <w:r w:rsidR="00BB3B43">
        <w:t xml:space="preserve"> </w:t>
      </w:r>
      <w:r>
        <w:t xml:space="preserve">in the NCC (41–47°N) on </w:t>
      </w:r>
      <w:r w:rsidR="00A361A5">
        <w:t xml:space="preserve">4 </w:t>
      </w:r>
      <w:r>
        <w:t xml:space="preserve">research cruises </w:t>
      </w:r>
      <w:r w:rsidR="005D1578">
        <w:t>during February 17–23, 2018; March 4–12, 2019; March 3–11, 2022; and February 17–26, 2023.</w:t>
      </w:r>
      <w:r>
        <w:t xml:space="preserve"> In 2018 and 2019, sampling took place</w:t>
      </w:r>
      <w:r w:rsidR="00553F2A">
        <w:t xml:space="preserve"> at </w:t>
      </w:r>
      <w:r w:rsidR="00A361A5">
        <w:t xml:space="preserve">5 </w:t>
      </w:r>
      <w:r w:rsidR="00553F2A">
        <w:t>stations</w:t>
      </w:r>
      <w:r>
        <w:t xml:space="preserve"> along</w:t>
      </w:r>
      <w:r w:rsidR="00553F2A">
        <w:t xml:space="preserve"> each of</w:t>
      </w:r>
      <w:r>
        <w:t xml:space="preserve"> </w:t>
      </w:r>
      <w:r w:rsidR="00A361A5">
        <w:t xml:space="preserve">2 </w:t>
      </w:r>
      <w:r>
        <w:t xml:space="preserve">cross-shelf transects, which were sampled multiple times during both day and night. In 2022 and 2023, </w:t>
      </w:r>
      <w:r w:rsidR="00A361A5">
        <w:t xml:space="preserve">4–6 </w:t>
      </w:r>
      <w:r>
        <w:t>cross-shelf transects</w:t>
      </w:r>
      <w:r w:rsidR="00553F2A">
        <w:t xml:space="preserve"> with </w:t>
      </w:r>
      <w:r w:rsidR="00A361A5">
        <w:t>3</w:t>
      </w:r>
      <w:r w:rsidR="00553F2A">
        <w:t>–6 stations each</w:t>
      </w:r>
      <w:r>
        <w:t xml:space="preserve"> were sampled once per cruise.</w:t>
      </w:r>
      <w:r w:rsidR="001F3F34">
        <w:t xml:space="preserve"> (Fig</w:t>
      </w:r>
      <w:r w:rsidR="00614027">
        <w:t>ure</w:t>
      </w:r>
      <w:r w:rsidR="001F3F34">
        <w:t xml:space="preserve"> 1A)</w:t>
      </w:r>
    </w:p>
    <w:p w14:paraId="5A06343A" w14:textId="09C499A2" w:rsidR="00956532" w:rsidRPr="00F81DB1" w:rsidRDefault="00956532" w:rsidP="00241E61">
      <w:pPr>
        <w:rPr>
          <w:i/>
          <w:iCs/>
        </w:rPr>
      </w:pPr>
      <w:r>
        <w:t>Plankton samples were collected using a coupled Multiple Opening/Closing Net and Environmental Sensing System (MOCNESS)</w:t>
      </w:r>
      <w:r w:rsidR="00553F2A">
        <w:t xml:space="preserve"> which had two sets of four nets. One set of nets had 1-m</w:t>
      </w:r>
      <w:r w:rsidR="00553F2A">
        <w:rPr>
          <w:vertAlign w:val="superscript"/>
        </w:rPr>
        <w:t>2</w:t>
      </w:r>
      <w:r w:rsidR="00553F2A">
        <w:t xml:space="preserve"> </w:t>
      </w:r>
      <w:r w:rsidR="001D22B8">
        <w:t>mouth</w:t>
      </w:r>
      <w:r w:rsidR="00A361A5">
        <w:t>s</w:t>
      </w:r>
      <w:r w:rsidR="00553F2A">
        <w:t xml:space="preserve"> and 333-µm mesh, while the other set had 4-m</w:t>
      </w:r>
      <w:r w:rsidR="00553F2A">
        <w:rPr>
          <w:vertAlign w:val="superscript"/>
        </w:rPr>
        <w:t>2</w:t>
      </w:r>
      <w:r w:rsidR="00553F2A">
        <w:t xml:space="preserve"> </w:t>
      </w:r>
      <w:r w:rsidR="001D22B8">
        <w:t>mouth</w:t>
      </w:r>
      <w:r w:rsidR="00A361A5">
        <w:t>s</w:t>
      </w:r>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xml:space="preserve">. </w:t>
      </w:r>
      <w:r w:rsidR="000D2CE3">
        <w:t>The MOCNESS was equipped with a flowmeter to allow estimation of the volume of water sampled during each net tow, a</w:t>
      </w:r>
      <w:r w:rsidR="00553F2A">
        <w:t xml:space="preserve"> depth sensor 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w:t>
      </w:r>
      <w:ins w:id="7" w:author="McCloskey, Ross" w:date="2026-09-23T15:33:00Z" w16du:dateUtc="2026-09-23T22:33:00Z">
        <w:r w:rsidR="00F07445">
          <w:t>ure</w:t>
        </w:r>
      </w:ins>
      <w:del w:id="8" w:author="McCloskey, Ross" w:date="2026-09-23T15:33:00Z" w16du:dateUtc="2026-09-23T22:33:00Z">
        <w:r w:rsidR="001F3F34" w:rsidDel="00F07445">
          <w:delText>.</w:delText>
        </w:r>
      </w:del>
      <w:r w:rsidR="001F3F34">
        <w:t xml:space="preserve"> 1B–C)</w:t>
      </w:r>
      <w:r w:rsidR="001D22B8">
        <w:t>. Upon retrieval of the MOCNESS, bulk plankton samples were preserved in 95% ethanol. All ichthyoplankton were then visually identified to the finest possible taxonomic resolution (usually genus- or species-level) and counted.</w:t>
      </w:r>
      <w:ins w:id="9" w:author="Bobay, Luke Andrew" w:date="2026-09-09T08:49:00Z" w16du:dateUtc="2026-09-09T15:49:00Z">
        <w:r w:rsidR="008E0B6D">
          <w:t xml:space="preserve"> </w:t>
        </w:r>
      </w:ins>
    </w:p>
    <w:p w14:paraId="75E0D72F" w14:textId="3320A5D9"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r w:rsidR="00A361A5">
        <w:t xml:space="preserve"> and </w:t>
      </w:r>
      <w:r w:rsidR="00FC5FF9">
        <w:t>used to measure dissolved oxygen (DO; mL L</w:t>
      </w:r>
      <w:r w:rsidR="00FC5FF9">
        <w:rPr>
          <w:vertAlign w:val="superscript"/>
        </w:rPr>
        <w:t>-1</w:t>
      </w:r>
      <w:r w:rsidR="00FC5FF9">
        <w:t>) and chlorophyll-</w:t>
      </w:r>
      <w:r w:rsidR="00FC5FF9">
        <w:rPr>
          <w:i/>
          <w:iCs/>
        </w:rPr>
        <w:t>a</w:t>
      </w:r>
      <w:r w:rsidR="00FC5FF9">
        <w:t xml:space="preserve"> (chl-</w:t>
      </w:r>
      <w:r w:rsidR="00FC5FF9">
        <w:rPr>
          <w:i/>
          <w:iCs/>
        </w:rPr>
        <w:t>a</w:t>
      </w:r>
      <w:r w:rsidR="00FC5FF9">
        <w:t>; mg m</w:t>
      </w:r>
      <w:r w:rsidR="00FC5FF9">
        <w:rPr>
          <w:vertAlign w:val="superscript"/>
        </w:rPr>
        <w:t>-3</w:t>
      </w:r>
      <w:r w:rsidR="00FC5FF9">
        <w:t>) at a rate of 24 Hz</w:t>
      </w:r>
      <w:r w:rsidR="00D919C0">
        <w:t xml:space="preserve">. </w:t>
      </w:r>
      <w:r w:rsidR="001F3F34">
        <w:t>At sampling stations where the seafloor was &lt; 100 m below the surface, the sensor package was used to</w:t>
      </w:r>
      <w:r w:rsidR="00FC5FF9">
        <w:t xml:space="preserve"> sample</w:t>
      </w:r>
      <w:r w:rsidR="001F3F34">
        <w:t xml:space="preserve"> 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w:t>
      </w:r>
      <w:ins w:id="10" w:author="McCloskey, Ross" w:date="2026-09-23T15:35:00Z" w16du:dateUtc="2026-09-23T22:35:00Z">
        <w:r w:rsidR="00F07445">
          <w:t>ure</w:t>
        </w:r>
      </w:ins>
      <w:del w:id="11" w:author="McCloskey, Ross" w:date="2026-09-23T15:35:00Z" w16du:dateUtc="2026-09-23T22:35:00Z">
        <w:r w:rsidR="00796201" w:rsidDel="00F07445">
          <w:delText>.</w:delText>
        </w:r>
      </w:del>
      <w:r w:rsidR="00796201">
        <w:t xml:space="preserve"> 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w:t>
      </w:r>
      <w:ins w:id="12" w:author="McCloskey, Ross" w:date="2026-09-23T15:35:00Z" w16du:dateUtc="2026-09-23T22:35:00Z">
        <w:r w:rsidR="00F07445">
          <w:t>ure</w:t>
        </w:r>
      </w:ins>
      <w:del w:id="13" w:author="McCloskey, Ross" w:date="2026-09-23T15:35:00Z" w16du:dateUtc="2026-09-23T22:35:00Z">
        <w:r w:rsidR="00796201" w:rsidDel="00F07445">
          <w:delText>.</w:delText>
        </w:r>
      </w:del>
      <w:r w:rsidR="00796201">
        <w:t xml:space="preserve">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lastRenderedPageBreak/>
        <w:t>2.2</w:t>
      </w:r>
      <w:r>
        <w:tab/>
      </w:r>
      <w:r w:rsidR="009B4152">
        <w:t>Statistical</w:t>
      </w:r>
      <w:r w:rsidR="004E11AC">
        <w:t xml:space="preserve"> </w:t>
      </w:r>
      <w:r w:rsidR="008F647F">
        <w:t>analysis</w:t>
      </w:r>
    </w:p>
    <w:p w14:paraId="289519AA" w14:textId="6968A61C" w:rsidR="00B57A56" w:rsidDel="00495D22" w:rsidRDefault="00E0136F" w:rsidP="00241E61">
      <w:pPr>
        <w:rPr>
          <w:del w:id="14" w:author="Bobay, Luke Andrew" w:date="2026-09-09T09:01:00Z" w16du:dateUtc="2026-09-09T16:01:00Z"/>
        </w:rPr>
      </w:pPr>
      <w:r>
        <w:t>Because some genera and species were rare, could only be identified to the family level (either because they were morphologically similar to co-occurring taxa or specimens were often damaged), or were considered very ecologically similar (</w:t>
      </w:r>
      <w:r>
        <w:rPr>
          <w:i/>
          <w:iCs/>
        </w:rPr>
        <w:t>i.e.</w:t>
      </w:r>
      <w:r>
        <w:t>, similar spawning habits and habitat affinity) to other taxa in the same family, some taxa were grouped within families (</w:t>
      </w:r>
      <w:r>
        <w:rPr>
          <w:i/>
          <w:iCs/>
        </w:rPr>
        <w:t>i.e.</w:t>
      </w:r>
      <w:r>
        <w:t>, Agonidae, Ammodytidae, Cottidae, Cyclopsettidae, Gadidae, Hexagrammidae, Osmeridae, and Psychrolutidae) prior to statistical analyses.</w:t>
      </w:r>
      <w:r>
        <w:rPr>
          <w:i/>
          <w:iCs/>
        </w:rPr>
        <w:t xml:space="preserve"> </w:t>
      </w:r>
      <w:r w:rsidR="00F058F4">
        <w:t xml:space="preserve">To further reduce noise in the data, </w:t>
      </w:r>
      <w:r w:rsidR="00563F50">
        <w:t xml:space="preserve">we </w:t>
      </w:r>
      <w:r>
        <w:t xml:space="preserve">omitted data for </w:t>
      </w:r>
      <w:r w:rsidR="0036218E">
        <w:t xml:space="preserve">other </w:t>
      </w:r>
      <w:r>
        <w:t>taxa present in fewer than 5% of samples</w:t>
      </w:r>
      <w:r w:rsidR="0007479F">
        <w:t xml:space="preserve"> </w:t>
      </w:r>
      <w:r w:rsidR="00884195">
        <w:t xml:space="preserve">and </w:t>
      </w:r>
      <w:r>
        <w:t>samples containing</w:t>
      </w:r>
      <w:r w:rsidR="00884195">
        <w:t xml:space="preserve"> fewer than </w:t>
      </w:r>
      <w:r w:rsidR="00A95481">
        <w:t xml:space="preserve">10 total individuals. </w:t>
      </w:r>
    </w:p>
    <w:p w14:paraId="1100B1E2" w14:textId="3180DF78" w:rsidR="00495D22" w:rsidRPr="00F81DB1" w:rsidRDefault="00495D22" w:rsidP="00241E61">
      <w:pPr>
        <w:rPr>
          <w:i/>
          <w:iCs/>
        </w:rPr>
      </w:pPr>
      <w:r>
        <w:rPr>
          <w:i/>
          <w:iCs/>
        </w:rPr>
        <w:t>Characterization of assemblages</w:t>
      </w:r>
    </w:p>
    <w:p w14:paraId="59FE776A" w14:textId="1F103CB1" w:rsidR="00155087" w:rsidRDefault="000D2CE3" w:rsidP="00241E61">
      <w:r>
        <w:t>Prior to multivariate analyses</w:t>
      </w:r>
      <w:r w:rsidR="00FB37D5">
        <w:t>,</w:t>
      </w:r>
      <w:r w:rsidR="00174277">
        <w:t xml:space="preserve"> </w:t>
      </w:r>
      <w:r w:rsidR="00DF592A">
        <w:t xml:space="preserve">the </w:t>
      </w:r>
      <w:r w:rsidR="0036218E">
        <w:t xml:space="preserve">concentration </w:t>
      </w:r>
      <w:r>
        <w:t>per unit of water sampled during the net tow in which</w:t>
      </w:r>
      <w:r w:rsidR="0036218E">
        <w:t xml:space="preserve"> </w:t>
      </w:r>
      <w:r w:rsidR="00DF592A">
        <w:t xml:space="preserve">each </w:t>
      </w:r>
      <w:r w:rsidR="0036218E">
        <w:t>sample</w:t>
      </w:r>
      <w:r>
        <w:t xml:space="preserve"> was collected (ind. m</w:t>
      </w:r>
      <w:r>
        <w:rPr>
          <w:vertAlign w:val="superscript"/>
        </w:rPr>
        <w:t>-3</w:t>
      </w:r>
      <w:r>
        <w:t>) of ichthyoplankton belonging to each taxonomic group</w:t>
      </w:r>
      <w:r w:rsidR="00DF592A">
        <w:t xml:space="preserve"> was</w:t>
      </w:r>
      <w:r w:rsidR="0036218E">
        <w:t xml:space="preserve"> first</w:t>
      </w:r>
      <w:r w:rsidR="00DF592A">
        <w:t xml:space="preserve"> square-root</w:t>
      </w:r>
      <w:r w:rsidR="0036218E">
        <w:t>-</w:t>
      </w:r>
      <w:r w:rsidR="00DF592A">
        <w:t xml:space="preserve">transformed. </w:t>
      </w:r>
      <w:r>
        <w:t xml:space="preserve">Transformed concentrations </w:t>
      </w:r>
      <w:r w:rsidR="00DF592A">
        <w:t xml:space="preserve">were then used to </w:t>
      </w:r>
      <w:r>
        <w:t xml:space="preserve">calculate </w:t>
      </w:r>
      <w:r w:rsidR="00DF592A">
        <w:t xml:space="preserve">Bray-Curtis dissimilarities </w:t>
      </w:r>
      <w:r w:rsidR="004B2CB6">
        <w:t xml:space="preserve">among </w:t>
      </w:r>
      <w:r w:rsidR="000B6B2C">
        <w:t>samples</w:t>
      </w:r>
      <w:r w:rsidR="00DF592A">
        <w:t>. Agglomerative hierarchal clustering was performed on th</w:t>
      </w:r>
      <w:r w:rsidR="009B20E9">
        <w:t xml:space="preserve">e </w:t>
      </w:r>
      <w:r w:rsidR="004B2CB6">
        <w:t xml:space="preserve">resulting </w:t>
      </w:r>
      <w:r w:rsidR="009B20E9">
        <w:t xml:space="preserve">dissimilarity matrix </w:t>
      </w:r>
      <w:r w:rsidR="004B2CB6">
        <w:t>using average linkage (Fig</w:t>
      </w:r>
      <w:ins w:id="15" w:author="McCloskey, Ross" w:date="2026-09-23T15:38:00Z" w16du:dateUtc="2026-09-23T22:38:00Z">
        <w:r w:rsidR="00F81DB1">
          <w:t>ure</w:t>
        </w:r>
      </w:ins>
      <w:del w:id="16" w:author="McCloskey, Ross" w:date="2026-09-23T15:38:00Z" w16du:dateUtc="2026-09-23T22:38:00Z">
        <w:r w:rsidR="004B2CB6" w:rsidDel="00F81DB1">
          <w:delText>.</w:delText>
        </w:r>
      </w:del>
      <w:r w:rsidR="004B2CB6">
        <w:t xml:space="preserve"> S1)</w:t>
      </w:r>
      <w:r w:rsidR="00C2372B">
        <w:t xml:space="preserve">. </w:t>
      </w:r>
      <w:r w:rsidR="004B2CB6">
        <w:t>The number of clusters used was chosen such that samples assigned to each cluster differed meaningfully in coarse adult habitat affinity and taxonomic composition (Fig</w:t>
      </w:r>
      <w:r w:rsidR="00614027">
        <w:t>ure</w:t>
      </w:r>
      <w:r w:rsidR="004B2CB6">
        <w:t xml:space="preserve"> 2</w:t>
      </w:r>
      <w:r w:rsidR="00614027">
        <w:t>A</w:t>
      </w:r>
      <w:r w:rsidR="004B2CB6">
        <w:t>)</w:t>
      </w:r>
      <w:r w:rsidR="00614027">
        <w:t>, which were interpreted as representing ecologically meaningful differences among clusters</w:t>
      </w:r>
      <w:del w:id="17" w:author="McCloskey, Ross" w:date="2026-09-23T15:40:00Z" w16du:dateUtc="2026-09-23T22:40:00Z">
        <w:r w:rsidR="004B2CB6" w:rsidDel="00F81DB1">
          <w:delText>.</w:delText>
        </w:r>
      </w:del>
      <w:r w:rsidR="00B65034">
        <w:t xml:space="preserve">. </w:t>
      </w:r>
      <w:r w:rsidR="00A87C92">
        <w:t>I</w:t>
      </w:r>
      <w:r w:rsidR="003D3264">
        <w:t>n</w:t>
      </w:r>
      <w:r w:rsidR="006D744D">
        <w:t>dicator species analysis</w:t>
      </w:r>
      <w:r w:rsidR="004D2F54">
        <w:t xml:space="preserve"> </w:t>
      </w:r>
      <w:r w:rsidR="006D744D">
        <w:t xml:space="preserve">was </w:t>
      </w:r>
      <w:r w:rsidR="009B539C">
        <w:t xml:space="preserve">used </w:t>
      </w:r>
      <w:r w:rsidR="00F07BFB">
        <w:t xml:space="preserve">to identify </w:t>
      </w:r>
      <w:r w:rsidR="005166E6">
        <w:t>dominant tax</w:t>
      </w:r>
      <w:r w:rsidR="009B539C">
        <w:t>a</w:t>
      </w:r>
      <w:r w:rsidR="005166E6">
        <w:t xml:space="preserve"> </w:t>
      </w:r>
      <w:r w:rsidR="009B539C">
        <w:t>in each</w:t>
      </w:r>
      <w:r w:rsidR="005166E6">
        <w:t xml:space="preserve"> cluster</w:t>
      </w:r>
      <w:r w:rsidR="006D744D">
        <w:t xml:space="preserve">. </w:t>
      </w:r>
      <w:r w:rsidR="009B539C">
        <w:t>Non-metric multidimensional scaling</w:t>
      </w:r>
      <w:r w:rsidR="006B0B32">
        <w:t xml:space="preserve"> </w:t>
      </w:r>
      <w:r w:rsidR="009B539C">
        <w:t>(</w:t>
      </w:r>
      <w:commentRangeStart w:id="18"/>
      <w:r w:rsidR="006B0B32">
        <w:t>NMDS</w:t>
      </w:r>
      <w:commentRangeEnd w:id="18"/>
      <w:r w:rsidR="00D93053">
        <w:rPr>
          <w:rStyle w:val="CommentReference"/>
          <w:sz w:val="24"/>
          <w:szCs w:val="24"/>
        </w:rPr>
        <w:commentReference w:id="18"/>
      </w:r>
      <w:r w:rsidR="009B539C">
        <w:t>)</w:t>
      </w:r>
      <w:r w:rsidR="006B0B32">
        <w:t xml:space="preserve"> was </w:t>
      </w:r>
      <w:r w:rsidR="009B539C">
        <w:t xml:space="preserve">used to visualize similarities in the taxonomic composition of samples belonging to each cluster, and post hoc correlations between spatiotemporal </w:t>
      </w:r>
      <w:r w:rsidR="00C42AB6">
        <w:t>factors</w:t>
      </w:r>
      <w:r w:rsidR="009B539C">
        <w:t xml:space="preserve"> and the composite NMDS axes were calculated to allow visualization of associations between these </w:t>
      </w:r>
      <w:r w:rsidR="00C42AB6">
        <w:t>factors</w:t>
      </w:r>
      <w:r w:rsidR="009B539C">
        <w:t xml:space="preserve"> and the NMDS ordination space</w:t>
      </w:r>
      <w:r w:rsidR="00752993">
        <w:t>.</w:t>
      </w:r>
      <w:r w:rsidR="00D85B67">
        <w:t xml:space="preserve"> </w:t>
      </w:r>
      <w:r w:rsidR="00004A73">
        <w:t xml:space="preserve">Because </w:t>
      </w:r>
      <w:r w:rsidR="002F22CC">
        <w:t>NMDS</w:t>
      </w:r>
      <w:r w:rsidR="00004A73">
        <w:t xml:space="preserve"> stress is sensitive to sample size</w:t>
      </w:r>
      <w:r w:rsidR="00C42AB6">
        <w:t>, dimensionality, and data structure</w:t>
      </w:r>
      <w:r w:rsidR="002F22CC">
        <w:t>,</w:t>
      </w:r>
      <w:r w:rsidR="005B050C">
        <w:t xml:space="preserve"> conventional stress thresholds do not allow robust evaluation of whether an ordination adequately represents variation in a dissimilarity matrix </w:t>
      </w:r>
      <w:r w:rsidR="005B050C">
        <w:fldChar w:fldCharType="begin"/>
      </w:r>
      <w:r w:rsidR="005B050C">
        <w:instrText xml:space="preserve"> ADDIN ZOTERO_ITEM CSL_CITATION {"citationID":"eVStWhGz","properties":{"unsorted":false,"formattedCitation":"(Clarke, 1993; Dexter et al., 2018)","plainCitation":"(Clarke, 1993; Dexter et al., 2018)","noteIndex":0},"citationItems":[{"id":55,"uris":["http://zotero.org/groups/6650714/items/3BIFQJ8A"],"itemData":{"id":55,"type":"article-journal","abstract":"In the early 1980s, a strategy for graphical representation of multivariate (multispecies) abundance data was introduced into marine ecology by, among others. Field, et al. (1982). A decade on, it is instructive to: (i) identify which elements of this often-quoted strategy have proved most useful in practical assessment of community change resulting from pollution impact; and (ii) ask to what extent evolution of techniques in the intervening years has added self-consistency and comprehensiveness to the approach. The pivotal concept has proved to be that of a biologically-relevant definition of similarity of two samples, and its utilization mainly in simple rank form, for example 'sample A is more similar to sample B than it is to sample C. Statistical assumptions about the data are thus minimized and the resulting non-parametric techniques will be of very general applicability. From such a starting point, a unified framework needs to encompass: (i) the display of community patterns through clustering and ordination of samples; (ii) identification of species principally responsible for determining sample groupings; (iii) statistical tests for differences in space and time (multivariate analogues of analysis of variance, based on rank similarities); and (iv) the linking of community differences to patterns in the physical and chemical environment (the latter also dictated by rank similarities between samples). Techniques are described that bring such a framework into place, and areas in which problems remain are identified. Accumulated practical experience with these methods is discussed, in particular applications to marine benthos, and it is concluded tbat they have much to offer practitioners of environmental impact studies on communities.","container-title":"Australian Journal of Ecology","DOI":"10.1111/j.1442-9993.1993.tb00438.x","ISSN":"0307-692X","issue":"1","journalAbbreviation":"Australian Journal of Ecology","language":"en","license":"http://onlinelibrary.wiley.com/termsAndConditions#vor","page":"117-143","source":"DOI.org (Crossref)","title":"Non‐parametric multivariate analyses of changes in community structure","volume":"18","author":[{"family":"Clarke","given":"K. R."}],"issued":{"date-parts":[["1993",3]]}}},{"id":51,"uris":["http://zotero.org/groups/6650714/items/CHFY2M5N"],"itemData":{"id":51,"type":"article-journal","abstract":"Nonmetric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B050C">
        <w:fldChar w:fldCharType="separate"/>
      </w:r>
      <w:r w:rsidR="005B050C" w:rsidRPr="005B050C">
        <w:t>(Clarke, 1993; Dexter et al., 2018)</w:t>
      </w:r>
      <w:r w:rsidR="005B050C">
        <w:fldChar w:fldCharType="end"/>
      </w:r>
      <w:r w:rsidR="005B050C">
        <w:t>. Instead,</w:t>
      </w:r>
      <w:r w:rsidR="002F22CC">
        <w:t xml:space="preserve"> we </w:t>
      </w:r>
      <w:r w:rsidR="00621A53">
        <w:t>used a constrained swap algorithm that preserved sample sizes, total taxon abundances, and zero structure to permute the dissimilarity matrix 1000 times</w:t>
      </w:r>
      <w:r w:rsidR="005A3085">
        <w:t xml:space="preserve">, following Dexter et al. </w:t>
      </w:r>
      <w:r w:rsidR="005A3085">
        <w:fldChar w:fldCharType="begin"/>
      </w:r>
      <w:r w:rsidR="005A3085">
        <w:instrText xml:space="preserve"> ADDIN ZOTERO_ITEM CSL_CITATION {"citationID":"sGFtrwjE","properties":{"unsorted":false,"formattedCitation":"(Dexter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(2018)</w:t>
      </w:r>
      <w:r w:rsidR="005A3085">
        <w:fldChar w:fldCharType="end"/>
      </w:r>
      <w:r w:rsidR="005B050C">
        <w:t>. A 2-dimensional NMDS was then fit to each permutated matrix</w:t>
      </w:r>
      <w:r w:rsidR="00621A53">
        <w:t xml:space="preserve"> to obtain a null distribution of stress valu</w:t>
      </w:r>
      <w:r w:rsidR="005B050C">
        <w:t>es</w:t>
      </w:r>
      <w:r w:rsidR="005A3085">
        <w:t xml:space="preserve"> </w:t>
      </w:r>
      <w:r w:rsidR="005A3085">
        <w:fldChar w:fldCharType="begin"/>
      </w:r>
      <w:r w:rsidR="005A3085">
        <w:instrText xml:space="preserve"> ADDIN ZOTERO_ITEM CSL_CITATION {"citationID":"yGyOQIOF","properties":{"unsorted":false,"formattedCitation":"(Dexter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81F94">
        <w:t>.</w:t>
      </w:r>
      <w:r w:rsidR="00621A53">
        <w:t xml:space="preserve"> We compared the NMDS stress of our </w:t>
      </w:r>
      <w:r w:rsidR="005B050C">
        <w:t xml:space="preserve">observed </w:t>
      </w:r>
      <w:r w:rsidR="00621A53">
        <w:t xml:space="preserve">dissimilarity matrix to this null distribution </w:t>
      </w:r>
      <w:r w:rsidR="005B050C">
        <w:t xml:space="preserve">of stress values using a </w:t>
      </w:r>
      <w:r w:rsidR="005B050C" w:rsidRPr="00F81DB1">
        <w:rPr>
          <w:i/>
          <w:iCs/>
        </w:rPr>
        <w:t>z</w:t>
      </w:r>
      <w:r w:rsidR="005B050C">
        <w:t>-test to determine whether the observed stress was lower than expected under the null model</w:t>
      </w:r>
      <w:r w:rsidR="005A3085">
        <w:t xml:space="preserve"> </w:t>
      </w:r>
      <w:r w:rsidR="005A3085">
        <w:fldChar w:fldCharType="begin"/>
      </w:r>
      <w:r w:rsidR="005A3085">
        <w:instrText xml:space="preserve"> ADDIN ZOTERO_ITEM CSL_CITATION {"citationID":"tP4qH7vu","properties":{"unsorted":false,"formattedCitation":"(Dexter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ins w:id="19" w:author="Bobay, Luke Andrew" w:date="2026-09-09T14:18:00Z" w16du:dateUtc="2026-09-09T21:18:00Z">
        <w:r w:rsidR="005B050C">
          <w:t>.</w:t>
        </w:r>
      </w:ins>
      <w:del w:id="20" w:author="Bobay, Luke Andrew" w:date="2026-09-09T14:06:00Z" w16du:dateUtc="2026-09-09T21:06:00Z">
        <w:r w:rsidR="0050797B" w:rsidDel="00621A53">
          <w:delText xml:space="preserve"> </w:delText>
        </w:r>
      </w:del>
    </w:p>
    <w:p w14:paraId="02D5D222" w14:textId="55E825A0" w:rsidR="00D85B67" w:rsidRDefault="00D85B67" w:rsidP="00241E61">
      <w:r>
        <w:t>The “time of day” variable used in the NMDS post hoc correlations, as well as in all subsequent analyses, was calculated for each net tow as a normalized index of the start time of each net tow relative to local sunrise and sunset. Sunrise and sunset times were estimated for each net tow date and start location, and net tow start times were scaled by the duration of the corresponding day or night period. Values near 0 indicate sampling near sunrise or sunset, positive values indicate daytime sampling, negative values indicate nighttime sampling, and values near 1 or -1 indicate sampling near the midpoint of the day or night, respectively.</w:t>
      </w:r>
    </w:p>
    <w:p w14:paraId="6131AF6F" w14:textId="0C552717" w:rsidR="00495D22" w:rsidRPr="00F81DB1" w:rsidRDefault="00495D22" w:rsidP="00241E61">
      <w:pPr>
        <w:rPr>
          <w:i/>
          <w:iCs/>
        </w:rPr>
      </w:pPr>
      <w:r>
        <w:rPr>
          <w:i/>
          <w:iCs/>
        </w:rPr>
        <w:t>Environmental and spatiotemporal influences on assemblage composition</w:t>
      </w:r>
    </w:p>
    <w:p w14:paraId="704882E0" w14:textId="0913DB47" w:rsidR="00530038" w:rsidRPr="00980989" w:rsidRDefault="00530038" w:rsidP="00241E61">
      <w:r>
        <w:t xml:space="preserve">To assess the effects of environmental and spatiotemporal factors on ichthyoplankton assemblage composition, distance-based redundancy analysis (dbRDA) was used to model </w:t>
      </w:r>
      <w:r w:rsidR="000B6B2C">
        <w:t xml:space="preserve">variation in the Bray-Curtis dissimilarities among samples. A full model including effects of year, time of day, </w:t>
      </w:r>
      <w:r w:rsidR="00233059">
        <w:t>latitude,</w:t>
      </w:r>
      <w:r w:rsidR="00980989">
        <w:t xml:space="preserve"> net</w:t>
      </w:r>
      <w:r w:rsidR="00233059">
        <w:t xml:space="preserve"> tow depth, </w:t>
      </w:r>
      <w:r w:rsidR="00980989">
        <w:t>seafloor depth, temperature, salinity, DO, and chl-</w:t>
      </w:r>
      <w:r w:rsidR="00980989">
        <w:rPr>
          <w:i/>
          <w:iCs/>
        </w:rPr>
        <w:t>a</w:t>
      </w:r>
      <w:r w:rsidR="00980989">
        <w:t xml:space="preserve">, as well as a </w:t>
      </w:r>
      <w:r w:rsidR="00980989">
        <w:lastRenderedPageBreak/>
        <w:t xml:space="preserve">spatiotemporal base model, including effects of year, time of day, latitude, net tow depth, and seafloor depth, were fit. </w:t>
      </w:r>
      <w:r w:rsidR="00AF2B2A">
        <w:t xml:space="preserve">Raw and adjusted </w:t>
      </w:r>
      <w:r w:rsidR="00AF2B2A" w:rsidRPr="00F81DB1">
        <w:rPr>
          <w:i/>
          <w:iCs/>
        </w:rPr>
        <w:t>R</w:t>
      </w:r>
      <w:r w:rsidR="00AF2B2A">
        <w:rPr>
          <w:vertAlign w:val="superscript"/>
        </w:rPr>
        <w:t>2</w:t>
      </w:r>
      <w:r w:rsidR="00AF2B2A">
        <w:t xml:space="preserve"> was calculated for each model. </w:t>
      </w:r>
      <w:r w:rsidR="00980989">
        <w:t>Permutation-based ANOVA tests for constrained ordination models with 999 permutation</w:t>
      </w:r>
      <w:r w:rsidR="00AF2B2A">
        <w:t>s</w:t>
      </w:r>
      <w:r w:rsidR="00980989">
        <w:t xml:space="preserve"> were used to assess the significance of the variation explained by the spatiotemporal and full dbRDA models. The</w:t>
      </w:r>
      <w:r w:rsidR="00AF2B2A">
        <w:t xml:space="preserve"> significance of the</w:t>
      </w:r>
      <w:r w:rsidR="00980989">
        <w:t xml:space="preserve"> additional variation explained by the environmental covariates was assessed using </w:t>
      </w:r>
      <w:r w:rsidR="00AF2B2A">
        <w:t>a nested dbRDA model comparison, in which the full model was compared to the spatiotemporal model using a similar permutational ANOVA. Variance partitioning was used to estimate the variation in ichthyoplankton assemblage composition explained by the spatiotemporal covariates alone, the environmental covariates alone, and their shared component. Unique fractions were estimated as the adjusted variation explained by one covariate set after conditioning on the other, while the shared fraction represented variation jointly attributable to both covariate sets.</w:t>
      </w:r>
    </w:p>
    <w:p w14:paraId="25BC2577" w14:textId="31D26A65" w:rsidR="00495D22" w:rsidRPr="00F81DB1" w:rsidRDefault="00495D22" w:rsidP="00241E61">
      <w:pPr>
        <w:rPr>
          <w:i/>
          <w:iCs/>
        </w:rPr>
      </w:pPr>
      <w:r>
        <w:rPr>
          <w:i/>
          <w:iCs/>
        </w:rPr>
        <w:t>Taxon-specific diel variation in vertical abundance distribution</w:t>
      </w:r>
    </w:p>
    <w:p w14:paraId="6F5EA593" w14:textId="74791266" w:rsidR="00855538" w:rsidRDefault="00855538" w:rsidP="00241E61">
      <w:r>
        <w:t xml:space="preserve">A negative binomial generalized linear mixed effects model (GLMM) was fit to counts of </w:t>
      </w:r>
      <w:r w:rsidR="00530038">
        <w:t>ichthyoplankton belonging to</w:t>
      </w:r>
      <w:r>
        <w:t xml:space="preserve"> each taxon in each </w:t>
      </w:r>
      <w:r w:rsidR="0062773F">
        <w:t>sample</w:t>
      </w:r>
      <w:r>
        <w:t xml:space="preserve">. The log link was used and an offset for the log-transformed volume </w:t>
      </w:r>
      <w:r w:rsidR="00530038">
        <w:t xml:space="preserve">of water </w:t>
      </w:r>
      <w:r>
        <w:t xml:space="preserve">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21" w:author="Bobay, Luke Andrew" w:date="2026-08-29T00:39:00Z" w16du:dateUtc="2026-08-29T07:39:00Z">
        <w:r w:rsidR="00196E2D">
          <w:t xml:space="preserve"> </w:t>
        </w:r>
      </w:ins>
    </w:p>
    <w:p w14:paraId="1E2874AF" w14:textId="41595505" w:rsidR="00196E2D" w:rsidRDefault="00196E2D" w:rsidP="00196E2D">
      <w:r>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w:t>
      </w:r>
      <w:ins w:id="22" w:author="McCloskey, Ross" w:date="2026-09-23T15:47:00Z" w16du:dateUtc="2026-09-23T22:47:00Z">
        <w:r w:rsidR="00F81DB1">
          <w:t>ure</w:t>
        </w:r>
      </w:ins>
      <w:del w:id="23" w:author="McCloskey, Ross" w:date="2026-09-23T15:47:00Z" w16du:dateUtc="2026-09-23T22:47:00Z">
        <w:r w:rsidR="00AF0685" w:rsidDel="00F81DB1">
          <w:delText>.</w:delText>
        </w:r>
      </w:del>
      <w:r w:rsidR="00AF0685">
        <w:t xml:space="preserve">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w:t>
      </w:r>
      <w:ins w:id="24" w:author="McCloskey, Ross" w:date="2026-09-23T15:47:00Z" w16du:dateUtc="2026-09-23T22:47:00Z">
        <w:r w:rsidR="001F7986">
          <w:t>ure</w:t>
        </w:r>
      </w:ins>
      <w:del w:id="25" w:author="McCloskey, Ross" w:date="2026-09-23T15:47:00Z" w16du:dateUtc="2026-09-23T22:47:00Z">
        <w:r w:rsidR="00AF0685" w:rsidDel="001F7986">
          <w:delText>.</w:delText>
        </w:r>
      </w:del>
      <w:r w:rsidR="00AF0685">
        <w:t xml:space="preserve">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w:t>
      </w:r>
      <w:ins w:id="26" w:author="McCloskey, Ross" w:date="2026-09-23T15:48:00Z" w16du:dateUtc="2026-09-23T22:48:00Z">
        <w:r w:rsidR="001F7986">
          <w:t>ure</w:t>
        </w:r>
      </w:ins>
      <w:del w:id="27" w:author="McCloskey, Ross" w:date="2026-09-23T15:48:00Z" w16du:dateUtc="2026-09-23T22:48:00Z">
        <w:r w:rsidR="00AF0685" w:rsidDel="001F7986">
          <w:delText>.</w:delText>
        </w:r>
      </w:del>
      <w:r w:rsidR="00AF0685">
        <w:t xml:space="preserve"> 8)</w:t>
      </w:r>
      <w:r>
        <w:t>.</w:t>
      </w:r>
    </w:p>
    <w:p w14:paraId="72F5A6AC" w14:textId="5ACD503A" w:rsidR="009E1419" w:rsidRDefault="009E1419" w:rsidP="00196E2D">
      <w:r>
        <w:t>All statistical analyses were conducted using R version 4.5.2 (</w:t>
      </w:r>
      <w:commentRangeStart w:id="28"/>
      <w:r>
        <w:t>R Core Team</w:t>
      </w:r>
      <w:r w:rsidR="007C71F7">
        <w:t>,</w:t>
      </w:r>
      <w:r>
        <w:t xml:space="preserve"> 2025</w:t>
      </w:r>
      <w:commentRangeEnd w:id="28"/>
      <w:r w:rsidR="00530038">
        <w:rPr>
          <w:rStyle w:val="CommentReference"/>
          <w:sz w:val="24"/>
          <w:szCs w:val="24"/>
        </w:rPr>
        <w:commentReference w:id="28"/>
      </w:r>
      <w:r>
        <w:t xml:space="preserve">). </w:t>
      </w:r>
      <w:r w:rsidR="007C71F7">
        <w:t>Multivariate analyses were performed using</w:t>
      </w:r>
      <w:r w:rsidR="00A87C92">
        <w:t xml:space="preserve"> indicspecies version 1.8.0</w:t>
      </w:r>
      <w:r w:rsidR="007C71F7">
        <w:t xml:space="preserve"> </w:t>
      </w:r>
      <w:r w:rsidR="009B539C">
        <w:fldChar w:fldCharType="begin"/>
      </w:r>
      <w:r w:rsidR="009B539C">
        <w:instrText xml:space="preserve"> ADDIN ZOTERO_ITEM CSL_CITATION {"citationID":"7bcdIH8N","properties":{"unsorted":false,"formattedCitation":"(C\\uc0\\u225{}ceres and Legendre, 2009)","plainCitation":"(Cáceres and Legendre, 2009)","noteIndex":0},"citationItems":[{"id":48,"uris":["http://zotero.org/groups/6650714/items/T7XZX47N"],"itemData":{"id":48,"type":"article-journal","abstract":"Ecologists often face the task of studying the association between single species and one or several groups of sites representing habitat types, community types, or other categories. Besides characterizing the ecological preference of the species, the strength of the association usually presents a lot of interest for conservation biology, landscape mapping and management, and natural reserve design, among other applications. The indices most frequently employed to assess these relationships are the phi coefficient of association and the indicator value index (IndVal). We compare these two approaches by putting them into a broader framework of related measures, which includes several new indices. We present permutation tests to assess the statistical significance of species–site group associations and bootstrap methods for obtaining confidence intervals. Correlation measures, such as the phi coefficient, are more context-dependent than indicator values but allow focusing on the preference of the species. In contrast, the two components of an indicator value index directly assess the value of the species as a bioindicator because they can be interpreted as its positive predictive value and sensitivity. Ecologists should select the most appropriate index of association strength according to their objective and then compute confidence intervals to determine the precision of the estimate.","container-title":"Ecology","DOI":"10.1890/08-1823.1","ISSN":"1939-9170","issue":"12","language":"en","license":"© 2009 by the Ecological Society of America","page":"3566-3574","source":"Wiley Online Library","title":"Associations between species and groups of sites: indices and statistical inference","title-short":"Associations between species and groups of sites","volume":"90","author":[{"family":"Cáceres","given":"Miquel De"},{"family":"Legendre","given":"Pierre"}],"issued":{"date-parts":[["2009"]]}}}],"schema":"https://github.com/citation-style-language/schema/raw/master/csl-citation.json"} </w:instrText>
      </w:r>
      <w:r w:rsidR="009B539C">
        <w:fldChar w:fldCharType="separate"/>
      </w:r>
      <w:r w:rsidR="009B539C" w:rsidRPr="009B539C">
        <w:rPr>
          <w:kern w:val="0"/>
        </w:rPr>
        <w:t>(Cáceres and Legendre, 2009)</w:t>
      </w:r>
      <w:r w:rsidR="009B539C">
        <w:fldChar w:fldCharType="end"/>
      </w:r>
      <w:r w:rsidR="009B539C">
        <w:t xml:space="preserve"> and </w:t>
      </w:r>
      <w:r w:rsidR="007C71F7">
        <w:t xml:space="preserve">vegan version 2.7-6 </w:t>
      </w:r>
      <w:r w:rsidR="007C71F7">
        <w:fldChar w:fldCharType="begin"/>
      </w:r>
      <w:r w:rsidR="007C71F7">
        <w:instrText xml:space="preserve"> ADDIN ZOTERO_ITEM CSL_CITATION {"citationID":"HMaEP3gG","properties":{"unsorted":false,"formattedCitation":"(Oksanen et al., 2026)","plainCitation":"(Oksanen et al., 2026)","noteIndex":0},"citationItems":[{"id":45,"uris":["http://zotero.org/groups/6650714/items/T2GJ9I86"],"itemData":{"id":45,"type":"software","abstract":"Ordination methods, diversity analysis and other functions for community and vegetation ecologists.","license":"GPL-2","source":"R-Packages","title":"vegan: Community Ecology Package","title-short":"vegan","URL":"https://cran.r-project.org/web/packages/vegan/index.html","version":"2.7-6","author":[{"family":"Oksanen","given":"Jari"},{"family":"Simpson","given":"Gavin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engtsson","given":"Henrik"},{"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Antoniazi"},{"family":"FitzJohn","given":"Rich"},{"family":"Friendly","given":"Michael"},{"family":"Furneaux","given":"Brendan"},{"family":"Hannigan","given":"Geoffrey"},{"family":"Heida","given":"Isaac"},{"family":"Hill","given":"Mark O."},{"family":"Lahti","given":"Leo"},{"family":"Martino","given":"Cameron"},{"family":"McGlinn","given":"Dan"},{"family":"Ouellette","given":"Marie-Helene"},{"family":"Cunha","given":"Eduardo Ribeiro"},{"family":"Smith","given":"Tyler"},{"family":"Stier","given":"Adrian"},{"family":"Braak","given":"Cajo J. F. Ter"},{"family":"Weedon","given":"James"}],"accessed":{"date-parts":[["2026",9,9]]},"issued":{"date-parts":[["2026",8,31]]}}}],"schema":"https://github.com/citation-style-language/schema/raw/master/csl-citation.json"} </w:instrText>
      </w:r>
      <w:r w:rsidR="007C71F7">
        <w:fldChar w:fldCharType="separate"/>
      </w:r>
      <w:r w:rsidR="007C71F7" w:rsidRPr="007C71F7">
        <w:t>(Oksanen et al., 2026)</w:t>
      </w:r>
      <w:r w:rsidR="007C71F7">
        <w:fldChar w:fldCharType="end"/>
      </w:r>
      <w:r w:rsidR="007C71F7">
        <w:t xml:space="preserve">, and generalized linear mixed models were fit using glmmTMB version 1.1.14 </w:t>
      </w:r>
      <w:r w:rsidR="007C71F7">
        <w:fldChar w:fldCharType="begin"/>
      </w:r>
      <w:r w:rsidR="007C71F7">
        <w:instrText xml:space="preserve"> ADDIN ZOTERO_ITEM CSL_CITATION {"citationID":"24WNICmy","properties":{"unsorted":false,"formattedCitation":"(Brooks et al., 2017)","plainCitation":"(Brooks et al., 2017)","noteIndex":0},"citationItems":[{"id":46,"uris":["http://zotero.org/groups/6650714/items/EVUEHWWR"],"itemData":{"id":46,"type":"article-journal","abstract":"Count data can be analyzed using generalized linear mixed models when observations are correlated in ways that require random effects. However, count data are often *zero-inflated*, containing more zeros than would be expected from the typical error distributions. We present a new package, *glmmTMB*, and compare it to other R packages that fit zero-inflated mixed models. The *glmmTMB* package fits many types of GLMMs and extensions, including models with continuously distributed responses, but here we focus on count responses. *glmmTMB* is faster than *glmmADMB*, *MCMCglmm*, and *brms*, and more flexible than *INLA* and *mgcv* for zero-inflated modeling. One unique feature of *glmmTMB* (among packages that fit zero-inflated mixed models) is its ability to estimate the Conway-Maxwell-Poisson distribution parameterized by the mean. Overall, its most appealing features for new users may be the combination of speed, flexibility, and its interface's similarity to *lme4*.","container-title":"The R Journal","DOI":"10.32614/RJ-2017-066","ISSN":"2073-4859","issue":"2","page":"378-400","source":"journal.r-project.org","title":"The R Journal: glmmTMB Balances Speed and Flexibility Among Packages for Zero-inflated Generalized Linear Mixed Modeling","title-short":"The R Journal","volume":"9","author":[{"family":"Brooks","given":"Mollie E."},{"family":"Kristensen","given":"Kasper"},{"family":"Benthem","given":"Koen J.","dropping-particle":"van"},{"family":"Magnusson","given":"Arni"},{"family":"Berg","given":"Casper W."},{"family":"Nielsen","given":"Anders"},{"family":"Skaug","given":"Hans J."},{"family":"Mächler","given":"Martin"},{"family":"Bolker","given":"Benjamin M."}],"issued":{"date-parts":[["2017",12,1]]}}}],"schema":"https://github.com/citation-style-language/schema/raw/master/csl-citation.json"} </w:instrText>
      </w:r>
      <w:r w:rsidR="007C71F7">
        <w:fldChar w:fldCharType="separate"/>
      </w:r>
      <w:r w:rsidR="007C71F7" w:rsidRPr="007C71F7">
        <w:t>(Brooks et al., 2017)</w:t>
      </w:r>
      <w:r w:rsidR="007C71F7">
        <w:fldChar w:fldCharType="end"/>
      </w:r>
      <w:r w:rsidR="007C71F7">
        <w:t>.</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4DA51C6F" w:rsidR="00C6078B" w:rsidRPr="00C6078B" w:rsidRDefault="00C6078B" w:rsidP="00241E61">
      <w:pPr>
        <w:pStyle w:val="Heading2"/>
      </w:pPr>
      <w:r>
        <w:t>3.1</w:t>
      </w:r>
      <w:r>
        <w:tab/>
      </w:r>
      <w:r w:rsidR="009960A4">
        <w:t>Assemblage occurrence</w:t>
      </w:r>
    </w:p>
    <w:p w14:paraId="246D9D22" w14:textId="17EA0440" w:rsidR="00241E61" w:rsidRPr="00DC31EE" w:rsidRDefault="000D6DCD" w:rsidP="00241E61">
      <w:r>
        <w:t xml:space="preserve">After </w:t>
      </w:r>
      <w:r w:rsidR="00241E61" w:rsidRPr="00241E61">
        <w:t>thresholding</w:t>
      </w:r>
      <w:ins w:id="29" w:author="Bobay, Luke Andrew" w:date="2026-09-09T11:10:00Z" w16du:dateUtc="2026-09-09T18:10:00Z">
        <w:r>
          <w:t>,</w:t>
        </w:r>
      </w:ins>
      <w:r w:rsidR="00241E61" w:rsidRPr="00241E61">
        <w:t xml:space="preserve"> </w:t>
      </w:r>
      <w:r>
        <w:t>our data set included</w:t>
      </w:r>
      <w:r w:rsidR="00241E61" w:rsidRPr="00241E61">
        <w:t xml:space="preserve"> 38,363 </w:t>
      </w:r>
      <w:r>
        <w:t>total fish</w:t>
      </w:r>
      <w:r w:rsidR="00241E61" w:rsidRPr="00241E61">
        <w:t xml:space="preserve"> larvae from </w:t>
      </w:r>
      <w:r>
        <w:t>195</w:t>
      </w:r>
      <w:r w:rsidRPr="00241E61">
        <w:t xml:space="preserve"> </w:t>
      </w:r>
      <w:r>
        <w:t>net tows</w:t>
      </w:r>
      <w:r w:rsidR="00241E61" w:rsidRPr="00241E61">
        <w:t xml:space="preserve">. Oceanographic conditions during sampling varied with depth and </w:t>
      </w:r>
      <w:r>
        <w:t>among years</w:t>
      </w:r>
      <w:r w:rsidR="00241E61" w:rsidRPr="00241E61">
        <w:t xml:space="preserve">. </w:t>
      </w:r>
      <w:r w:rsidR="00A04473">
        <w:t xml:space="preserve">Temperature was fairly </w:t>
      </w:r>
      <w:r w:rsidR="008E22A0">
        <w:t>constant</w:t>
      </w:r>
      <w:r w:rsidR="00A04473">
        <w:t xml:space="preserve"> across depths</w:t>
      </w:r>
      <w:r w:rsidR="008E22A0">
        <w:t xml:space="preserve"> and was lowest overall in 2022 and 2023 and highest in 2019 (Figure 1B)</w:t>
      </w:r>
      <w:r w:rsidR="00241E61" w:rsidRPr="00241E61">
        <w:t xml:space="preserve">. </w:t>
      </w:r>
      <w:r w:rsidR="008E22A0">
        <w:t>S</w:t>
      </w:r>
      <w:r w:rsidR="00241E61" w:rsidRPr="00241E61">
        <w:t xml:space="preserve">alinity </w:t>
      </w:r>
      <w:r w:rsidR="008E22A0">
        <w:t xml:space="preserve">generally </w:t>
      </w:r>
      <w:r w:rsidR="00241E61" w:rsidRPr="00241E61">
        <w:t>increased with depth</w:t>
      </w:r>
      <w:r w:rsidR="005949EB">
        <w:t>, although relatively high values of 33–34 PSU were recorded at all depths, and salinity was relatively constant across depths in 2018 (Figure 1C). S</w:t>
      </w:r>
      <w:r w:rsidR="008E22A0">
        <w:t>ome particularly low salinity values measured near the surface in 2022 and 2023 were likely associated with the Columbia River plume (Figure 1C).</w:t>
      </w:r>
      <w:r w:rsidR="00241E61" w:rsidRPr="00241E61">
        <w:t xml:space="preserve"> DO </w:t>
      </w:r>
      <w:r w:rsidR="005949EB">
        <w:t xml:space="preserve">generally </w:t>
      </w:r>
      <w:r w:rsidR="008E22A0">
        <w:t>decreased with</w:t>
      </w:r>
      <w:r w:rsidR="00241E61" w:rsidRPr="00241E61">
        <w:t xml:space="preserve"> depth</w:t>
      </w:r>
      <w:r w:rsidR="008E22A0">
        <w:t>, although values of 2–3 mL L</w:t>
      </w:r>
      <w:r w:rsidR="008E22A0">
        <w:rPr>
          <w:vertAlign w:val="superscript"/>
        </w:rPr>
        <w:t>-1</w:t>
      </w:r>
      <w:r w:rsidR="008E22A0">
        <w:t xml:space="preserve"> were measured at all but the shallowest depths </w:t>
      </w:r>
      <w:r w:rsidR="005949EB">
        <w:t>at some locations over the shelf in 2022 and 2023</w:t>
      </w:r>
      <w:r w:rsidR="00241E61" w:rsidRPr="00241E61">
        <w:t xml:space="preserve"> (Fig</w:t>
      </w:r>
      <w:r w:rsidR="005949EB">
        <w:t>ure 1</w:t>
      </w:r>
      <w:r w:rsidR="00241E61" w:rsidRPr="00241E61">
        <w:t>D).</w:t>
      </w:r>
      <w:r w:rsidR="005949EB">
        <w:t xml:space="preserve"> Together, these weak temperature and weak to strong salinity and DO gradients indicate that the top 100 m of the water column ranged from mixed to stratified across </w:t>
      </w:r>
      <w:r w:rsidR="00DC31EE">
        <w:t>locations and winters sampled.</w:t>
      </w:r>
      <w:r w:rsidR="00241E61" w:rsidRPr="00241E61">
        <w:t xml:space="preserve"> </w:t>
      </w:r>
      <w:r w:rsidR="00DC31EE">
        <w:t>Median chl-</w:t>
      </w:r>
      <w:r w:rsidR="00DC31EE">
        <w:rPr>
          <w:i/>
          <w:iCs/>
        </w:rPr>
        <w:t>a</w:t>
      </w:r>
      <w:r w:rsidR="00DC31EE" w:rsidRPr="00241E61">
        <w:t xml:space="preserve"> </w:t>
      </w:r>
      <w:r w:rsidR="00DC31EE">
        <w:t xml:space="preserve">values were similar </w:t>
      </w:r>
      <w:r w:rsidR="00241E61" w:rsidRPr="00241E61">
        <w:t>across all four years</w:t>
      </w:r>
      <w:r w:rsidR="00DC31EE">
        <w:t>, although no very high values were recorded in 2019</w:t>
      </w:r>
      <w:r w:rsidR="00241E61" w:rsidRPr="00241E61">
        <w:t xml:space="preserve"> (Fig</w:t>
      </w:r>
      <w:r w:rsidR="00DC31EE">
        <w:t>ure</w:t>
      </w:r>
      <w:r w:rsidR="00241E61" w:rsidRPr="00241E61">
        <w:t xml:space="preserve"> 1E).</w:t>
      </w:r>
      <w:r w:rsidR="00DC31EE">
        <w:t xml:space="preserve"> Chl-</w:t>
      </w:r>
      <w:r w:rsidR="00DC31EE">
        <w:rPr>
          <w:i/>
          <w:iCs/>
        </w:rPr>
        <w:t xml:space="preserve">a </w:t>
      </w:r>
      <w:r w:rsidR="00DC31EE">
        <w:t>was not strongly related to seafloor depth, with the highest values in 2018 occurring at relatively deep sampling stations (Figure 1E).</w:t>
      </w:r>
    </w:p>
    <w:p w14:paraId="179D2EC5" w14:textId="16DE316E" w:rsidR="00241E61" w:rsidRDefault="00241E61" w:rsidP="00241E61">
      <w:pPr>
        <w:rPr>
          <w:b/>
          <w:bCs/>
        </w:rPr>
      </w:pPr>
      <w:r w:rsidRPr="00241E61">
        <w:t>Cluster analysis of net tows yielded seven total clusters, two of which</w:t>
      </w:r>
      <w:ins w:id="30" w:author="Bobay, Luke Andrew" w:date="2026-09-09T11:55:00Z" w16du:dateUtc="2026-09-09T18:55:00Z">
        <w:r w:rsidR="001E0CC7">
          <w:t xml:space="preserve"> </w:t>
        </w:r>
      </w:ins>
      <w:r w:rsidRPr="00241E61">
        <w:t>—</w:t>
      </w:r>
      <w:ins w:id="31" w:author="Bobay, Luke Andrew" w:date="2026-09-09T11:55:00Z" w16du:dateUtc="2026-09-09T18:55:00Z">
        <w:r w:rsidR="001E0CC7">
          <w:t xml:space="preserve"> </w:t>
        </w:r>
      </w:ins>
      <w:r w:rsidRPr="00241E61">
        <w:t>clusters 4 and 7</w:t>
      </w:r>
      <w:ins w:id="32" w:author="Bobay, Luke Andrew" w:date="2026-09-09T11:55:00Z" w16du:dateUtc="2026-09-09T18:55:00Z">
        <w:r w:rsidR="001E0CC7">
          <w:t xml:space="preserve"> </w:t>
        </w:r>
      </w:ins>
      <w:r w:rsidRPr="00241E61">
        <w:t>—</w:t>
      </w:r>
      <w:ins w:id="33" w:author="Bobay, Luke Andrew" w:date="2026-09-09T11:55:00Z" w16du:dateUtc="2026-09-09T18:55:00Z">
        <w:r w:rsidR="001E0CC7">
          <w:t xml:space="preserve"> </w:t>
        </w:r>
      </w:ins>
      <w:r w:rsidRPr="00241E61">
        <w:t>contained only a single sampl</w:t>
      </w:r>
      <w:r w:rsidR="001E0CC7">
        <w:t>e</w:t>
      </w:r>
      <w:r w:rsidRPr="00241E61">
        <w:t xml:space="preserve"> (Fig</w:t>
      </w:r>
      <w:r w:rsidR="001E0CC7">
        <w:t>ure</w:t>
      </w:r>
      <w:r w:rsidRPr="00241E61">
        <w:t xml:space="preserve"> </w:t>
      </w:r>
      <w:r w:rsidR="001E0CC7">
        <w:t>S</w:t>
      </w:r>
      <w:r w:rsidRPr="00241E61">
        <w:t>1). Cluster 1 was present in all four sampling years and was heavily dominated by its indicator tax</w:t>
      </w:r>
      <w:r w:rsidR="00674F8F">
        <w:t>on</w:t>
      </w:r>
      <w:r w:rsidRPr="00241E61">
        <w:t xml:space="preserve">, </w:t>
      </w:r>
      <w:r w:rsidRPr="00DF4B39">
        <w:rPr>
          <w:i/>
          <w:iCs/>
        </w:rPr>
        <w:t>Sebastes</w:t>
      </w:r>
      <w:r w:rsidRPr="00241E61">
        <w:t xml:space="preserve"> spp.</w:t>
      </w:r>
      <w:r w:rsidR="00AC0329">
        <w:t>, and generally occurred along the shelf break</w:t>
      </w:r>
      <w:r w:rsidRPr="00241E61">
        <w:t xml:space="preserve"> (Fig</w:t>
      </w:r>
      <w:r w:rsidR="00674F8F">
        <w:t>ure</w:t>
      </w:r>
      <w:r w:rsidR="00AC0329">
        <w:t>s</w:t>
      </w:r>
      <w:r w:rsidRPr="00241E61">
        <w:t xml:space="preserve"> 2</w:t>
      </w:r>
      <w:r w:rsidR="00AC0329">
        <w:t>–3,</w:t>
      </w:r>
      <w:r w:rsidRPr="00241E61">
        <w:t xml:space="preserve"> Table 1). </w:t>
      </w:r>
      <w:r w:rsidR="00674F8F">
        <w:t>C</w:t>
      </w:r>
      <w:r w:rsidRPr="00241E61">
        <w:t xml:space="preserve">lusters 2 and 3 </w:t>
      </w:r>
      <w:r w:rsidR="00674F8F">
        <w:t>were also present in all years</w:t>
      </w:r>
      <w:r w:rsidRPr="00241E61">
        <w:t xml:space="preserve"> (Fig</w:t>
      </w:r>
      <w:r w:rsidR="00674F8F">
        <w:t>ure</w:t>
      </w:r>
      <w:r w:rsidRPr="00241E61">
        <w:t xml:space="preserve"> 2B). Cluster 2 was </w:t>
      </w:r>
      <w:r w:rsidR="00674F8F">
        <w:t>dominated by</w:t>
      </w:r>
      <w:r w:rsidRPr="00241E61">
        <w:t xml:space="preserve"> </w:t>
      </w:r>
      <w:r w:rsidR="00674F8F">
        <w:t>P</w:t>
      </w:r>
      <w:r w:rsidRPr="00241E61">
        <w:t xml:space="preserve">leuronectiformes, </w:t>
      </w:r>
      <w:r w:rsidR="00074A37">
        <w:t>especially</w:t>
      </w:r>
      <w:r w:rsidRPr="00241E61">
        <w:t xml:space="preserve"> the indicator species </w:t>
      </w:r>
      <w:commentRangeStart w:id="34"/>
      <w:commentRangeStart w:id="35"/>
      <w:commentRangeStart w:id="36"/>
      <w:r w:rsidR="00663747" w:rsidRPr="00663747">
        <w:rPr>
          <w:i/>
          <w:iCs/>
        </w:rPr>
        <w:t>Parophrys</w:t>
      </w:r>
      <w:r w:rsidR="00663747">
        <w:rPr>
          <w:i/>
          <w:iCs/>
        </w:rPr>
        <w:t xml:space="preserve"> </w:t>
      </w:r>
      <w:r w:rsidRPr="00DF4B39">
        <w:rPr>
          <w:i/>
          <w:iCs/>
        </w:rPr>
        <w:t>vetulus</w:t>
      </w:r>
      <w:r w:rsidR="00AC0329">
        <w:t>, and was present almost exclusively over the shelf</w:t>
      </w:r>
      <w:r w:rsidRPr="00241E61">
        <w:t xml:space="preserve"> </w:t>
      </w:r>
      <w:commentRangeEnd w:id="34"/>
      <w:r w:rsidR="000B5C8B" w:rsidRPr="00241E61">
        <w:rPr>
          <w:rStyle w:val="CommentReference"/>
          <w:sz w:val="24"/>
          <w:szCs w:val="24"/>
        </w:rPr>
        <w:commentReference w:id="34"/>
      </w:r>
      <w:commentRangeEnd w:id="35"/>
      <w:r w:rsidR="00ED46FB" w:rsidRPr="00241E61">
        <w:rPr>
          <w:rStyle w:val="CommentReference"/>
          <w:sz w:val="24"/>
          <w:szCs w:val="24"/>
        </w:rPr>
        <w:commentReference w:id="35"/>
      </w:r>
      <w:commentRangeEnd w:id="36"/>
      <w:r w:rsidR="007506CF" w:rsidRPr="00241E61">
        <w:rPr>
          <w:rStyle w:val="CommentReference"/>
          <w:sz w:val="24"/>
          <w:szCs w:val="24"/>
        </w:rPr>
        <w:commentReference w:id="36"/>
      </w:r>
      <w:r w:rsidRPr="00241E61">
        <w:t>(</w:t>
      </w:r>
      <w:r w:rsidR="00AC0329" w:rsidRPr="00241E61">
        <w:t>Fig</w:t>
      </w:r>
      <w:r w:rsidR="00AC0329">
        <w:t>ures</w:t>
      </w:r>
      <w:r w:rsidR="00AC0329" w:rsidRPr="00241E61">
        <w:t xml:space="preserve"> 2</w:t>
      </w:r>
      <w:r w:rsidR="00AC0329">
        <w:t>–3,</w:t>
      </w:r>
      <w:r w:rsidR="00AC0329" w:rsidRPr="00241E61">
        <w:t xml:space="preserve"> Table 1</w:t>
      </w:r>
      <w:r w:rsidRPr="00241E61">
        <w:t xml:space="preserve">). Cluster 3 was significantly </w:t>
      </w:r>
      <w:r w:rsidR="00674F8F">
        <w:t>associated with</w:t>
      </w:r>
      <w:r w:rsidRPr="00241E61">
        <w:t xml:space="preserve"> </w:t>
      </w:r>
      <w:r w:rsidR="00663747">
        <w:rPr>
          <w:i/>
          <w:iCs/>
        </w:rPr>
        <w:t>Stenobrachius</w:t>
      </w:r>
      <w:r w:rsidRPr="00DF4B39">
        <w:rPr>
          <w:i/>
          <w:iCs/>
        </w:rPr>
        <w:t xml:space="preserve"> leucopsarus</w:t>
      </w:r>
      <w:r w:rsidRPr="00241E61">
        <w:t xml:space="preserve"> (Table 1) and </w:t>
      </w:r>
      <w:r w:rsidR="00AC0329">
        <w:t xml:space="preserve">was </w:t>
      </w:r>
      <w:r w:rsidR="007506CF">
        <w:t>primarily composed of</w:t>
      </w:r>
      <w:r w:rsidRPr="00241E61">
        <w:t xml:space="preserve"> mesopelagic </w:t>
      </w:r>
      <w:r w:rsidR="007506CF">
        <w:t>taxa</w:t>
      </w:r>
      <w:r w:rsidRPr="00241E61">
        <w:t xml:space="preserve"> (Fig</w:t>
      </w:r>
      <w:r w:rsidR="007506CF">
        <w:t>ure</w:t>
      </w:r>
      <w:r w:rsidRPr="00241E61">
        <w:t xml:space="preserve"> 2)</w:t>
      </w:r>
      <w:r w:rsidR="005E384D">
        <w:t>. Cluster 3 occurred mostly</w:t>
      </w:r>
      <w:r w:rsidR="005E384D" w:rsidRPr="00241E61">
        <w:t xml:space="preserve"> offshore</w:t>
      </w:r>
      <w:r w:rsidR="001F7986">
        <w:t>,</w:t>
      </w:r>
      <w:r w:rsidR="005E384D">
        <w:t xml:space="preserve"> over the shelf break</w:t>
      </w:r>
      <w:ins w:id="37" w:author="McCloskey, Ross" w:date="2026-09-23T15:55:00Z" w16du:dateUtc="2026-09-23T22:55:00Z">
        <w:r w:rsidR="001F7986">
          <w:t>,</w:t>
        </w:r>
      </w:ins>
      <w:r w:rsidR="005E384D" w:rsidRPr="00241E61">
        <w:t xml:space="preserve"> and in </w:t>
      </w:r>
      <w:r w:rsidR="005E384D">
        <w:t>deep net tows</w:t>
      </w:r>
      <w:r w:rsidR="005E384D" w:rsidRPr="00241E61">
        <w:t xml:space="preserve"> (Fig</w:t>
      </w:r>
      <w:r w:rsidR="005E384D">
        <w:t>ure</w:t>
      </w:r>
      <w:r w:rsidR="005E384D" w:rsidRPr="00241E61">
        <w:t xml:space="preserve"> 3)</w:t>
      </w:r>
      <w:r w:rsidRPr="00241E61">
        <w:t xml:space="preserve">. </w:t>
      </w:r>
      <w:r w:rsidR="005E384D">
        <w:t>Notably, the shelf is quite narrow off Trinidad Head, CA, where cluster 3 occurred at even the most nearshore station in 2018 (Figure 3).</w:t>
      </w:r>
      <w:r w:rsidR="005E384D" w:rsidRPr="00241E61">
        <w:t xml:space="preserve"> </w:t>
      </w:r>
      <w:r w:rsidRPr="00241E61">
        <w:t xml:space="preserve">Cluster 5 was </w:t>
      </w:r>
      <w:r w:rsidR="005E384D">
        <w:t>most prevalent in</w:t>
      </w:r>
      <w:r w:rsidRPr="00241E61">
        <w:t xml:space="preserve"> 2022</w:t>
      </w:r>
      <w:ins w:id="38" w:author="Bobay, Luke Andrew" w:date="2026-09-09T12:41:00Z" w16du:dateUtc="2026-09-09T19:41:00Z">
        <w:r w:rsidR="005E384D">
          <w:t>,</w:t>
        </w:r>
      </w:ins>
      <w:r w:rsidRPr="00241E61">
        <w:t xml:space="preserve"> was </w:t>
      </w:r>
      <w:r w:rsidR="007506CF">
        <w:t>dominated by coastal taxa, like</w:t>
      </w:r>
      <w:r w:rsidRPr="00241E61">
        <w:t xml:space="preserve"> </w:t>
      </w:r>
      <w:r w:rsidRPr="00DF4B39">
        <w:rPr>
          <w:i/>
          <w:iCs/>
        </w:rPr>
        <w:t>P. vetulus</w:t>
      </w:r>
      <w:r w:rsidRPr="00241E61">
        <w:t xml:space="preserve"> and </w:t>
      </w:r>
      <w:r w:rsidRPr="00DF4B39">
        <w:rPr>
          <w:i/>
          <w:iCs/>
        </w:rPr>
        <w:t>Liparis</w:t>
      </w:r>
      <w:r w:rsidRPr="00241E61">
        <w:t xml:space="preserve"> spp.</w:t>
      </w:r>
      <w:r w:rsidR="005E384D">
        <w:t>, and mostly occurred close to shore</w:t>
      </w:r>
      <w:r w:rsidRPr="00241E61">
        <w:t xml:space="preserve"> (Fig</w:t>
      </w:r>
      <w:r w:rsidR="007506CF">
        <w:t>ure</w:t>
      </w:r>
      <w:r w:rsidRPr="00241E61">
        <w:t xml:space="preserve"> 2</w:t>
      </w:r>
      <w:r w:rsidR="005E384D">
        <w:t>–3</w:t>
      </w:r>
      <w:r w:rsidR="007506CF">
        <w:t>,</w:t>
      </w:r>
      <w:del w:id="39" w:author="McCloskey, Ross" w:date="2026-09-23T15:56:00Z" w16du:dateUtc="2026-09-23T22:56:00Z">
        <w:r w:rsidR="007506CF" w:rsidDel="001F7986">
          <w:delText xml:space="preserve"> </w:delText>
        </w:r>
      </w:del>
      <w:r w:rsidR="007506CF" w:rsidRPr="00241E61" w:rsidDel="007506CF">
        <w:t xml:space="preserve"> </w:t>
      </w:r>
      <w:r w:rsidRPr="00241E61">
        <w:t>Table 1). Cluster 6 was present in 2022 and 2023</w:t>
      </w:r>
      <w:r w:rsidR="005E384D">
        <w:t>, when sampling took place north of Newport, OR,</w:t>
      </w:r>
      <w:r w:rsidRPr="00241E61">
        <w:t xml:space="preserve"> and was </w:t>
      </w:r>
      <w:r w:rsidR="007506CF">
        <w:t>composed mostly of</w:t>
      </w:r>
      <w:r w:rsidRPr="00241E61">
        <w:t xml:space="preserve"> coastal taxa, especially Osmerid</w:t>
      </w:r>
      <w:r w:rsidR="00D45259">
        <w:t xml:space="preserve">ae </w:t>
      </w:r>
      <w:r w:rsidRPr="00241E61">
        <w:t>(Fig</w:t>
      </w:r>
      <w:r w:rsidR="007506CF">
        <w:t>ure</w:t>
      </w:r>
      <w:r w:rsidRPr="00241E61">
        <w:t xml:space="preserve"> 2</w:t>
      </w:r>
      <w:r w:rsidR="007506CF">
        <w:t xml:space="preserve">, </w:t>
      </w:r>
      <w:r w:rsidRPr="00241E61">
        <w:t>Table 1).</w:t>
      </w:r>
      <w:r w:rsidR="005E384D">
        <w:t xml:space="preserve"> Cluster 6 occurred only at shallow depths and nearshore stations north of Newport, OR (Figure 3).</w:t>
      </w:r>
    </w:p>
    <w:p w14:paraId="3B7243FF" w14:textId="6CE20978" w:rsidR="00241E61" w:rsidRDefault="00241E61" w:rsidP="00241E61">
      <w:r w:rsidRPr="00241E61">
        <w:t xml:space="preserve"> </w:t>
      </w:r>
    </w:p>
    <w:p w14:paraId="0210AF21" w14:textId="4FF99A57" w:rsidR="00A71194" w:rsidRPr="009B332C" w:rsidRDefault="00CA788F" w:rsidP="00A71194">
      <w:pPr>
        <w:pStyle w:val="Heading2"/>
        <w:rPr>
          <w:rFonts w:eastAsiaTheme="minorHAnsi"/>
          <w:b w:val="0"/>
          <w:bCs w:val="0"/>
          <w:color w:val="auto"/>
        </w:rPr>
      </w:pPr>
      <w:r>
        <w:rPr>
          <w:rFonts w:eastAsiaTheme="minorHAnsi"/>
          <w:b w:val="0"/>
          <w:bCs w:val="0"/>
          <w:color w:val="auto"/>
        </w:rPr>
        <w:lastRenderedPageBreak/>
        <w:t xml:space="preserve">The NMDS ordination of ichthyoplankton samples </w:t>
      </w:r>
      <w:r w:rsidR="00C42AB6">
        <w:rPr>
          <w:rFonts w:eastAsiaTheme="minorHAnsi"/>
          <w:b w:val="0"/>
          <w:bCs w:val="0"/>
          <w:color w:val="auto"/>
        </w:rPr>
        <w:t>facilitated</w:t>
      </w:r>
      <w:r>
        <w:rPr>
          <w:rFonts w:eastAsiaTheme="minorHAnsi"/>
          <w:b w:val="0"/>
          <w:bCs w:val="0"/>
          <w:color w:val="auto"/>
        </w:rPr>
        <w:t xml:space="preserve"> further visualization of variation in ichthyoplankton assemblage composition and </w:t>
      </w:r>
      <w:r w:rsidR="00C42AB6">
        <w:rPr>
          <w:rFonts w:eastAsiaTheme="minorHAnsi"/>
          <w:b w:val="0"/>
          <w:bCs w:val="0"/>
          <w:color w:val="auto"/>
        </w:rPr>
        <w:t>associations between assemblage composition and spatiotemporal factors</w:t>
      </w:r>
      <w:r w:rsidR="005418C8">
        <w:rPr>
          <w:rFonts w:eastAsiaTheme="minorHAnsi"/>
          <w:b w:val="0"/>
          <w:bCs w:val="0"/>
          <w:color w:val="auto"/>
        </w:rPr>
        <w:t xml:space="preserve"> (Figure 4). The observed two-dimensional NMDS stress value was 0.205, which was significantly lower than the stress values generated from 1000 constrained null assemblages using the iterative permutation approach of Dexter et al. </w:t>
      </w:r>
      <w:r w:rsidR="005418C8" w:rsidRPr="005418C8">
        <w:rPr>
          <w:rFonts w:eastAsiaTheme="minorHAnsi"/>
          <w:b w:val="0"/>
          <w:bCs w:val="0"/>
          <w:color w:val="auto"/>
        </w:rPr>
        <w:fldChar w:fldCharType="begin"/>
      </w:r>
      <w:r w:rsidR="005418C8" w:rsidRPr="005418C8">
        <w:rPr>
          <w:rFonts w:eastAsiaTheme="minorHAnsi"/>
          <w:b w:val="0"/>
          <w:bCs w:val="0"/>
          <w:color w:val="auto"/>
        </w:rPr>
        <w:instrText xml:space="preserve"> ADDIN ZOTERO_ITEM CSL_CITATION {"citationID":"ej7Fcghr","properties":{"unsorted":false,"formattedCitation":"(Dexter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418C8" w:rsidRPr="005418C8">
        <w:rPr>
          <w:rFonts w:eastAsiaTheme="minorHAnsi"/>
          <w:b w:val="0"/>
          <w:bCs w:val="0"/>
          <w:color w:val="auto"/>
        </w:rPr>
        <w:fldChar w:fldCharType="separate"/>
      </w:r>
      <w:r w:rsidR="005418C8" w:rsidRPr="001F7986">
        <w:rPr>
          <w:b w:val="0"/>
          <w:bCs w:val="0"/>
        </w:rPr>
        <w:t>(2018)</w:t>
      </w:r>
      <w:r w:rsidR="005418C8" w:rsidRPr="005418C8">
        <w:rPr>
          <w:rFonts w:eastAsiaTheme="minorHAnsi"/>
          <w:b w:val="0"/>
          <w:bCs w:val="0"/>
          <w:color w:val="auto"/>
        </w:rPr>
        <w:fldChar w:fldCharType="end"/>
      </w:r>
      <w:r w:rsidR="005418C8">
        <w:rPr>
          <w:rFonts w:eastAsiaTheme="minorHAnsi"/>
          <w:b w:val="0"/>
          <w:bCs w:val="0"/>
          <w:color w:val="auto"/>
        </w:rPr>
        <w:t xml:space="preserve"> (null mean = 0.282, </w:t>
      </w:r>
      <w:r w:rsidR="005418C8">
        <w:rPr>
          <w:rFonts w:eastAsiaTheme="minorHAnsi"/>
          <w:b w:val="0"/>
          <w:bCs w:val="0"/>
          <w:i/>
          <w:iCs/>
          <w:color w:val="auto"/>
        </w:rPr>
        <w:t xml:space="preserve">z </w:t>
      </w:r>
      <w:r w:rsidR="005418C8">
        <w:rPr>
          <w:rFonts w:eastAsiaTheme="minorHAnsi"/>
          <w:b w:val="0"/>
          <w:bCs w:val="0"/>
          <w:color w:val="auto"/>
        </w:rPr>
        <w:t xml:space="preserve">= -14.95, </w:t>
      </w:r>
      <w:r w:rsidR="005418C8">
        <w:rPr>
          <w:rFonts w:eastAsiaTheme="minorHAnsi"/>
          <w:b w:val="0"/>
          <w:bCs w:val="0"/>
          <w:i/>
          <w:iCs/>
          <w:color w:val="auto"/>
        </w:rPr>
        <w:t>p</w:t>
      </w:r>
      <w:r w:rsidR="005418C8">
        <w:rPr>
          <w:rFonts w:eastAsiaTheme="minorHAnsi"/>
          <w:b w:val="0"/>
          <w:bCs w:val="0"/>
          <w:color w:val="auto"/>
        </w:rPr>
        <w:t xml:space="preserve"> &lt; 0.001). Therefore, the NMDS ordination represented structure in the observed dissimilarity matrix better than expected under the null model</w:t>
      </w:r>
      <w:r w:rsidR="00C42AB6">
        <w:rPr>
          <w:rFonts w:eastAsiaTheme="minorHAnsi"/>
          <w:b w:val="0"/>
          <w:bCs w:val="0"/>
          <w:color w:val="auto"/>
        </w:rPr>
        <w:t>.</w:t>
      </w:r>
      <w:r>
        <w:rPr>
          <w:rFonts w:eastAsiaTheme="minorHAnsi"/>
          <w:b w:val="0"/>
          <w:bCs w:val="0"/>
          <w:color w:val="auto"/>
        </w:rPr>
        <w:t xml:space="preserve"> </w:t>
      </w:r>
      <w:r w:rsidR="00304513">
        <w:rPr>
          <w:rFonts w:eastAsiaTheme="minorHAnsi"/>
          <w:b w:val="0"/>
          <w:bCs w:val="0"/>
          <w:color w:val="auto"/>
        </w:rPr>
        <w:t>Overall, t</w:t>
      </w:r>
      <w:r w:rsidR="005418C8">
        <w:rPr>
          <w:rFonts w:eastAsiaTheme="minorHAnsi"/>
          <w:b w:val="0"/>
          <w:bCs w:val="0"/>
          <w:color w:val="auto"/>
        </w:rPr>
        <w:t>he NMDS ordination indicates that</w:t>
      </w:r>
      <w:r w:rsidR="00304513">
        <w:rPr>
          <w:rFonts w:eastAsiaTheme="minorHAnsi"/>
          <w:b w:val="0"/>
          <w:bCs w:val="0"/>
          <w:color w:val="auto"/>
        </w:rPr>
        <w:t xml:space="preserve"> assemblages assigned to cluster 6 were more similar in composition to those assigned to cluster 2 than to other clusters (Figure 4). Assemblages assigned to </w:t>
      </w:r>
      <w:r w:rsidR="005418C8">
        <w:rPr>
          <w:rFonts w:eastAsiaTheme="minorHAnsi"/>
          <w:b w:val="0"/>
          <w:bCs w:val="0"/>
          <w:color w:val="auto"/>
        </w:rPr>
        <w:t xml:space="preserve">cluster 1 </w:t>
      </w:r>
      <w:r w:rsidR="00304513">
        <w:rPr>
          <w:rFonts w:eastAsiaTheme="minorHAnsi"/>
          <w:b w:val="0"/>
          <w:bCs w:val="0"/>
          <w:color w:val="auto"/>
        </w:rPr>
        <w:t>tended to occur</w:t>
      </w:r>
      <w:r w:rsidR="005418C8">
        <w:rPr>
          <w:rFonts w:eastAsiaTheme="minorHAnsi"/>
          <w:b w:val="0"/>
          <w:bCs w:val="0"/>
          <w:color w:val="auto"/>
        </w:rPr>
        <w:t xml:space="preserve"> at intermediate seafloor depths, while cluster 3 occurred at greater seafloor depths and clusters 2</w:t>
      </w:r>
      <w:r w:rsidR="00304513">
        <w:rPr>
          <w:rFonts w:eastAsiaTheme="minorHAnsi"/>
          <w:b w:val="0"/>
          <w:bCs w:val="0"/>
          <w:color w:val="auto"/>
        </w:rPr>
        <w:t>, 5,</w:t>
      </w:r>
      <w:r w:rsidR="005418C8">
        <w:rPr>
          <w:rFonts w:eastAsiaTheme="minorHAnsi"/>
          <w:b w:val="0"/>
          <w:bCs w:val="0"/>
          <w:color w:val="auto"/>
        </w:rPr>
        <w:t xml:space="preserve"> and 6 occurred at shallower seafloor depths</w:t>
      </w:r>
      <w:r w:rsidR="00304513">
        <w:rPr>
          <w:rFonts w:eastAsiaTheme="minorHAnsi"/>
          <w:b w:val="0"/>
          <w:bCs w:val="0"/>
          <w:color w:val="auto"/>
        </w:rPr>
        <w:t xml:space="preserve"> (Figure 4)</w:t>
      </w:r>
      <w:r w:rsidR="005418C8">
        <w:rPr>
          <w:rFonts w:eastAsiaTheme="minorHAnsi"/>
          <w:b w:val="0"/>
          <w:bCs w:val="0"/>
          <w:color w:val="auto"/>
        </w:rPr>
        <w:t xml:space="preserve">. </w:t>
      </w:r>
      <w:r w:rsidR="00304513">
        <w:rPr>
          <w:rFonts w:eastAsiaTheme="minorHAnsi"/>
          <w:b w:val="0"/>
          <w:bCs w:val="0"/>
          <w:color w:val="auto"/>
        </w:rPr>
        <w:t>Similarly</w:t>
      </w:r>
      <w:r w:rsidR="00A71194" w:rsidRPr="009B332C">
        <w:rPr>
          <w:rFonts w:eastAsiaTheme="minorHAnsi"/>
          <w:b w:val="0"/>
          <w:bCs w:val="0"/>
          <w:color w:val="auto"/>
        </w:rPr>
        <w:t xml:space="preserve">, </w:t>
      </w:r>
      <w:r w:rsidR="00304513">
        <w:rPr>
          <w:rFonts w:eastAsiaTheme="minorHAnsi"/>
          <w:b w:val="0"/>
          <w:bCs w:val="0"/>
          <w:color w:val="auto"/>
        </w:rPr>
        <w:t>assemblages assigned to clusters 3 and 5 tended to occur at the greatest net tow depths</w:t>
      </w:r>
      <w:r w:rsidR="00C138B4">
        <w:rPr>
          <w:rFonts w:eastAsiaTheme="minorHAnsi"/>
          <w:b w:val="0"/>
          <w:bCs w:val="0"/>
          <w:color w:val="auto"/>
        </w:rPr>
        <w:t xml:space="preserve"> (Figure 4)</w:t>
      </w:r>
      <w:r w:rsidR="00304513">
        <w:rPr>
          <w:rFonts w:eastAsiaTheme="minorHAnsi"/>
          <w:b w:val="0"/>
          <w:bCs w:val="0"/>
          <w:color w:val="auto"/>
        </w:rPr>
        <w:t>.</w:t>
      </w:r>
      <w:r w:rsidR="00A71194" w:rsidRPr="009B332C">
        <w:rPr>
          <w:rFonts w:eastAsiaTheme="minorHAnsi"/>
          <w:b w:val="0"/>
          <w:bCs w:val="0"/>
          <w:color w:val="auto"/>
        </w:rPr>
        <w:t xml:space="preserve"> </w:t>
      </w:r>
      <w:r w:rsidR="00304513">
        <w:rPr>
          <w:rFonts w:eastAsiaTheme="minorHAnsi"/>
          <w:b w:val="0"/>
          <w:bCs w:val="0"/>
          <w:color w:val="auto"/>
        </w:rPr>
        <w:t>Assemblages assigned to cluster 5 tended to occur during the daytime</w:t>
      </w:r>
      <w:r w:rsidR="00C138B4">
        <w:rPr>
          <w:rFonts w:eastAsiaTheme="minorHAnsi"/>
          <w:b w:val="0"/>
          <w:bCs w:val="0"/>
          <w:color w:val="auto"/>
        </w:rPr>
        <w:t xml:space="preserve"> (Figure 4)</w:t>
      </w:r>
      <w:r w:rsidR="00304513">
        <w:rPr>
          <w:rFonts w:eastAsiaTheme="minorHAnsi"/>
          <w:b w:val="0"/>
          <w:bCs w:val="0"/>
          <w:color w:val="auto"/>
        </w:rPr>
        <w:t>. Cluster 6 tended to occur at high latitudes, while clusters 3 and 5 tended to occur at lower latitudes</w:t>
      </w:r>
      <w:r w:rsidR="00C138B4">
        <w:rPr>
          <w:rFonts w:eastAsiaTheme="minorHAnsi"/>
          <w:b w:val="0"/>
          <w:bCs w:val="0"/>
          <w:color w:val="auto"/>
        </w:rPr>
        <w:t xml:space="preserve"> (Figure 4)</w:t>
      </w:r>
      <w:r w:rsidR="00304513">
        <w:rPr>
          <w:rFonts w:eastAsiaTheme="minorHAnsi"/>
          <w:b w:val="0"/>
          <w:bCs w:val="0"/>
          <w:color w:val="auto"/>
        </w:rPr>
        <w:t>.</w:t>
      </w:r>
    </w:p>
    <w:p w14:paraId="551B3E62" w14:textId="451820E4" w:rsidR="00A71194" w:rsidRPr="009B332C" w:rsidRDefault="00A71194" w:rsidP="00A71194">
      <w:pPr>
        <w:pStyle w:val="Heading2"/>
        <w:rPr>
          <w:rFonts w:eastAsiaTheme="minorHAnsi"/>
          <w:b w:val="0"/>
          <w:bCs w:val="0"/>
          <w:color w:val="auto"/>
        </w:rPr>
      </w:pPr>
    </w:p>
    <w:p w14:paraId="59EFEDA9" w14:textId="77777777" w:rsidR="00A71194" w:rsidRDefault="00A71194" w:rsidP="00241E61">
      <w:pPr>
        <w:rPr>
          <w:b/>
          <w:bCs/>
        </w:rPr>
      </w:pPr>
    </w:p>
    <w:p w14:paraId="23897934" w14:textId="6C470789" w:rsidR="00C6078B" w:rsidRPr="00241E61" w:rsidRDefault="00C6078B" w:rsidP="00241E61">
      <w:pPr>
        <w:pStyle w:val="Heading2"/>
      </w:pPr>
      <w:r w:rsidRPr="00241E61">
        <w:lastRenderedPageBreak/>
        <w:t>2.2</w:t>
      </w:r>
      <w:r w:rsidRPr="00241E61">
        <w:tab/>
      </w:r>
      <w:r w:rsidR="00DC6AC2">
        <w:t>Environmental and spatiotemporal i</w:t>
      </w:r>
      <w:r w:rsidRPr="00241E61">
        <w:t xml:space="preserve">nfluences on </w:t>
      </w:r>
      <w:r w:rsidR="00DC6AC2">
        <w:t>assemblage composition</w:t>
      </w:r>
    </w:p>
    <w:p w14:paraId="4A6644D6" w14:textId="6E0C14F1" w:rsidR="00C708CB" w:rsidRDefault="00D93053" w:rsidP="009B332C">
      <w:pPr>
        <w:pStyle w:val="Heading2"/>
        <w:rPr>
          <w:rFonts w:eastAsiaTheme="minorHAnsi"/>
          <w:b w:val="0"/>
          <w:bCs w:val="0"/>
          <w:color w:val="auto"/>
        </w:rPr>
      </w:pPr>
      <w:r>
        <w:rPr>
          <w:rFonts w:eastAsiaTheme="minorHAnsi"/>
          <w:b w:val="0"/>
          <w:bCs w:val="0"/>
          <w:color w:val="auto"/>
        </w:rPr>
        <w:t>The spatiotemporal covariates included in the base dbRDA model explained a significant amount of variation in the composition of ichthyoplankton assemblages (</w:t>
      </w:r>
      <w:r w:rsidR="00995CD2">
        <w:rPr>
          <w:rFonts w:eastAsiaTheme="minorHAnsi"/>
          <w:b w:val="0"/>
          <w:bCs w:val="0"/>
          <w:color w:val="auto"/>
        </w:rPr>
        <w:t xml:space="preserve">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0.07, pseudo-</w:t>
      </w:r>
      <w:r w:rsidR="00995CD2">
        <w:rPr>
          <w:rFonts w:eastAsiaTheme="minorHAnsi"/>
          <w:b w:val="0"/>
          <w:bCs w:val="0"/>
          <w:i/>
          <w:iCs/>
          <w:color w:val="auto"/>
        </w:rPr>
        <w:t>F</w:t>
      </w:r>
      <w:r w:rsidR="00995CD2">
        <w:rPr>
          <w:rFonts w:eastAsiaTheme="minorHAnsi"/>
          <w:b w:val="0"/>
          <w:bCs w:val="0"/>
          <w:color w:val="auto"/>
        </w:rPr>
        <w:t xml:space="preserve"> = 3.04, </w:t>
      </w:r>
      <w:r w:rsidR="00995CD2">
        <w:rPr>
          <w:rFonts w:eastAsiaTheme="minorHAnsi"/>
          <w:b w:val="0"/>
          <w:bCs w:val="0"/>
          <w:i/>
          <w:iCs/>
          <w:color w:val="auto"/>
        </w:rPr>
        <w:t>p</w:t>
      </w:r>
      <w:r w:rsidR="00995CD2">
        <w:rPr>
          <w:rFonts w:eastAsiaTheme="minorHAnsi"/>
          <w:b w:val="0"/>
          <w:bCs w:val="0"/>
          <w:color w:val="auto"/>
        </w:rPr>
        <w:t xml:space="preserve"> &lt; 0.001). The full dbRDA model including spatiotemporal and environmental covariates was also significant (adj.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0.09, pseudo-</w:t>
      </w:r>
      <w:r w:rsidR="00995CD2">
        <w:rPr>
          <w:rFonts w:eastAsiaTheme="minorHAnsi"/>
          <w:b w:val="0"/>
          <w:bCs w:val="0"/>
          <w:i/>
          <w:iCs/>
          <w:color w:val="auto"/>
        </w:rPr>
        <w:t>F</w:t>
      </w:r>
      <w:r w:rsidR="00995CD2">
        <w:rPr>
          <w:rFonts w:eastAsiaTheme="minorHAnsi"/>
          <w:b w:val="0"/>
          <w:bCs w:val="0"/>
          <w:color w:val="auto"/>
        </w:rPr>
        <w:t xml:space="preserve"> = 2.70, </w:t>
      </w:r>
      <w:r w:rsidR="00995CD2">
        <w:rPr>
          <w:rFonts w:eastAsiaTheme="minorHAnsi"/>
          <w:b w:val="0"/>
          <w:bCs w:val="0"/>
          <w:i/>
          <w:iCs/>
          <w:color w:val="auto"/>
        </w:rPr>
        <w:t>p</w:t>
      </w:r>
      <w:r w:rsidR="00995CD2">
        <w:rPr>
          <w:rFonts w:eastAsiaTheme="minorHAnsi"/>
          <w:b w:val="0"/>
          <w:bCs w:val="0"/>
          <w:color w:val="auto"/>
        </w:rPr>
        <w:t xml:space="preserve"> &lt; 0.001) and explained a significant amount of additional variation in assemblage composition over the base model (pseudo-</w:t>
      </w:r>
      <w:r w:rsidR="00995CD2">
        <w:rPr>
          <w:rFonts w:eastAsiaTheme="minorHAnsi"/>
          <w:b w:val="0"/>
          <w:bCs w:val="0"/>
          <w:i/>
          <w:iCs/>
          <w:color w:val="auto"/>
        </w:rPr>
        <w:t>F</w:t>
      </w:r>
      <w:r w:rsidR="00995CD2">
        <w:rPr>
          <w:rFonts w:eastAsiaTheme="minorHAnsi"/>
          <w:b w:val="0"/>
          <w:bCs w:val="0"/>
          <w:color w:val="auto"/>
        </w:rPr>
        <w:t xml:space="preserve"> = 1.98, </w:t>
      </w:r>
      <w:r w:rsidR="00995CD2">
        <w:rPr>
          <w:rFonts w:eastAsiaTheme="minorHAnsi"/>
          <w:b w:val="0"/>
          <w:bCs w:val="0"/>
          <w:i/>
          <w:iCs/>
          <w:color w:val="auto"/>
        </w:rPr>
        <w:t>p</w:t>
      </w:r>
      <w:r w:rsidR="00995CD2">
        <w:rPr>
          <w:rFonts w:eastAsiaTheme="minorHAnsi"/>
          <w:b w:val="0"/>
          <w:bCs w:val="0"/>
          <w:color w:val="auto"/>
        </w:rPr>
        <w:t xml:space="preserve"> &lt; 0.001)</w:t>
      </w:r>
      <w:r>
        <w:rPr>
          <w:rFonts w:eastAsiaTheme="minorHAnsi"/>
          <w:b w:val="0"/>
          <w:bCs w:val="0"/>
          <w:color w:val="auto"/>
        </w:rPr>
        <w:t>.</w:t>
      </w:r>
      <w:r w:rsidR="009B332C" w:rsidRPr="009B332C">
        <w:rPr>
          <w:rFonts w:eastAsiaTheme="minorHAnsi"/>
          <w:b w:val="0"/>
          <w:bCs w:val="0"/>
          <w:color w:val="auto"/>
        </w:rPr>
        <w:t xml:space="preserve"> </w:t>
      </w:r>
      <w:r w:rsidR="00995CD2">
        <w:rPr>
          <w:rFonts w:eastAsiaTheme="minorHAnsi"/>
          <w:b w:val="0"/>
          <w:bCs w:val="0"/>
          <w:color w:val="auto"/>
        </w:rPr>
        <w:t xml:space="preserve"> Variance partitioning analysis</w:t>
      </w:r>
      <w:r w:rsidR="009B332C" w:rsidRPr="009B332C">
        <w:rPr>
          <w:rFonts w:eastAsiaTheme="minorHAnsi"/>
          <w:b w:val="0"/>
          <w:bCs w:val="0"/>
          <w:color w:val="auto"/>
        </w:rPr>
        <w:t xml:space="preserve"> indicated that about </w:t>
      </w:r>
      <w:commentRangeStart w:id="40"/>
      <w:commentRangeStart w:id="41"/>
      <w:r w:rsidR="00AD6F4E">
        <w:rPr>
          <w:rFonts w:eastAsiaTheme="minorHAnsi"/>
          <w:b w:val="0"/>
          <w:bCs w:val="0"/>
          <w:color w:val="auto"/>
        </w:rPr>
        <w:t>3.</w:t>
      </w:r>
      <w:r w:rsidR="003F0B83">
        <w:rPr>
          <w:rFonts w:eastAsiaTheme="minorHAnsi"/>
          <w:b w:val="0"/>
          <w:bCs w:val="0"/>
          <w:color w:val="auto"/>
        </w:rPr>
        <w:t>72</w:t>
      </w:r>
      <w:r w:rsidR="009B332C" w:rsidRPr="009B332C">
        <w:rPr>
          <w:rFonts w:eastAsiaTheme="minorHAnsi"/>
          <w:b w:val="0"/>
          <w:bCs w:val="0"/>
          <w:color w:val="auto"/>
        </w:rPr>
        <w:t>% of varia</w:t>
      </w:r>
      <w:r w:rsidR="00995CD2">
        <w:rPr>
          <w:rFonts w:eastAsiaTheme="minorHAnsi"/>
          <w:b w:val="0"/>
          <w:bCs w:val="0"/>
          <w:color w:val="auto"/>
        </w:rPr>
        <w:t>tion in assemblage composition</w:t>
      </w:r>
      <w:r w:rsidR="009B332C" w:rsidRPr="009B332C">
        <w:rPr>
          <w:rFonts w:eastAsiaTheme="minorHAnsi"/>
          <w:b w:val="0"/>
          <w:bCs w:val="0"/>
          <w:color w:val="auto"/>
        </w:rPr>
        <w:t xml:space="preserve"> was explained by spatiotemporal </w:t>
      </w:r>
      <w:r w:rsidR="00995CD2">
        <w:rPr>
          <w:rFonts w:eastAsiaTheme="minorHAnsi"/>
          <w:b w:val="0"/>
          <w:bCs w:val="0"/>
          <w:color w:val="auto"/>
        </w:rPr>
        <w:t>covariates</w:t>
      </w:r>
      <w:r w:rsidR="00995CD2" w:rsidRPr="009B332C">
        <w:rPr>
          <w:rFonts w:eastAsiaTheme="minorHAnsi"/>
          <w:b w:val="0"/>
          <w:bCs w:val="0"/>
          <w:color w:val="auto"/>
        </w:rPr>
        <w:t xml:space="preserve"> </w:t>
      </w:r>
      <w:r w:rsidR="009B332C" w:rsidRPr="009B332C">
        <w:rPr>
          <w:rFonts w:eastAsiaTheme="minorHAnsi"/>
          <w:b w:val="0"/>
          <w:bCs w:val="0"/>
          <w:color w:val="auto"/>
        </w:rPr>
        <w:t>alone</w:t>
      </w:r>
      <w:r w:rsidR="00263B2A">
        <w:rPr>
          <w:rFonts w:eastAsiaTheme="minorHAnsi"/>
          <w:b w:val="0"/>
          <w:bCs w:val="0"/>
          <w:color w:val="auto"/>
        </w:rPr>
        <w:t xml:space="preserve">, </w:t>
      </w:r>
      <w:r w:rsidR="00826689">
        <w:rPr>
          <w:rFonts w:eastAsiaTheme="minorHAnsi"/>
          <w:b w:val="0"/>
          <w:bCs w:val="0"/>
          <w:color w:val="auto"/>
        </w:rPr>
        <w:t xml:space="preserve">1.92% was explained by environmental </w:t>
      </w:r>
      <w:r w:rsidR="00995CD2">
        <w:rPr>
          <w:rFonts w:eastAsiaTheme="minorHAnsi"/>
          <w:b w:val="0"/>
          <w:bCs w:val="0"/>
          <w:color w:val="auto"/>
        </w:rPr>
        <w:t xml:space="preserve">covariates </w:t>
      </w:r>
      <w:r w:rsidR="001F4A57">
        <w:rPr>
          <w:rFonts w:eastAsiaTheme="minorHAnsi"/>
          <w:b w:val="0"/>
          <w:bCs w:val="0"/>
          <w:color w:val="auto"/>
        </w:rPr>
        <w:t>alone, and 1.57%</w:t>
      </w:r>
      <w:commentRangeEnd w:id="40"/>
      <w:r w:rsidR="001F4A57">
        <w:rPr>
          <w:rStyle w:val="CommentReference"/>
          <w:rFonts w:eastAsiaTheme="minorHAnsi"/>
          <w:b w:val="0"/>
          <w:bCs w:val="0"/>
          <w:color w:val="auto"/>
          <w:sz w:val="24"/>
          <w:szCs w:val="24"/>
        </w:rPr>
        <w:commentReference w:id="40"/>
      </w:r>
      <w:commentRangeEnd w:id="41"/>
      <w:r w:rsidR="009810B7">
        <w:rPr>
          <w:rStyle w:val="CommentReference"/>
          <w:rFonts w:eastAsiaTheme="minorHAnsi"/>
          <w:b w:val="0"/>
          <w:bCs w:val="0"/>
          <w:color w:val="auto"/>
          <w:sz w:val="24"/>
          <w:szCs w:val="24"/>
        </w:rPr>
        <w:commentReference w:id="41"/>
      </w:r>
      <w:r w:rsidR="001F4A57">
        <w:rPr>
          <w:rFonts w:eastAsiaTheme="minorHAnsi"/>
          <w:b w:val="0"/>
          <w:bCs w:val="0"/>
          <w:color w:val="auto"/>
        </w:rPr>
        <w:t xml:space="preserve"> </w:t>
      </w:r>
      <w:r w:rsidR="00995CD2">
        <w:rPr>
          <w:rFonts w:eastAsiaTheme="minorHAnsi"/>
          <w:b w:val="0"/>
          <w:bCs w:val="0"/>
          <w:color w:val="auto"/>
        </w:rPr>
        <w:t>was shared between spatiotemporal and environmental covariates</w:t>
      </w:r>
      <w:r w:rsidR="001F4A57">
        <w:rPr>
          <w:rFonts w:eastAsiaTheme="minorHAnsi"/>
          <w:b w:val="0"/>
          <w:bCs w:val="0"/>
          <w:color w:val="auto"/>
        </w:rPr>
        <w:t xml:space="preserve">. </w:t>
      </w:r>
      <w:r w:rsidR="00166BB8">
        <w:rPr>
          <w:rFonts w:eastAsiaTheme="minorHAnsi"/>
          <w:b w:val="0"/>
          <w:bCs w:val="0"/>
          <w:color w:val="auto"/>
        </w:rPr>
        <w:t xml:space="preserve">The full model explained a total of 8.78% of variation in </w:t>
      </w:r>
      <w:r w:rsidR="009810B7">
        <w:rPr>
          <w:rFonts w:eastAsiaTheme="minorHAnsi"/>
          <w:b w:val="0"/>
          <w:bCs w:val="0"/>
          <w:color w:val="auto"/>
        </w:rPr>
        <w:t>ichthyoplankton assemblage composition.</w:t>
      </w:r>
    </w:p>
    <w:p w14:paraId="4BFCA576" w14:textId="49E58ACF" w:rsidR="00C708CB" w:rsidRPr="00724926" w:rsidRDefault="00E637F1" w:rsidP="0075057E">
      <w:pPr>
        <w:pStyle w:val="Heading2"/>
        <w:rPr>
          <w:rFonts w:eastAsiaTheme="minorHAnsi"/>
          <w:b w:val="0"/>
          <w:bCs w:val="0"/>
          <w:color w:val="auto"/>
        </w:rPr>
      </w:pPr>
      <w:r>
        <w:rPr>
          <w:rFonts w:eastAsiaTheme="minorHAnsi"/>
          <w:b w:val="0"/>
          <w:bCs w:val="0"/>
          <w:color w:val="auto"/>
        </w:rPr>
        <w:t xml:space="preserve">The </w:t>
      </w:r>
      <w:r w:rsidR="009810B7">
        <w:rPr>
          <w:rFonts w:eastAsiaTheme="minorHAnsi"/>
          <w:b w:val="0"/>
          <w:bCs w:val="0"/>
          <w:color w:val="auto"/>
        </w:rPr>
        <w:t>effects of</w:t>
      </w:r>
      <w:r w:rsidR="00F33370">
        <w:rPr>
          <w:rFonts w:eastAsiaTheme="minorHAnsi"/>
          <w:b w:val="0"/>
          <w:bCs w:val="0"/>
          <w:color w:val="auto"/>
        </w:rPr>
        <w:t xml:space="preserve"> all covariates </w:t>
      </w:r>
      <w:r w:rsidR="009810B7">
        <w:rPr>
          <w:rFonts w:eastAsiaTheme="minorHAnsi"/>
          <w:b w:val="0"/>
          <w:bCs w:val="0"/>
          <w:color w:val="auto"/>
        </w:rPr>
        <w:t>in the full dbRDA model  were</w:t>
      </w:r>
      <w:r w:rsidR="00F33370">
        <w:rPr>
          <w:rFonts w:eastAsiaTheme="minorHAnsi"/>
          <w:b w:val="0"/>
          <w:bCs w:val="0"/>
          <w:color w:val="auto"/>
        </w:rPr>
        <w:t xml:space="preserve"> </w:t>
      </w:r>
      <w:r w:rsidR="00D558C1">
        <w:rPr>
          <w:rFonts w:eastAsiaTheme="minorHAnsi"/>
          <w:b w:val="0"/>
          <w:bCs w:val="0"/>
          <w:color w:val="auto"/>
        </w:rPr>
        <w:t xml:space="preserve">statistically </w:t>
      </w:r>
      <w:r w:rsidR="00F33370">
        <w:rPr>
          <w:rFonts w:eastAsiaTheme="minorHAnsi"/>
          <w:b w:val="0"/>
          <w:bCs w:val="0"/>
          <w:color w:val="auto"/>
        </w:rPr>
        <w:t>significant</w:t>
      </w:r>
      <w:r w:rsidR="009810B7">
        <w:rPr>
          <w:rFonts w:eastAsiaTheme="minorHAnsi"/>
          <w:b w:val="0"/>
          <w:bCs w:val="0"/>
          <w:color w:val="auto"/>
        </w:rPr>
        <w:t xml:space="preserve"> (all </w:t>
      </w:r>
      <w:r w:rsidR="009810B7">
        <w:rPr>
          <w:rFonts w:eastAsiaTheme="minorHAnsi"/>
          <w:b w:val="0"/>
          <w:bCs w:val="0"/>
          <w:i/>
          <w:iCs/>
          <w:color w:val="auto"/>
        </w:rPr>
        <w:t xml:space="preserve">p </w:t>
      </w:r>
      <w:r w:rsidR="009810B7">
        <w:rPr>
          <w:rFonts w:eastAsiaTheme="minorHAnsi"/>
          <w:b w:val="0"/>
          <w:bCs w:val="0"/>
          <w:color w:val="auto"/>
        </w:rPr>
        <w:t>&lt; 0.05)</w:t>
      </w:r>
      <w:r w:rsidR="00F33370">
        <w:rPr>
          <w:rFonts w:eastAsiaTheme="minorHAnsi"/>
          <w:b w:val="0"/>
          <w:bCs w:val="0"/>
          <w:color w:val="auto"/>
        </w:rPr>
        <w:t xml:space="preserve">. </w:t>
      </w:r>
      <w:r w:rsidR="001C4787">
        <w:rPr>
          <w:rFonts w:eastAsiaTheme="minorHAnsi"/>
          <w:b w:val="0"/>
          <w:bCs w:val="0"/>
          <w:color w:val="auto"/>
        </w:rPr>
        <w:t xml:space="preserve">The </w:t>
      </w:r>
      <w:r w:rsidR="009810B7">
        <w:rPr>
          <w:rFonts w:eastAsiaTheme="minorHAnsi"/>
          <w:b w:val="0"/>
          <w:bCs w:val="0"/>
          <w:color w:val="auto"/>
        </w:rPr>
        <w:t>effect of</w:t>
      </w:r>
      <w:r w:rsidR="004575B7">
        <w:rPr>
          <w:rFonts w:eastAsiaTheme="minorHAnsi"/>
          <w:b w:val="0"/>
          <w:bCs w:val="0"/>
          <w:color w:val="auto"/>
        </w:rPr>
        <w:t xml:space="preserve"> sea</w:t>
      </w:r>
      <w:r w:rsidR="00A64097">
        <w:rPr>
          <w:rFonts w:eastAsiaTheme="minorHAnsi"/>
          <w:b w:val="0"/>
          <w:bCs w:val="0"/>
          <w:color w:val="auto"/>
        </w:rPr>
        <w:t>f</w:t>
      </w:r>
      <w:r w:rsidR="004575B7">
        <w:rPr>
          <w:rFonts w:eastAsiaTheme="minorHAnsi"/>
          <w:b w:val="0"/>
          <w:bCs w:val="0"/>
          <w:color w:val="auto"/>
        </w:rPr>
        <w:t>loor depth</w:t>
      </w:r>
      <w:r w:rsidR="00A64097">
        <w:rPr>
          <w:rFonts w:eastAsiaTheme="minorHAnsi"/>
          <w:b w:val="0"/>
          <w:bCs w:val="0"/>
          <w:color w:val="auto"/>
        </w:rPr>
        <w:t xml:space="preserve"> </w:t>
      </w:r>
      <w:r w:rsidR="009810B7">
        <w:rPr>
          <w:rFonts w:eastAsiaTheme="minorHAnsi"/>
          <w:b w:val="0"/>
          <w:bCs w:val="0"/>
          <w:color w:val="auto"/>
        </w:rPr>
        <w:t xml:space="preserve">on the occurrence of assemblages assigned to clusters 1 and 3 was positive, while its effect on the occurrence of assemblages assigned to clusters </w:t>
      </w:r>
      <w:r w:rsidR="00355960">
        <w:rPr>
          <w:rFonts w:eastAsiaTheme="minorHAnsi"/>
          <w:b w:val="0"/>
          <w:bCs w:val="0"/>
          <w:color w:val="auto"/>
        </w:rPr>
        <w:t xml:space="preserve">2, 5, and 6 was negative </w:t>
      </w:r>
      <w:r w:rsidR="00A64097">
        <w:rPr>
          <w:rFonts w:eastAsiaTheme="minorHAnsi"/>
          <w:b w:val="0"/>
          <w:bCs w:val="0"/>
          <w:color w:val="auto"/>
        </w:rPr>
        <w:t>(</w:t>
      </w:r>
      <w:r w:rsidR="00A64097" w:rsidRPr="00E2095F">
        <w:rPr>
          <w:rFonts w:eastAsiaTheme="minorHAnsi"/>
          <w:b w:val="0"/>
          <w:bCs w:val="0"/>
          <w:i/>
          <w:iCs/>
          <w:color w:val="auto"/>
        </w:rPr>
        <w:t>p</w:t>
      </w:r>
      <w:r w:rsidR="00A64097">
        <w:rPr>
          <w:rFonts w:eastAsiaTheme="minorHAnsi"/>
          <w:b w:val="0"/>
          <w:bCs w:val="0"/>
          <w:color w:val="auto"/>
        </w:rPr>
        <w:t xml:space="preserve"> = </w:t>
      </w:r>
      <w:r w:rsidR="00532A6C">
        <w:rPr>
          <w:rFonts w:eastAsiaTheme="minorHAnsi"/>
          <w:b w:val="0"/>
          <w:bCs w:val="0"/>
          <w:color w:val="auto"/>
        </w:rPr>
        <w:t>0.002)</w:t>
      </w:r>
      <w:r w:rsidR="00355960">
        <w:rPr>
          <w:rFonts w:eastAsiaTheme="minorHAnsi"/>
          <w:b w:val="0"/>
          <w:bCs w:val="0"/>
          <w:color w:val="auto"/>
        </w:rPr>
        <w:t xml:space="preserve"> (Figure 5)</w:t>
      </w:r>
      <w:r w:rsidR="00532A6C">
        <w:rPr>
          <w:rFonts w:eastAsiaTheme="minorHAnsi"/>
          <w:b w:val="0"/>
          <w:bCs w:val="0"/>
          <w:color w:val="auto"/>
        </w:rPr>
        <w:t xml:space="preserve">. </w:t>
      </w:r>
      <w:r w:rsidR="00650D3A">
        <w:rPr>
          <w:rFonts w:eastAsiaTheme="minorHAnsi"/>
          <w:b w:val="0"/>
          <w:bCs w:val="0"/>
          <w:color w:val="auto"/>
        </w:rPr>
        <w:t xml:space="preserve">The </w:t>
      </w:r>
      <w:r w:rsidR="00355960">
        <w:rPr>
          <w:rFonts w:eastAsiaTheme="minorHAnsi"/>
          <w:b w:val="0"/>
          <w:bCs w:val="0"/>
          <w:color w:val="auto"/>
        </w:rPr>
        <w:t>direction of the effects of net</w:t>
      </w:r>
      <w:r w:rsidR="00AA191D">
        <w:rPr>
          <w:rFonts w:eastAsiaTheme="minorHAnsi"/>
          <w:b w:val="0"/>
          <w:bCs w:val="0"/>
          <w:color w:val="auto"/>
        </w:rPr>
        <w:t xml:space="preserve"> tow depth</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AA191D">
        <w:rPr>
          <w:rFonts w:eastAsiaTheme="minorHAnsi"/>
          <w:b w:val="0"/>
          <w:bCs w:val="0"/>
          <w:color w:val="auto"/>
        </w:rPr>
        <w:t xml:space="preserve"> and </w:t>
      </w:r>
      <w:r w:rsidR="0083671B">
        <w:rPr>
          <w:rFonts w:eastAsiaTheme="minorHAnsi"/>
          <w:b w:val="0"/>
          <w:bCs w:val="0"/>
          <w:color w:val="auto"/>
        </w:rPr>
        <w:t>salinity</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3F65FE">
        <w:rPr>
          <w:rFonts w:eastAsiaTheme="minorHAnsi"/>
          <w:b w:val="0"/>
          <w:bCs w:val="0"/>
          <w:color w:val="auto"/>
        </w:rPr>
        <w:t xml:space="preserve"> </w:t>
      </w:r>
      <w:r w:rsidR="00355960">
        <w:rPr>
          <w:rFonts w:eastAsiaTheme="minorHAnsi"/>
          <w:b w:val="0"/>
          <w:bCs w:val="0"/>
          <w:color w:val="auto"/>
        </w:rPr>
        <w:t>were similar, al</w:t>
      </w:r>
      <w:r w:rsidR="003F65FE">
        <w:rPr>
          <w:rFonts w:eastAsiaTheme="minorHAnsi"/>
          <w:b w:val="0"/>
          <w:bCs w:val="0"/>
          <w:color w:val="auto"/>
        </w:rPr>
        <w:t xml:space="preserve">though </w:t>
      </w:r>
      <w:r w:rsidR="00355960">
        <w:rPr>
          <w:rFonts w:eastAsiaTheme="minorHAnsi"/>
          <w:b w:val="0"/>
          <w:bCs w:val="0"/>
          <w:color w:val="auto"/>
        </w:rPr>
        <w:t>the magnitude of these effects was slightly less than that of seafloor depth</w:t>
      </w:r>
      <w:r w:rsidR="002F589B">
        <w:rPr>
          <w:rFonts w:eastAsiaTheme="minorHAnsi"/>
          <w:b w:val="0"/>
          <w:bCs w:val="0"/>
          <w:color w:val="auto"/>
        </w:rPr>
        <w:t xml:space="preserve"> (Figure 5)</w:t>
      </w:r>
      <w:r w:rsidR="00824841">
        <w:rPr>
          <w:rFonts w:eastAsiaTheme="minorHAnsi"/>
          <w:b w:val="0"/>
          <w:bCs w:val="0"/>
          <w:color w:val="auto"/>
        </w:rPr>
        <w:t xml:space="preserve">. </w:t>
      </w:r>
      <w:r w:rsidR="00355960">
        <w:rPr>
          <w:rFonts w:eastAsiaTheme="minorHAnsi"/>
          <w:b w:val="0"/>
          <w:bCs w:val="0"/>
          <w:color w:val="auto"/>
        </w:rPr>
        <w:t>The effects of</w:t>
      </w:r>
      <w:r w:rsidR="00FB6252">
        <w:rPr>
          <w:rFonts w:eastAsiaTheme="minorHAnsi"/>
          <w:b w:val="0"/>
          <w:bCs w:val="0"/>
          <w:color w:val="auto"/>
        </w:rPr>
        <w:t xml:space="preserve"> DO</w:t>
      </w:r>
      <w:r w:rsidR="00910101">
        <w:rPr>
          <w:rFonts w:eastAsiaTheme="minorHAnsi"/>
          <w:b w:val="0"/>
          <w:bCs w:val="0"/>
          <w:color w:val="auto"/>
        </w:rPr>
        <w:t xml:space="preserve"> (</w:t>
      </w:r>
      <w:r w:rsidR="00910101" w:rsidRPr="00E2095F">
        <w:rPr>
          <w:rFonts w:eastAsiaTheme="minorHAnsi"/>
          <w:b w:val="0"/>
          <w:bCs w:val="0"/>
          <w:i/>
          <w:iCs/>
          <w:color w:val="auto"/>
        </w:rPr>
        <w:t>p</w:t>
      </w:r>
      <w:r w:rsidR="00910101">
        <w:rPr>
          <w:rFonts w:eastAsiaTheme="minorHAnsi"/>
          <w:b w:val="0"/>
          <w:bCs w:val="0"/>
          <w:color w:val="auto"/>
        </w:rPr>
        <w:t xml:space="preserve"> </w:t>
      </w:r>
      <w:r w:rsidR="002F589B">
        <w:rPr>
          <w:rFonts w:eastAsiaTheme="minorHAnsi"/>
          <w:b w:val="0"/>
          <w:bCs w:val="0"/>
          <w:color w:val="auto"/>
        </w:rPr>
        <w:t>&lt;</w:t>
      </w:r>
      <w:r w:rsidR="00910101">
        <w:rPr>
          <w:rFonts w:eastAsiaTheme="minorHAnsi"/>
          <w:b w:val="0"/>
          <w:bCs w:val="0"/>
          <w:color w:val="auto"/>
        </w:rPr>
        <w:t xml:space="preserve"> </w:t>
      </w:r>
      <w:r w:rsidR="00C637AC">
        <w:rPr>
          <w:rFonts w:eastAsiaTheme="minorHAnsi"/>
          <w:b w:val="0"/>
          <w:bCs w:val="0"/>
          <w:color w:val="auto"/>
        </w:rPr>
        <w:t>0.001)</w:t>
      </w:r>
      <w:r w:rsidR="00FB6252">
        <w:rPr>
          <w:rFonts w:eastAsiaTheme="minorHAnsi"/>
          <w:b w:val="0"/>
          <w:bCs w:val="0"/>
          <w:color w:val="auto"/>
        </w:rPr>
        <w:t xml:space="preserve"> and temperature</w:t>
      </w:r>
      <w:r w:rsidR="00C637AC">
        <w:rPr>
          <w:rFonts w:eastAsiaTheme="minorHAnsi"/>
          <w:b w:val="0"/>
          <w:bCs w:val="0"/>
          <w:color w:val="auto"/>
        </w:rPr>
        <w:t xml:space="preserve"> (</w:t>
      </w:r>
      <w:r w:rsidR="00C637AC" w:rsidRPr="00E2095F">
        <w:rPr>
          <w:rFonts w:eastAsiaTheme="minorHAnsi"/>
          <w:b w:val="0"/>
          <w:bCs w:val="0"/>
          <w:i/>
          <w:iCs/>
          <w:color w:val="auto"/>
        </w:rPr>
        <w:t>p</w:t>
      </w:r>
      <w:r w:rsidR="00C637AC">
        <w:rPr>
          <w:rFonts w:eastAsiaTheme="minorHAnsi"/>
          <w:b w:val="0"/>
          <w:bCs w:val="0"/>
          <w:color w:val="auto"/>
        </w:rPr>
        <w:t xml:space="preserve"> </w:t>
      </w:r>
      <w:ins w:id="42" w:author="Bobay, Luke Andrew" w:date="2026-09-09T15:28:00Z" w16du:dateUtc="2026-09-09T22:28:00Z">
        <w:r w:rsidR="002F589B">
          <w:rPr>
            <w:rFonts w:eastAsiaTheme="minorHAnsi"/>
            <w:b w:val="0"/>
            <w:bCs w:val="0"/>
            <w:color w:val="auto"/>
          </w:rPr>
          <w:t>&lt;</w:t>
        </w:r>
      </w:ins>
      <w:del w:id="43" w:author="Bobay, Luke Andrew" w:date="2026-09-09T15:28:00Z" w16du:dateUtc="2026-09-09T22:28:00Z">
        <w:r w:rsidR="00C637AC" w:rsidDel="002F589B">
          <w:rPr>
            <w:rFonts w:eastAsiaTheme="minorHAnsi"/>
            <w:b w:val="0"/>
            <w:bCs w:val="0"/>
            <w:color w:val="auto"/>
          </w:rPr>
          <w:delText>=</w:delText>
        </w:r>
      </w:del>
      <w:r w:rsidR="00C637AC">
        <w:rPr>
          <w:rFonts w:eastAsiaTheme="minorHAnsi"/>
          <w:b w:val="0"/>
          <w:bCs w:val="0"/>
          <w:color w:val="auto"/>
        </w:rPr>
        <w:t xml:space="preserve"> 0.010)</w:t>
      </w:r>
      <w:r w:rsidR="00355960">
        <w:rPr>
          <w:rFonts w:eastAsiaTheme="minorHAnsi"/>
          <w:b w:val="0"/>
          <w:bCs w:val="0"/>
          <w:color w:val="auto"/>
        </w:rPr>
        <w:t xml:space="preserve"> on the occurrence of cluster 3 were positive, while they had negative effects on the occurrence of clusters 5 and 6</w:t>
      </w:r>
      <w:r w:rsidR="00FB6252">
        <w:rPr>
          <w:rFonts w:eastAsiaTheme="minorHAnsi"/>
          <w:b w:val="0"/>
          <w:bCs w:val="0"/>
          <w:color w:val="auto"/>
        </w:rPr>
        <w:t xml:space="preserve">, </w:t>
      </w:r>
      <w:r w:rsidR="00355960">
        <w:rPr>
          <w:rFonts w:eastAsiaTheme="minorHAnsi"/>
          <w:b w:val="0"/>
          <w:bCs w:val="0"/>
          <w:color w:val="auto"/>
        </w:rPr>
        <w:t>although the magnitude of the effect of DO was relatively small</w:t>
      </w:r>
      <w:r w:rsidR="002F589B">
        <w:rPr>
          <w:rFonts w:eastAsiaTheme="minorHAnsi"/>
          <w:b w:val="0"/>
          <w:bCs w:val="0"/>
          <w:color w:val="auto"/>
        </w:rPr>
        <w:t xml:space="preserve"> (Figure 5)</w:t>
      </w:r>
      <w:r w:rsidR="00910101">
        <w:rPr>
          <w:rFonts w:eastAsiaTheme="minorHAnsi"/>
          <w:b w:val="0"/>
          <w:bCs w:val="0"/>
          <w:color w:val="auto"/>
        </w:rPr>
        <w:t>.</w:t>
      </w:r>
      <w:r w:rsidR="003A45A1">
        <w:rPr>
          <w:rFonts w:eastAsiaTheme="minorHAnsi"/>
          <w:b w:val="0"/>
          <w:bCs w:val="0"/>
          <w:color w:val="auto"/>
        </w:rPr>
        <w:t xml:space="preserve"> </w:t>
      </w:r>
      <w:r w:rsidR="00F7246C">
        <w:rPr>
          <w:rFonts w:eastAsiaTheme="minorHAnsi"/>
          <w:b w:val="0"/>
          <w:bCs w:val="0"/>
          <w:color w:val="auto"/>
        </w:rPr>
        <w:t>Chl-</w:t>
      </w:r>
      <w:r w:rsidR="00F7246C">
        <w:rPr>
          <w:rFonts w:eastAsiaTheme="minorHAnsi"/>
          <w:b w:val="0"/>
          <w:bCs w:val="0"/>
          <w:i/>
          <w:iCs/>
          <w:color w:val="auto"/>
        </w:rPr>
        <w:t>a</w:t>
      </w:r>
      <w:r w:rsidR="00BA6ADE">
        <w:rPr>
          <w:rFonts w:eastAsiaTheme="minorHAnsi"/>
          <w:b w:val="0"/>
          <w:bCs w:val="0"/>
          <w:color w:val="auto"/>
        </w:rPr>
        <w:t xml:space="preserve"> </w:t>
      </w:r>
      <w:r w:rsidR="00355960">
        <w:rPr>
          <w:rFonts w:eastAsiaTheme="minorHAnsi"/>
          <w:b w:val="0"/>
          <w:bCs w:val="0"/>
          <w:color w:val="auto"/>
        </w:rPr>
        <w:t xml:space="preserve">had a positive effect on </w:t>
      </w:r>
      <w:r w:rsidR="00BA6ADE">
        <w:rPr>
          <w:rFonts w:eastAsiaTheme="minorHAnsi"/>
          <w:b w:val="0"/>
          <w:bCs w:val="0"/>
          <w:color w:val="auto"/>
        </w:rPr>
        <w:t>clusters 2 and 6</w:t>
      </w:r>
      <w:r w:rsidR="00355960">
        <w:rPr>
          <w:rFonts w:eastAsiaTheme="minorHAnsi"/>
          <w:b w:val="0"/>
          <w:bCs w:val="0"/>
          <w:color w:val="auto"/>
        </w:rPr>
        <w:t xml:space="preserve"> and a negative effect on clusters 1 and 3 (</w:t>
      </w:r>
      <w:r w:rsidR="00355960" w:rsidRPr="00E2095F">
        <w:rPr>
          <w:rFonts w:eastAsiaTheme="minorHAnsi"/>
          <w:b w:val="0"/>
          <w:bCs w:val="0"/>
          <w:i/>
          <w:iCs/>
          <w:color w:val="auto"/>
        </w:rPr>
        <w:t>p</w:t>
      </w:r>
      <w:r w:rsidR="00355960">
        <w:rPr>
          <w:rFonts w:eastAsiaTheme="minorHAnsi"/>
          <w:b w:val="0"/>
          <w:bCs w:val="0"/>
          <w:color w:val="auto"/>
        </w:rPr>
        <w:t xml:space="preserve"> </w:t>
      </w:r>
      <w:r w:rsidR="002F589B">
        <w:rPr>
          <w:rFonts w:eastAsiaTheme="minorHAnsi"/>
          <w:b w:val="0"/>
          <w:bCs w:val="0"/>
          <w:color w:val="auto"/>
        </w:rPr>
        <w:t>&lt;</w:t>
      </w:r>
      <w:r w:rsidR="00355960">
        <w:rPr>
          <w:rFonts w:eastAsiaTheme="minorHAnsi"/>
          <w:b w:val="0"/>
          <w:bCs w:val="0"/>
          <w:color w:val="auto"/>
        </w:rPr>
        <w:t xml:space="preserve"> 0.001)</w:t>
      </w:r>
      <w:r w:rsidR="002F589B">
        <w:rPr>
          <w:rFonts w:eastAsiaTheme="minorHAnsi"/>
          <w:b w:val="0"/>
          <w:bCs w:val="0"/>
          <w:color w:val="auto"/>
        </w:rPr>
        <w:t xml:space="preserve"> (Figure 5)</w:t>
      </w:r>
      <w:r w:rsidR="00E25554">
        <w:rPr>
          <w:rFonts w:eastAsiaTheme="minorHAnsi"/>
          <w:b w:val="0"/>
          <w:bCs w:val="0"/>
          <w:color w:val="auto"/>
        </w:rPr>
        <w:t>.</w:t>
      </w:r>
      <w:r w:rsidR="00DA3FB4">
        <w:rPr>
          <w:rFonts w:eastAsiaTheme="minorHAnsi"/>
          <w:b w:val="0"/>
          <w:bCs w:val="0"/>
          <w:color w:val="auto"/>
        </w:rPr>
        <w:t xml:space="preserve"> </w:t>
      </w:r>
      <w:r w:rsidR="00355960">
        <w:rPr>
          <w:rFonts w:eastAsiaTheme="minorHAnsi"/>
          <w:b w:val="0"/>
          <w:bCs w:val="0"/>
          <w:color w:val="auto"/>
        </w:rPr>
        <w:t>The effect of</w:t>
      </w:r>
      <w:r w:rsidR="00A2677C">
        <w:rPr>
          <w:rFonts w:eastAsiaTheme="minorHAnsi"/>
          <w:b w:val="0"/>
          <w:bCs w:val="0"/>
          <w:color w:val="auto"/>
        </w:rPr>
        <w:t xml:space="preserve"> latitude</w:t>
      </w:r>
      <w:r>
        <w:rPr>
          <w:rFonts w:eastAsiaTheme="minorHAnsi"/>
          <w:b w:val="0"/>
          <w:bCs w:val="0"/>
          <w:color w:val="auto"/>
        </w:rPr>
        <w:t xml:space="preserve"> </w:t>
      </w:r>
      <w:r w:rsidR="00355960">
        <w:rPr>
          <w:rFonts w:eastAsiaTheme="minorHAnsi"/>
          <w:b w:val="0"/>
          <w:bCs w:val="0"/>
          <w:color w:val="auto"/>
        </w:rPr>
        <w:t xml:space="preserve">on the occurrence of assemblages assigned to clusters 5 and 6 was positive, while its effect on the occurrence of cluster 3 was negative </w:t>
      </w:r>
      <w:r>
        <w:rPr>
          <w:rFonts w:eastAsiaTheme="minorHAnsi"/>
          <w:b w:val="0"/>
          <w:bCs w:val="0"/>
          <w:color w:val="auto"/>
        </w:rPr>
        <w:t>(</w:t>
      </w:r>
      <w:r w:rsidRPr="00E2095F">
        <w:rPr>
          <w:rFonts w:eastAsiaTheme="minorHAnsi"/>
          <w:b w:val="0"/>
          <w:bCs w:val="0"/>
          <w:i/>
          <w:iCs/>
          <w:color w:val="auto"/>
        </w:rPr>
        <w:t>p</w:t>
      </w:r>
      <w:r>
        <w:rPr>
          <w:rFonts w:eastAsiaTheme="minorHAnsi"/>
          <w:b w:val="0"/>
          <w:bCs w:val="0"/>
          <w:color w:val="auto"/>
        </w:rPr>
        <w:t xml:space="preserve"> </w:t>
      </w:r>
      <w:r w:rsidR="002F589B">
        <w:rPr>
          <w:rFonts w:eastAsiaTheme="minorHAnsi"/>
          <w:b w:val="0"/>
          <w:bCs w:val="0"/>
          <w:color w:val="auto"/>
        </w:rPr>
        <w:t>&lt;</w:t>
      </w:r>
      <w:r>
        <w:rPr>
          <w:rFonts w:eastAsiaTheme="minorHAnsi"/>
          <w:b w:val="0"/>
          <w:bCs w:val="0"/>
          <w:color w:val="auto"/>
        </w:rPr>
        <w:t xml:space="preserve"> </w:t>
      </w:r>
      <w:r w:rsidR="003A6427">
        <w:rPr>
          <w:rFonts w:eastAsiaTheme="minorHAnsi"/>
          <w:b w:val="0"/>
          <w:bCs w:val="0"/>
          <w:color w:val="auto"/>
        </w:rPr>
        <w:t>0.001)</w:t>
      </w:r>
      <w:r w:rsidR="002F589B">
        <w:rPr>
          <w:rFonts w:eastAsiaTheme="minorHAnsi"/>
          <w:b w:val="0"/>
          <w:bCs w:val="0"/>
          <w:color w:val="auto"/>
        </w:rPr>
        <w:t xml:space="preserve"> (Figure 5)</w:t>
      </w:r>
      <w:r w:rsidR="003A6427">
        <w:rPr>
          <w:rFonts w:eastAsiaTheme="minorHAnsi"/>
          <w:b w:val="0"/>
          <w:bCs w:val="0"/>
          <w:color w:val="auto"/>
        </w:rPr>
        <w:t xml:space="preserve">. </w:t>
      </w:r>
      <w:r w:rsidR="002F589B">
        <w:rPr>
          <w:rFonts w:eastAsiaTheme="minorHAnsi"/>
          <w:b w:val="0"/>
          <w:bCs w:val="0"/>
          <w:color w:val="auto"/>
        </w:rPr>
        <w:t>The effect of</w:t>
      </w:r>
      <w:r w:rsidR="00724926">
        <w:rPr>
          <w:rFonts w:eastAsiaTheme="minorHAnsi"/>
          <w:b w:val="0"/>
          <w:bCs w:val="0"/>
          <w:color w:val="auto"/>
        </w:rPr>
        <w:t xml:space="preserve"> time of day</w:t>
      </w:r>
      <w:r w:rsidR="002F589B">
        <w:rPr>
          <w:rFonts w:eastAsiaTheme="minorHAnsi"/>
          <w:b w:val="0"/>
          <w:bCs w:val="0"/>
          <w:color w:val="auto"/>
        </w:rPr>
        <w:t xml:space="preserve"> was positive on the occurrence of assemblages assigned to cluster 5, and negative on the occurrence of assemblages assigned to cluster 3</w:t>
      </w:r>
      <w:r w:rsidR="00724926">
        <w:rPr>
          <w:rFonts w:eastAsiaTheme="minorHAnsi"/>
          <w:b w:val="0"/>
          <w:bCs w:val="0"/>
          <w:color w:val="auto"/>
        </w:rPr>
        <w:t xml:space="preserve"> (</w:t>
      </w:r>
      <w:r w:rsidR="00724926" w:rsidRPr="00E2095F">
        <w:rPr>
          <w:rFonts w:eastAsiaTheme="minorHAnsi"/>
          <w:b w:val="0"/>
          <w:bCs w:val="0"/>
          <w:i/>
          <w:iCs/>
          <w:color w:val="auto"/>
        </w:rPr>
        <w:t>p</w:t>
      </w:r>
      <w:r w:rsidR="00724926">
        <w:rPr>
          <w:rFonts w:eastAsiaTheme="minorHAnsi"/>
          <w:b w:val="0"/>
          <w:bCs w:val="0"/>
          <w:color w:val="auto"/>
        </w:rPr>
        <w:t xml:space="preserve"> </w:t>
      </w:r>
      <w:r w:rsidR="002F589B">
        <w:rPr>
          <w:rFonts w:eastAsiaTheme="minorHAnsi"/>
          <w:b w:val="0"/>
          <w:bCs w:val="0"/>
          <w:color w:val="auto"/>
        </w:rPr>
        <w:t>&lt;</w:t>
      </w:r>
      <w:r w:rsidR="00724926">
        <w:rPr>
          <w:rFonts w:eastAsiaTheme="minorHAnsi"/>
          <w:b w:val="0"/>
          <w:bCs w:val="0"/>
          <w:color w:val="auto"/>
        </w:rPr>
        <w:t xml:space="preserve"> </w:t>
      </w:r>
      <w:r w:rsidR="00340B81">
        <w:rPr>
          <w:rFonts w:eastAsiaTheme="minorHAnsi"/>
          <w:b w:val="0"/>
          <w:bCs w:val="0"/>
          <w:color w:val="auto"/>
        </w:rPr>
        <w:t>0.027)</w:t>
      </w:r>
      <w:r w:rsidR="002F589B">
        <w:rPr>
          <w:rFonts w:eastAsiaTheme="minorHAnsi"/>
          <w:b w:val="0"/>
          <w:bCs w:val="0"/>
          <w:color w:val="auto"/>
        </w:rPr>
        <w:t xml:space="preserve"> (Figure 5)</w:t>
      </w:r>
      <w:commentRangeStart w:id="44"/>
      <w:r w:rsidR="00340B81">
        <w:rPr>
          <w:rFonts w:eastAsiaTheme="minorHAnsi"/>
          <w:b w:val="0"/>
          <w:bCs w:val="0"/>
          <w:color w:val="auto"/>
        </w:rPr>
        <w:t>.</w:t>
      </w:r>
      <w:commentRangeEnd w:id="44"/>
      <w:r w:rsidR="00DA2CC1">
        <w:rPr>
          <w:rStyle w:val="CommentReference"/>
          <w:rFonts w:eastAsiaTheme="minorHAnsi"/>
          <w:b w:val="0"/>
          <w:bCs w:val="0"/>
          <w:color w:val="auto"/>
          <w:sz w:val="24"/>
          <w:szCs w:val="24"/>
        </w:rPr>
        <w:commentReference w:id="44"/>
      </w:r>
      <w:r w:rsidR="002F589B">
        <w:rPr>
          <w:rFonts w:eastAsiaTheme="minorHAnsi"/>
          <w:b w:val="0"/>
          <w:bCs w:val="0"/>
          <w:color w:val="auto"/>
        </w:rPr>
        <w:t xml:space="preserve"> Compared to 2018, assemblages assigned to cluster 3 occurred more often in 2019 and those assigned to cluster 5 occurred less often, assemblages assigned to cluster 1 occurred more often in 2022 and those assigned to clusters 2 and 6 occurred less often, and assemblages assigned to clusters 2 and 6 occurred more often in 2023 (</w:t>
      </w:r>
      <w:r w:rsidR="002F589B">
        <w:rPr>
          <w:rFonts w:eastAsiaTheme="minorHAnsi"/>
          <w:b w:val="0"/>
          <w:bCs w:val="0"/>
          <w:i/>
          <w:iCs/>
          <w:color w:val="auto"/>
        </w:rPr>
        <w:t xml:space="preserve">p </w:t>
      </w:r>
      <w:r w:rsidR="002F589B" w:rsidRPr="00E2095F">
        <w:rPr>
          <w:rFonts w:eastAsiaTheme="minorHAnsi"/>
          <w:b w:val="0"/>
          <w:bCs w:val="0"/>
          <w:color w:val="auto"/>
        </w:rPr>
        <w:t>= 0.001</w:t>
      </w:r>
      <w:r w:rsidR="002F589B">
        <w:rPr>
          <w:rFonts w:eastAsiaTheme="minorHAnsi"/>
          <w:b w:val="0"/>
          <w:bCs w:val="0"/>
          <w:color w:val="auto"/>
        </w:rPr>
        <w:t>) (Figure 5).</w:t>
      </w:r>
    </w:p>
    <w:p w14:paraId="215B4BA9" w14:textId="137BF03B" w:rsidR="00D61FDF" w:rsidRDefault="00D61FDF" w:rsidP="009B332C">
      <w:pPr>
        <w:pStyle w:val="Heading2"/>
      </w:pPr>
      <w:r>
        <w:t>2.3</w:t>
      </w:r>
      <w:r>
        <w:tab/>
      </w:r>
      <w:r w:rsidR="00DC6AC2">
        <w:t>Taxon-specific diel variation in vertical abundance distribution</w:t>
      </w:r>
    </w:p>
    <w:p w14:paraId="6B98C430" w14:textId="6B963862" w:rsidR="00BC560D" w:rsidRPr="006156FD" w:rsidDel="007B7E8F" w:rsidRDefault="0088423C" w:rsidP="00241E61">
      <w:pPr>
        <w:rPr>
          <w:del w:id="45" w:author="Bobay, Luke Andrew" w:date="2026-08-28T18:22:00Z" w16du:dateUtc="2026-08-29T01:22:00Z"/>
        </w:rPr>
      </w:pPr>
      <w:r>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w:t>
      </w:r>
      <w:r w:rsidR="001E3A4F">
        <w:t>;</w:t>
      </w:r>
      <w:r w:rsidR="00D612C2">
        <w:t xml:space="preserve"> during nighttime and in the deepest sampled </w:t>
      </w:r>
      <w:r w:rsidR="000329E6">
        <w:t>depths</w:t>
      </w:r>
      <w:r w:rsidR="00D612C2">
        <w:t xml:space="preserve"> (</w:t>
      </w:r>
      <w:r w:rsidR="00D612C2">
        <w:rPr>
          <w:i/>
          <w:iCs/>
        </w:rPr>
        <w:t xml:space="preserve">Protomyctophum </w:t>
      </w:r>
      <w:r w:rsidR="00D612C2">
        <w:t>spp.)</w:t>
      </w:r>
      <w:r w:rsidR="001E3A4F">
        <w:t xml:space="preserve">; </w:t>
      </w:r>
      <w:r w:rsidR="00D612C2">
        <w:t xml:space="preserve">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w:t>
      </w:r>
      <w:r w:rsidR="001E3A4F">
        <w:t xml:space="preserve">; </w:t>
      </w:r>
      <w:r w:rsidR="000329E6">
        <w:t>during nighttime and in the shallowest sampled depths (</w:t>
      </w:r>
      <w:r w:rsidR="000329E6">
        <w:rPr>
          <w:i/>
          <w:iCs/>
        </w:rPr>
        <w:t>e.g.</w:t>
      </w:r>
      <w:r w:rsidR="000329E6">
        <w:t xml:space="preserve">, </w:t>
      </w:r>
      <w:r w:rsidR="000329E6">
        <w:rPr>
          <w:i/>
          <w:iCs/>
        </w:rPr>
        <w:t>Lestidiops ringens</w:t>
      </w:r>
      <w:r w:rsidR="000329E6">
        <w:t>)</w:t>
      </w:r>
      <w:r w:rsidR="001E3A4F">
        <w:t xml:space="preserve">; </w:t>
      </w:r>
      <w:r w:rsidR="000329E6">
        <w:t>throughout the full day at the shallowest sampled depths (</w:t>
      </w:r>
      <w:r w:rsidR="000329E6">
        <w:rPr>
          <w:i/>
          <w:iCs/>
        </w:rPr>
        <w:t>e.g.</w:t>
      </w:r>
      <w:r w:rsidR="000329E6">
        <w:t>, Ammodytidae)</w:t>
      </w:r>
      <w:r w:rsidR="001E3A4F">
        <w:t xml:space="preserve">; </w:t>
      </w:r>
      <w:r w:rsidR="000329E6">
        <w:t>during daytime and at the shallowest sampled depths (</w:t>
      </w:r>
      <w:r w:rsidR="000329E6">
        <w:rPr>
          <w:i/>
          <w:iCs/>
        </w:rPr>
        <w:t>e.g.</w:t>
      </w:r>
      <w:r w:rsidR="000329E6">
        <w:t>, Osmeridae)</w:t>
      </w:r>
      <w:r w:rsidR="001E3A4F">
        <w:t>;</w:t>
      </w:r>
      <w:r w:rsidR="001E3C4B">
        <w:t xml:space="preserve"> </w:t>
      </w:r>
      <w:r w:rsidR="000329E6">
        <w:t>and during nighttime at the deepest sampled depths and during daytime at the shallowest sampled depths (</w:t>
      </w:r>
      <w:r w:rsidR="000329E6">
        <w:rPr>
          <w:i/>
          <w:iCs/>
        </w:rPr>
        <w:t xml:space="preserve">Liparis </w:t>
      </w:r>
      <w:r w:rsidR="000329E6">
        <w:t xml:space="preserve">spp. and </w:t>
      </w:r>
      <w:r w:rsidR="004A0FB5">
        <w:rPr>
          <w:i/>
          <w:iCs/>
        </w:rPr>
        <w:t>S.</w:t>
      </w:r>
      <w:r w:rsidR="000329E6">
        <w:rPr>
          <w:i/>
          <w:iCs/>
        </w:rPr>
        <w:t xml:space="preserve"> leucopsarus</w:t>
      </w:r>
      <w:r w:rsidR="000329E6">
        <w:t>) (Fig</w:t>
      </w:r>
      <w:ins w:id="46" w:author="Bobay, Luke Andrew" w:date="2026-09-09T15:30:00Z" w16du:dateUtc="2026-09-09T22:30:00Z">
        <w:r w:rsidR="00FC6C5D">
          <w:t>ure</w:t>
        </w:r>
      </w:ins>
      <w:del w:id="47" w:author="Bobay, Luke Andrew" w:date="2026-09-09T15:30:00Z" w16du:dateUtc="2026-09-09T22:30:00Z">
        <w:r w:rsidR="000329E6" w:rsidDel="00FC6C5D">
          <w:delText>.</w:delText>
        </w:r>
      </w:del>
      <w:r w:rsidR="000329E6">
        <w:t xml:space="preserve"> 6). </w:t>
      </w:r>
      <w:r w:rsidR="00624A4D">
        <w:t>T</w:t>
      </w:r>
      <w:r w:rsidR="00435F79">
        <w:t xml:space="preserve">he total abundance </w:t>
      </w:r>
      <w:r w:rsidR="00624A4D">
        <w:t>of larvae in the sampled portion of the water column</w:t>
      </w:r>
      <w:r w:rsidR="00435F79">
        <w:t xml:space="preserve"> varie</w:t>
      </w:r>
      <w:ins w:id="48" w:author="Bobay, Luke Andrew" w:date="2026-09-09T15:31:00Z" w16du:dateUtc="2026-09-09T22:31:00Z">
        <w:r w:rsidR="00FC6C5D">
          <w:t>d</w:t>
        </w:r>
      </w:ins>
      <w:del w:id="49" w:author="Bobay, Luke Andrew" w:date="2026-09-09T15:31:00Z" w16du:dateUtc="2026-09-09T22:31:00Z">
        <w:r w:rsidR="00435F79" w:rsidDel="00FC6C5D">
          <w:delText>s</w:delText>
        </w:r>
      </w:del>
      <w:r w:rsidR="00435F79">
        <w:t xml:space="preserve">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Bathylagus ochotensis</w:t>
      </w:r>
      <w:r w:rsidR="00624A4D">
        <w:t xml:space="preserve"> and </w:t>
      </w:r>
      <w:r w:rsidR="004A0FB5">
        <w:rPr>
          <w:i/>
          <w:iCs/>
        </w:rPr>
        <w:t>S.</w:t>
      </w:r>
      <w:r w:rsidR="006156FD">
        <w:rPr>
          <w:i/>
          <w:iCs/>
        </w:rPr>
        <w:t xml:space="preserve"> </w:t>
      </w:r>
      <w:r w:rsidR="006156FD">
        <w:rPr>
          <w:i/>
          <w:iCs/>
        </w:rPr>
        <w:lastRenderedPageBreak/>
        <w:t>leucopsarus</w:t>
      </w:r>
      <w:r w:rsidR="00624A4D">
        <w:t>) but not others (</w:t>
      </w:r>
      <w:r w:rsidR="00624A4D">
        <w:rPr>
          <w:i/>
          <w:iCs/>
        </w:rPr>
        <w:t>e.g.</w:t>
      </w:r>
      <w:r w:rsidR="00624A4D">
        <w:t>, Cottidae) (Fig</w:t>
      </w:r>
      <w:r w:rsidR="00FC6C5D">
        <w:t>ure</w:t>
      </w:r>
      <w:r w:rsidR="00624A4D">
        <w:t xml:space="preserve"> 7). Similarly, depth-abundance gradients var</w:t>
      </w:r>
      <w:r w:rsidR="00FC6C5D">
        <w:t>ied</w:t>
      </w:r>
      <w:r w:rsidR="00624A4D">
        <w:t xml:space="preserve">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r w:rsidR="00FC6C5D">
        <w:t xml:space="preserve"> (Figure 8)</w:t>
      </w:r>
      <w:r w:rsidR="006156FD">
        <w:t>.</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3"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6"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18" w:author="Bobay, Luke Andrew" w:date="2026-09-09T14:46:00Z" w:initials="LB">
    <w:p w14:paraId="015CBC7A" w14:textId="77777777" w:rsidR="00D93053" w:rsidRDefault="00D93053" w:rsidP="00D93053">
      <w:pPr>
        <w:pStyle w:val="CommentText"/>
      </w:pPr>
      <w:r>
        <w:rPr>
          <w:rStyle w:val="CommentReference"/>
        </w:rPr>
        <w:annotationRef/>
      </w:r>
      <w:r>
        <w:t>This is a very common abbreviation and gets used a lot in the text, so we’ll keep this and dbRDA</w:t>
      </w:r>
    </w:p>
  </w:comment>
  <w:comment w:id="28" w:author="Bobay, Luke Andrew" w:date="2026-09-09T09:16:00Z" w:initials="LB">
    <w:p w14:paraId="58AD3185" w14:textId="77777777" w:rsidR="007C71F7" w:rsidRDefault="007C71F7" w:rsidP="007C71F7">
      <w:pPr>
        <w:pStyle w:val="CommentText"/>
      </w:pPr>
      <w:r>
        <w:rPr>
          <w:rStyle w:val="CommentReference"/>
        </w:rPr>
        <w:annotationRef/>
      </w:r>
      <w:r>
        <w:t>Need to remember to add to reference list at the end:</w:t>
      </w:r>
      <w:r>
        <w:br/>
        <w:t>R Core Team (2025). R: A language and environment for statistical computing. Vienna, Austria: R Foundation for Statistical Computing.</w:t>
      </w:r>
    </w:p>
  </w:comment>
  <w:comment w:id="34" w:author="McCloskey, Ross" w:date="2026-09-07T12:07:00Z" w:initials="RM">
    <w:p w14:paraId="1AEF4160" w14:textId="77777777" w:rsidR="000B5C8B" w:rsidRDefault="000B5C8B" w:rsidP="000B5C8B">
      <w:pPr>
        <w:pStyle w:val="CommentText"/>
      </w:pPr>
      <w:r>
        <w:rPr>
          <w:rStyle w:val="CommentReference"/>
        </w:rPr>
        <w:annotationRef/>
      </w:r>
      <w:r>
        <w:t>Since these are the first times the species are mentioned, do we use the full genus? Do we need to include in parentheses the shortened nomenclature we’ll be using or is it okay as is?</w:t>
      </w:r>
    </w:p>
  </w:comment>
  <w:comment w:id="35" w:author="McCloskey, Ross" w:date="2026-09-07T12:10:00Z" w:initials="RM">
    <w:p w14:paraId="5C9098B6" w14:textId="77777777" w:rsidR="00ED46FB" w:rsidRDefault="00ED46FB" w:rsidP="00ED46FB">
      <w:pPr>
        <w:pStyle w:val="CommentText"/>
      </w:pPr>
      <w:r>
        <w:rPr>
          <w:rStyle w:val="CommentReference"/>
        </w:rPr>
        <w:annotationRef/>
      </w:r>
      <w:r>
        <w:t>Do we also need to cite the taxonomic authorities for these?</w:t>
      </w:r>
    </w:p>
  </w:comment>
  <w:comment w:id="36" w:author="Bobay, Luke Andrew" w:date="2026-09-09T12:16:00Z" w:initials="LB">
    <w:p w14:paraId="67D405A5" w14:textId="77777777" w:rsidR="007506CF" w:rsidRDefault="007506CF" w:rsidP="007506CF">
      <w:pPr>
        <w:pStyle w:val="CommentText"/>
      </w:pPr>
      <w:r>
        <w:rPr>
          <w:rStyle w:val="CommentReference"/>
        </w:rPr>
        <w:annotationRef/>
      </w:r>
      <w:r>
        <w:t>Yes, write out the full genus name the first time it’s used, but you don’t need to include the shortened genus name in parentheses to use it later. I don’t think we need to cite the taxonomic source, since we’re focusing on the ecology, not taxonomy, and since the names we’re using aren’t actually the most updated ones</w:t>
      </w:r>
    </w:p>
  </w:comment>
  <w:comment w:id="40" w:author="McCloskey, Ross" w:date="2026-09-07T12:33:00Z" w:initials="RM">
    <w:p w14:paraId="457EC8E9" w14:textId="77777777" w:rsidR="001F4A57" w:rsidRDefault="001F4A57" w:rsidP="001F4A57">
      <w:pPr>
        <w:pStyle w:val="CommentText"/>
      </w:pPr>
      <w:r>
        <w:rPr>
          <w:rStyle w:val="CommentReference"/>
        </w:rPr>
        <w:annotationRef/>
      </w:r>
      <w:r>
        <w:t>Got these values from the bottom right table on slide 8. I don’t know if I’m interpreting/describing this right, though.</w:t>
      </w:r>
    </w:p>
  </w:comment>
  <w:comment w:id="41" w:author="Bobay, Luke Andrew" w:date="2026-09-09T15:01:00Z" w:initials="LB">
    <w:p w14:paraId="3747D993" w14:textId="77777777" w:rsidR="009810B7" w:rsidRDefault="009810B7" w:rsidP="009810B7">
      <w:pPr>
        <w:pStyle w:val="CommentText"/>
      </w:pPr>
      <w:r>
        <w:rPr>
          <w:rStyle w:val="CommentReference"/>
        </w:rPr>
        <w:annotationRef/>
      </w:r>
      <w:r>
        <w:t>Pretty close! Shared variation can’t be attributed to either set of covariates alone</w:t>
      </w:r>
    </w:p>
  </w:comment>
  <w:comment w:id="44" w:author="McCloskey, Ross" w:date="2026-09-07T13:29:00Z" w:initials="RM">
    <w:p w14:paraId="240AE705" w14:textId="77777777" w:rsidR="00DA2CC1" w:rsidRDefault="00DA2CC1" w:rsidP="00DA2CC1">
      <w:pPr>
        <w:pStyle w:val="CommentText"/>
      </w:pPr>
      <w:r>
        <w:rPr>
          <w:rStyle w:val="CommentReference"/>
        </w:rPr>
        <w:annotationRef/>
      </w:r>
      <w:r>
        <w:t>I took a stab at this but I don’t know if I’m interpreting or phrasing this correctly. Could maybe be more eloquent since this is kind of clunky to 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796C364A" w15:paraIdParent="021223F3" w15:done="0"/>
  <w15:commentEx w15:paraId="5B8443B7" w15:done="1"/>
  <w15:commentEx w15:paraId="763D8A91" w15:done="0"/>
  <w15:commentEx w15:paraId="0A2C9749" w15:paraIdParent="763D8A91" w15:done="0"/>
  <w15:commentEx w15:paraId="015CBC7A" w15:done="0"/>
  <w15:commentEx w15:paraId="58AD3185" w15:done="0"/>
  <w15:commentEx w15:paraId="1AEF4160" w15:done="0"/>
  <w15:commentEx w15:paraId="5C9098B6" w15:paraIdParent="1AEF4160" w15:done="0"/>
  <w15:commentEx w15:paraId="67D405A5" w15:paraIdParent="1AEF4160" w15:done="0"/>
  <w15:commentEx w15:paraId="457EC8E9" w15:done="0"/>
  <w15:commentEx w15:paraId="3747D993" w15:paraIdParent="457EC8E9" w15:done="0"/>
  <w15:commentEx w15:paraId="240AE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60EC0075" w16cex:dateUtc="2026-08-27T18:16:00Z"/>
  <w16cex:commentExtensible w16cex:durableId="0798161C" w16cex:dateUtc="2026-08-18T20:06:00Z"/>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05340C39" w16cex:dateUtc="2026-09-09T21:46:00Z">
    <w16cex:extLst>
      <w16:ext w16:uri="{CE6994B0-6A32-4C9F-8C6B-6E91EDA988CE}">
        <cr:reactions xmlns:cr="http://schemas.microsoft.com/office/comments/2020/reactions">
          <cr:reaction reactionType="1">
            <cr:reactionInfo dateUtc="2026-09-23T22:41:45Z">
              <cr:user userId="S::mccloskw@oregonstate.edu::b1990487-ee44-4922-b58f-5b2980a02730" userProvider="AD" userName="McCloskey, Ross"/>
            </cr:reactionInfo>
          </cr:reaction>
        </cr:reactions>
      </w16:ext>
    </w16cex:extLst>
  </w16cex:commentExtensible>
  <w16cex:commentExtensible w16cex:durableId="64FF76D4" w16cex:dateUtc="2026-09-09T16:16:00Z"/>
  <w16cex:commentExtensible w16cex:durableId="2D06587C" w16cex:dateUtc="2026-09-07T19:07:00Z"/>
  <w16cex:commentExtensible w16cex:durableId="4C2C3F5B" w16cex:dateUtc="2026-09-07T19:10:00Z"/>
  <w16cex:commentExtensible w16cex:durableId="1613E6BF" w16cex:dateUtc="2026-09-09T19:16:00Z">
    <w16cex:extLst>
      <w16:ext w16:uri="{CE6994B0-6A32-4C9F-8C6B-6E91EDA988CE}">
        <cr:reactions xmlns:cr="http://schemas.microsoft.com/office/comments/2020/reactions">
          <cr:reaction reactionType="1">
            <cr:reactionInfo dateUtc="2026-09-23T22:53:50Z">
              <cr:user userId="S::mccloskw@oregonstate.edu::b1990487-ee44-4922-b58f-5b2980a02730" userProvider="AD" userName="McCloskey, Ross"/>
            </cr:reactionInfo>
          </cr:reaction>
        </cr:reactions>
      </w16:ext>
    </w16cex:extLst>
  </w16cex:commentExtensible>
  <w16cex:commentExtensible w16cex:durableId="285C1B87" w16cex:dateUtc="2026-09-07T19:33:00Z"/>
  <w16cex:commentExtensible w16cex:durableId="2DB46F20" w16cex:dateUtc="2026-09-09T22:01:00Z"/>
  <w16cex:commentExtensible w16cex:durableId="2526330B" w16cex:dateUtc="2026-09-07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796C364A" w16cid:durableId="60EC0075"/>
  <w16cid:commentId w16cid:paraId="5B8443B7" w16cid:durableId="0798161C"/>
  <w16cid:commentId w16cid:paraId="763D8A91" w16cid:durableId="167F67C8"/>
  <w16cid:commentId w16cid:paraId="0A2C9749" w16cid:durableId="60C23C39"/>
  <w16cid:commentId w16cid:paraId="015CBC7A" w16cid:durableId="05340C39"/>
  <w16cid:commentId w16cid:paraId="58AD3185" w16cid:durableId="64FF76D4"/>
  <w16cid:commentId w16cid:paraId="1AEF4160" w16cid:durableId="2D06587C"/>
  <w16cid:commentId w16cid:paraId="5C9098B6" w16cid:durableId="4C2C3F5B"/>
  <w16cid:commentId w16cid:paraId="67D405A5" w16cid:durableId="1613E6BF"/>
  <w16cid:commentId w16cid:paraId="457EC8E9" w16cid:durableId="285C1B87"/>
  <w16cid:commentId w16cid:paraId="3747D993" w16cid:durableId="2DB46F20"/>
  <w16cid:commentId w16cid:paraId="240AE705" w16cid:durableId="252633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rson w15:author="Bobay, Luke Andrew">
    <w15:presenceInfo w15:providerId="AD" w15:userId="S::bobayl@oregonstate.edu::51702319-4e48-496d-9001-3f54d6daf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04A73"/>
    <w:rsid w:val="00012023"/>
    <w:rsid w:val="00013228"/>
    <w:rsid w:val="000179E0"/>
    <w:rsid w:val="000329E6"/>
    <w:rsid w:val="0003408B"/>
    <w:rsid w:val="0003588C"/>
    <w:rsid w:val="00036569"/>
    <w:rsid w:val="000422F8"/>
    <w:rsid w:val="00045C30"/>
    <w:rsid w:val="00051023"/>
    <w:rsid w:val="000558F0"/>
    <w:rsid w:val="00056EB0"/>
    <w:rsid w:val="00073331"/>
    <w:rsid w:val="00073AEF"/>
    <w:rsid w:val="0007479F"/>
    <w:rsid w:val="00074A37"/>
    <w:rsid w:val="000A0F1A"/>
    <w:rsid w:val="000B5A07"/>
    <w:rsid w:val="000B5C8B"/>
    <w:rsid w:val="000B6B2C"/>
    <w:rsid w:val="000D2CE3"/>
    <w:rsid w:val="000D2FB7"/>
    <w:rsid w:val="000D6DCD"/>
    <w:rsid w:val="000D6DD6"/>
    <w:rsid w:val="000F5EA2"/>
    <w:rsid w:val="000F5EA3"/>
    <w:rsid w:val="001013FF"/>
    <w:rsid w:val="00110242"/>
    <w:rsid w:val="001269B6"/>
    <w:rsid w:val="0013665A"/>
    <w:rsid w:val="001366D6"/>
    <w:rsid w:val="0014193D"/>
    <w:rsid w:val="0014295B"/>
    <w:rsid w:val="0014628A"/>
    <w:rsid w:val="0015125F"/>
    <w:rsid w:val="00155087"/>
    <w:rsid w:val="00166BB8"/>
    <w:rsid w:val="00166DF3"/>
    <w:rsid w:val="00174277"/>
    <w:rsid w:val="001813A1"/>
    <w:rsid w:val="001860AC"/>
    <w:rsid w:val="00191EA4"/>
    <w:rsid w:val="00196E2D"/>
    <w:rsid w:val="001A6532"/>
    <w:rsid w:val="001A7C11"/>
    <w:rsid w:val="001C0BC1"/>
    <w:rsid w:val="001C409C"/>
    <w:rsid w:val="001C4787"/>
    <w:rsid w:val="001C4C0F"/>
    <w:rsid w:val="001C555A"/>
    <w:rsid w:val="001D22B8"/>
    <w:rsid w:val="001D7CC3"/>
    <w:rsid w:val="001E0CC7"/>
    <w:rsid w:val="001E3A4F"/>
    <w:rsid w:val="001E3C4B"/>
    <w:rsid w:val="001E3F28"/>
    <w:rsid w:val="001E547D"/>
    <w:rsid w:val="001E6EA3"/>
    <w:rsid w:val="001F3F34"/>
    <w:rsid w:val="001F4A57"/>
    <w:rsid w:val="001F7986"/>
    <w:rsid w:val="0020440C"/>
    <w:rsid w:val="002050D6"/>
    <w:rsid w:val="00217F18"/>
    <w:rsid w:val="002227CA"/>
    <w:rsid w:val="00225EA7"/>
    <w:rsid w:val="00233059"/>
    <w:rsid w:val="00237CA3"/>
    <w:rsid w:val="00241E61"/>
    <w:rsid w:val="00243FA2"/>
    <w:rsid w:val="00263B2A"/>
    <w:rsid w:val="002736F3"/>
    <w:rsid w:val="00273CE5"/>
    <w:rsid w:val="002826AD"/>
    <w:rsid w:val="00285E42"/>
    <w:rsid w:val="002A052D"/>
    <w:rsid w:val="002A2056"/>
    <w:rsid w:val="002B34AD"/>
    <w:rsid w:val="002B3D66"/>
    <w:rsid w:val="002C0601"/>
    <w:rsid w:val="002E4113"/>
    <w:rsid w:val="002E5758"/>
    <w:rsid w:val="002F22CC"/>
    <w:rsid w:val="002F3E81"/>
    <w:rsid w:val="002F589B"/>
    <w:rsid w:val="00304513"/>
    <w:rsid w:val="00312F9D"/>
    <w:rsid w:val="00313446"/>
    <w:rsid w:val="00317731"/>
    <w:rsid w:val="003246A0"/>
    <w:rsid w:val="00340B81"/>
    <w:rsid w:val="003411FF"/>
    <w:rsid w:val="00350629"/>
    <w:rsid w:val="00350BBD"/>
    <w:rsid w:val="003511BE"/>
    <w:rsid w:val="00352F80"/>
    <w:rsid w:val="00355960"/>
    <w:rsid w:val="003600B0"/>
    <w:rsid w:val="00361B67"/>
    <w:rsid w:val="0036218E"/>
    <w:rsid w:val="003647AC"/>
    <w:rsid w:val="00374B65"/>
    <w:rsid w:val="00381A32"/>
    <w:rsid w:val="00393369"/>
    <w:rsid w:val="003A45A1"/>
    <w:rsid w:val="003A6427"/>
    <w:rsid w:val="003A7D45"/>
    <w:rsid w:val="003B724D"/>
    <w:rsid w:val="003C55F5"/>
    <w:rsid w:val="003D309B"/>
    <w:rsid w:val="003D3264"/>
    <w:rsid w:val="003F0B83"/>
    <w:rsid w:val="003F65FE"/>
    <w:rsid w:val="004024BE"/>
    <w:rsid w:val="00410471"/>
    <w:rsid w:val="004113AA"/>
    <w:rsid w:val="00413B61"/>
    <w:rsid w:val="00416033"/>
    <w:rsid w:val="00417D09"/>
    <w:rsid w:val="00434324"/>
    <w:rsid w:val="00435BD1"/>
    <w:rsid w:val="00435F79"/>
    <w:rsid w:val="00441A53"/>
    <w:rsid w:val="004460CF"/>
    <w:rsid w:val="004511A7"/>
    <w:rsid w:val="00455278"/>
    <w:rsid w:val="004575B7"/>
    <w:rsid w:val="00461BB9"/>
    <w:rsid w:val="00461FBA"/>
    <w:rsid w:val="004638C0"/>
    <w:rsid w:val="00464F86"/>
    <w:rsid w:val="00467331"/>
    <w:rsid w:val="00480665"/>
    <w:rsid w:val="00485379"/>
    <w:rsid w:val="004879F4"/>
    <w:rsid w:val="004901C2"/>
    <w:rsid w:val="00490E2C"/>
    <w:rsid w:val="00494261"/>
    <w:rsid w:val="00495D22"/>
    <w:rsid w:val="004A0FB5"/>
    <w:rsid w:val="004A601C"/>
    <w:rsid w:val="004A6767"/>
    <w:rsid w:val="004A6905"/>
    <w:rsid w:val="004B2CB6"/>
    <w:rsid w:val="004C7D48"/>
    <w:rsid w:val="004D2F54"/>
    <w:rsid w:val="004D4BD4"/>
    <w:rsid w:val="004E0B71"/>
    <w:rsid w:val="004E11AC"/>
    <w:rsid w:val="004E12CD"/>
    <w:rsid w:val="004E24A9"/>
    <w:rsid w:val="004F62F3"/>
    <w:rsid w:val="00501607"/>
    <w:rsid w:val="005053B5"/>
    <w:rsid w:val="005067C5"/>
    <w:rsid w:val="0050797B"/>
    <w:rsid w:val="00514F21"/>
    <w:rsid w:val="005166E6"/>
    <w:rsid w:val="00520973"/>
    <w:rsid w:val="005228C5"/>
    <w:rsid w:val="00525C19"/>
    <w:rsid w:val="00530038"/>
    <w:rsid w:val="00532A6C"/>
    <w:rsid w:val="00532D42"/>
    <w:rsid w:val="005418C8"/>
    <w:rsid w:val="00543FCD"/>
    <w:rsid w:val="005472BE"/>
    <w:rsid w:val="00553F2A"/>
    <w:rsid w:val="00556910"/>
    <w:rsid w:val="00563F50"/>
    <w:rsid w:val="00565CF9"/>
    <w:rsid w:val="00576703"/>
    <w:rsid w:val="00584331"/>
    <w:rsid w:val="005945D2"/>
    <w:rsid w:val="005949EB"/>
    <w:rsid w:val="0059642C"/>
    <w:rsid w:val="005A3085"/>
    <w:rsid w:val="005A34F0"/>
    <w:rsid w:val="005A7978"/>
    <w:rsid w:val="005B050C"/>
    <w:rsid w:val="005B1264"/>
    <w:rsid w:val="005B3622"/>
    <w:rsid w:val="005B6DC3"/>
    <w:rsid w:val="005D1578"/>
    <w:rsid w:val="005E0081"/>
    <w:rsid w:val="005E116B"/>
    <w:rsid w:val="005E284A"/>
    <w:rsid w:val="005E384D"/>
    <w:rsid w:val="005E508C"/>
    <w:rsid w:val="005E656F"/>
    <w:rsid w:val="00614027"/>
    <w:rsid w:val="00614ADF"/>
    <w:rsid w:val="006156FD"/>
    <w:rsid w:val="00621A53"/>
    <w:rsid w:val="00624A4D"/>
    <w:rsid w:val="00624A54"/>
    <w:rsid w:val="0062773F"/>
    <w:rsid w:val="00633FF4"/>
    <w:rsid w:val="00635AEA"/>
    <w:rsid w:val="00642639"/>
    <w:rsid w:val="006429C0"/>
    <w:rsid w:val="00643520"/>
    <w:rsid w:val="00650D3A"/>
    <w:rsid w:val="00655DF5"/>
    <w:rsid w:val="0066049B"/>
    <w:rsid w:val="00661AD6"/>
    <w:rsid w:val="00663747"/>
    <w:rsid w:val="0066583C"/>
    <w:rsid w:val="00666F7B"/>
    <w:rsid w:val="00674F8F"/>
    <w:rsid w:val="00680E34"/>
    <w:rsid w:val="006811CA"/>
    <w:rsid w:val="00682E3B"/>
    <w:rsid w:val="006878C0"/>
    <w:rsid w:val="006955A6"/>
    <w:rsid w:val="006A441B"/>
    <w:rsid w:val="006A5A52"/>
    <w:rsid w:val="006B0B32"/>
    <w:rsid w:val="006B54D7"/>
    <w:rsid w:val="006D38F2"/>
    <w:rsid w:val="006D744D"/>
    <w:rsid w:val="006E7A6D"/>
    <w:rsid w:val="006F1965"/>
    <w:rsid w:val="0070270B"/>
    <w:rsid w:val="00705ECA"/>
    <w:rsid w:val="00716D2E"/>
    <w:rsid w:val="00724926"/>
    <w:rsid w:val="007254ED"/>
    <w:rsid w:val="0075057E"/>
    <w:rsid w:val="007506CF"/>
    <w:rsid w:val="00752993"/>
    <w:rsid w:val="00756C9B"/>
    <w:rsid w:val="007622CC"/>
    <w:rsid w:val="00762702"/>
    <w:rsid w:val="007638DF"/>
    <w:rsid w:val="0077607F"/>
    <w:rsid w:val="00785AF0"/>
    <w:rsid w:val="00794531"/>
    <w:rsid w:val="00796201"/>
    <w:rsid w:val="007A42CB"/>
    <w:rsid w:val="007A52BF"/>
    <w:rsid w:val="007B2B8A"/>
    <w:rsid w:val="007B44F8"/>
    <w:rsid w:val="007B7E8F"/>
    <w:rsid w:val="007C71F7"/>
    <w:rsid w:val="007D02B3"/>
    <w:rsid w:val="007D245A"/>
    <w:rsid w:val="007D3CA1"/>
    <w:rsid w:val="007E0ACC"/>
    <w:rsid w:val="007E130E"/>
    <w:rsid w:val="007E7589"/>
    <w:rsid w:val="00824841"/>
    <w:rsid w:val="00824FEC"/>
    <w:rsid w:val="0082539F"/>
    <w:rsid w:val="00826689"/>
    <w:rsid w:val="00826A33"/>
    <w:rsid w:val="0083671B"/>
    <w:rsid w:val="008518D4"/>
    <w:rsid w:val="00851E58"/>
    <w:rsid w:val="00852AFF"/>
    <w:rsid w:val="008544F1"/>
    <w:rsid w:val="00855538"/>
    <w:rsid w:val="00860CF6"/>
    <w:rsid w:val="00860E67"/>
    <w:rsid w:val="008634A9"/>
    <w:rsid w:val="00883932"/>
    <w:rsid w:val="00884195"/>
    <w:rsid w:val="0088423C"/>
    <w:rsid w:val="0089170B"/>
    <w:rsid w:val="008A109A"/>
    <w:rsid w:val="008A2030"/>
    <w:rsid w:val="008C3CA6"/>
    <w:rsid w:val="008C6B01"/>
    <w:rsid w:val="008D5367"/>
    <w:rsid w:val="008D53EF"/>
    <w:rsid w:val="008E0B6D"/>
    <w:rsid w:val="008E1B9B"/>
    <w:rsid w:val="008E22A0"/>
    <w:rsid w:val="008E419C"/>
    <w:rsid w:val="008F01FB"/>
    <w:rsid w:val="008F02B9"/>
    <w:rsid w:val="008F647F"/>
    <w:rsid w:val="0090034F"/>
    <w:rsid w:val="00903865"/>
    <w:rsid w:val="00905D9C"/>
    <w:rsid w:val="00910101"/>
    <w:rsid w:val="00920410"/>
    <w:rsid w:val="00931014"/>
    <w:rsid w:val="00943701"/>
    <w:rsid w:val="00945CA1"/>
    <w:rsid w:val="00956532"/>
    <w:rsid w:val="00956633"/>
    <w:rsid w:val="009625C6"/>
    <w:rsid w:val="009733A8"/>
    <w:rsid w:val="00974EBE"/>
    <w:rsid w:val="00980989"/>
    <w:rsid w:val="009810B7"/>
    <w:rsid w:val="00992616"/>
    <w:rsid w:val="009948C8"/>
    <w:rsid w:val="00995CD2"/>
    <w:rsid w:val="009960A4"/>
    <w:rsid w:val="009A6271"/>
    <w:rsid w:val="009B00D7"/>
    <w:rsid w:val="009B20E9"/>
    <w:rsid w:val="009B332C"/>
    <w:rsid w:val="009B4152"/>
    <w:rsid w:val="009B539C"/>
    <w:rsid w:val="009B72BE"/>
    <w:rsid w:val="009C4C74"/>
    <w:rsid w:val="009D0E39"/>
    <w:rsid w:val="009D1D41"/>
    <w:rsid w:val="009D242D"/>
    <w:rsid w:val="009E1419"/>
    <w:rsid w:val="009E2A8B"/>
    <w:rsid w:val="009E52C4"/>
    <w:rsid w:val="009E7309"/>
    <w:rsid w:val="009F702D"/>
    <w:rsid w:val="009F7822"/>
    <w:rsid w:val="00A012AB"/>
    <w:rsid w:val="00A032CD"/>
    <w:rsid w:val="00A04473"/>
    <w:rsid w:val="00A155FE"/>
    <w:rsid w:val="00A2677C"/>
    <w:rsid w:val="00A26F1E"/>
    <w:rsid w:val="00A31F5D"/>
    <w:rsid w:val="00A361A5"/>
    <w:rsid w:val="00A40481"/>
    <w:rsid w:val="00A449D3"/>
    <w:rsid w:val="00A50F1D"/>
    <w:rsid w:val="00A5340A"/>
    <w:rsid w:val="00A545DE"/>
    <w:rsid w:val="00A56D18"/>
    <w:rsid w:val="00A64097"/>
    <w:rsid w:val="00A71194"/>
    <w:rsid w:val="00A7263A"/>
    <w:rsid w:val="00A81F94"/>
    <w:rsid w:val="00A87C92"/>
    <w:rsid w:val="00A95481"/>
    <w:rsid w:val="00A9626B"/>
    <w:rsid w:val="00AA191D"/>
    <w:rsid w:val="00AA28D8"/>
    <w:rsid w:val="00AC0329"/>
    <w:rsid w:val="00AC5338"/>
    <w:rsid w:val="00AD12FC"/>
    <w:rsid w:val="00AD5ABC"/>
    <w:rsid w:val="00AD6022"/>
    <w:rsid w:val="00AD6F4E"/>
    <w:rsid w:val="00AE209F"/>
    <w:rsid w:val="00AE2126"/>
    <w:rsid w:val="00AE7159"/>
    <w:rsid w:val="00AF036C"/>
    <w:rsid w:val="00AF0685"/>
    <w:rsid w:val="00AF2B2A"/>
    <w:rsid w:val="00AF7B28"/>
    <w:rsid w:val="00B018DE"/>
    <w:rsid w:val="00B16C42"/>
    <w:rsid w:val="00B16F79"/>
    <w:rsid w:val="00B37C7A"/>
    <w:rsid w:val="00B40B38"/>
    <w:rsid w:val="00B41A14"/>
    <w:rsid w:val="00B57A56"/>
    <w:rsid w:val="00B601DD"/>
    <w:rsid w:val="00B61E31"/>
    <w:rsid w:val="00B64419"/>
    <w:rsid w:val="00B65034"/>
    <w:rsid w:val="00B7062D"/>
    <w:rsid w:val="00B85AD5"/>
    <w:rsid w:val="00BA11AD"/>
    <w:rsid w:val="00BA2B40"/>
    <w:rsid w:val="00BA6212"/>
    <w:rsid w:val="00BA6ADE"/>
    <w:rsid w:val="00BB343F"/>
    <w:rsid w:val="00BB3B43"/>
    <w:rsid w:val="00BC019A"/>
    <w:rsid w:val="00BC560D"/>
    <w:rsid w:val="00BD5624"/>
    <w:rsid w:val="00C04DA1"/>
    <w:rsid w:val="00C138B4"/>
    <w:rsid w:val="00C147F1"/>
    <w:rsid w:val="00C21F7C"/>
    <w:rsid w:val="00C2372B"/>
    <w:rsid w:val="00C27AC9"/>
    <w:rsid w:val="00C32911"/>
    <w:rsid w:val="00C42AB6"/>
    <w:rsid w:val="00C43565"/>
    <w:rsid w:val="00C4544A"/>
    <w:rsid w:val="00C461B9"/>
    <w:rsid w:val="00C532A5"/>
    <w:rsid w:val="00C6078B"/>
    <w:rsid w:val="00C6190C"/>
    <w:rsid w:val="00C637AC"/>
    <w:rsid w:val="00C660BE"/>
    <w:rsid w:val="00C708CB"/>
    <w:rsid w:val="00C81B12"/>
    <w:rsid w:val="00C903B8"/>
    <w:rsid w:val="00C90B8A"/>
    <w:rsid w:val="00C94D00"/>
    <w:rsid w:val="00C97163"/>
    <w:rsid w:val="00CA1CE2"/>
    <w:rsid w:val="00CA286B"/>
    <w:rsid w:val="00CA788F"/>
    <w:rsid w:val="00CB0420"/>
    <w:rsid w:val="00CB5111"/>
    <w:rsid w:val="00CB7566"/>
    <w:rsid w:val="00CC24C0"/>
    <w:rsid w:val="00CC2B07"/>
    <w:rsid w:val="00CC3AC6"/>
    <w:rsid w:val="00CC6883"/>
    <w:rsid w:val="00CD5097"/>
    <w:rsid w:val="00CE2FC6"/>
    <w:rsid w:val="00CF1DE3"/>
    <w:rsid w:val="00CF67AE"/>
    <w:rsid w:val="00CF67EC"/>
    <w:rsid w:val="00D04EA2"/>
    <w:rsid w:val="00D1643A"/>
    <w:rsid w:val="00D30611"/>
    <w:rsid w:val="00D367E1"/>
    <w:rsid w:val="00D431E7"/>
    <w:rsid w:val="00D45259"/>
    <w:rsid w:val="00D50AF7"/>
    <w:rsid w:val="00D53C02"/>
    <w:rsid w:val="00D558C1"/>
    <w:rsid w:val="00D612C2"/>
    <w:rsid w:val="00D61FDF"/>
    <w:rsid w:val="00D7240E"/>
    <w:rsid w:val="00D8138A"/>
    <w:rsid w:val="00D81E20"/>
    <w:rsid w:val="00D82DA2"/>
    <w:rsid w:val="00D85B67"/>
    <w:rsid w:val="00D87B9A"/>
    <w:rsid w:val="00D919C0"/>
    <w:rsid w:val="00D93053"/>
    <w:rsid w:val="00D95383"/>
    <w:rsid w:val="00DA06BA"/>
    <w:rsid w:val="00DA2CC1"/>
    <w:rsid w:val="00DA3FB4"/>
    <w:rsid w:val="00DB03FC"/>
    <w:rsid w:val="00DB6493"/>
    <w:rsid w:val="00DC2FF2"/>
    <w:rsid w:val="00DC31EE"/>
    <w:rsid w:val="00DC6AC2"/>
    <w:rsid w:val="00DD7E7D"/>
    <w:rsid w:val="00DD7F22"/>
    <w:rsid w:val="00DE1D8D"/>
    <w:rsid w:val="00DF4B39"/>
    <w:rsid w:val="00DF592A"/>
    <w:rsid w:val="00DF623E"/>
    <w:rsid w:val="00E0136F"/>
    <w:rsid w:val="00E04C54"/>
    <w:rsid w:val="00E11EF5"/>
    <w:rsid w:val="00E168AC"/>
    <w:rsid w:val="00E2095F"/>
    <w:rsid w:val="00E25554"/>
    <w:rsid w:val="00E313CA"/>
    <w:rsid w:val="00E42CE3"/>
    <w:rsid w:val="00E47FCA"/>
    <w:rsid w:val="00E637F1"/>
    <w:rsid w:val="00E64DEF"/>
    <w:rsid w:val="00E6748D"/>
    <w:rsid w:val="00E76AEB"/>
    <w:rsid w:val="00E76FA3"/>
    <w:rsid w:val="00E82058"/>
    <w:rsid w:val="00E82241"/>
    <w:rsid w:val="00E82C62"/>
    <w:rsid w:val="00E86440"/>
    <w:rsid w:val="00EA43BE"/>
    <w:rsid w:val="00EA4AC4"/>
    <w:rsid w:val="00EA7BA1"/>
    <w:rsid w:val="00EB22A2"/>
    <w:rsid w:val="00EB5A95"/>
    <w:rsid w:val="00ED380A"/>
    <w:rsid w:val="00ED4071"/>
    <w:rsid w:val="00ED4280"/>
    <w:rsid w:val="00ED46FB"/>
    <w:rsid w:val="00EF39E9"/>
    <w:rsid w:val="00EF6175"/>
    <w:rsid w:val="00F058F4"/>
    <w:rsid w:val="00F07445"/>
    <w:rsid w:val="00F07BFB"/>
    <w:rsid w:val="00F109BB"/>
    <w:rsid w:val="00F116D9"/>
    <w:rsid w:val="00F22043"/>
    <w:rsid w:val="00F25CA3"/>
    <w:rsid w:val="00F331B9"/>
    <w:rsid w:val="00F33370"/>
    <w:rsid w:val="00F4306C"/>
    <w:rsid w:val="00F53015"/>
    <w:rsid w:val="00F53EA2"/>
    <w:rsid w:val="00F5410F"/>
    <w:rsid w:val="00F55037"/>
    <w:rsid w:val="00F61F58"/>
    <w:rsid w:val="00F64BA4"/>
    <w:rsid w:val="00F66332"/>
    <w:rsid w:val="00F7246C"/>
    <w:rsid w:val="00F81DB1"/>
    <w:rsid w:val="00F8449D"/>
    <w:rsid w:val="00F905C9"/>
    <w:rsid w:val="00F91699"/>
    <w:rsid w:val="00F91ED4"/>
    <w:rsid w:val="00F951F4"/>
    <w:rsid w:val="00F96063"/>
    <w:rsid w:val="00FA2EDA"/>
    <w:rsid w:val="00FB37D5"/>
    <w:rsid w:val="00FB6252"/>
    <w:rsid w:val="00FB680D"/>
    <w:rsid w:val="00FC169F"/>
    <w:rsid w:val="00FC5FF9"/>
    <w:rsid w:val="00FC6C5D"/>
    <w:rsid w:val="00FD0F93"/>
    <w:rsid w:val="00FD378B"/>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 w:type="paragraph" w:styleId="Bibliography">
    <w:name w:val="Bibliography"/>
    <w:basedOn w:val="Normal"/>
    <w:next w:val="Normal"/>
    <w:uiPriority w:val="37"/>
    <w:semiHidden/>
    <w:unhideWhenUsed/>
    <w:rsid w:val="00004A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6AE4D-B9CA-4F02-9CD6-274F100AA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6851</TotalTime>
  <Pages>9</Pages>
  <Words>13817</Words>
  <Characters>78763</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383</cp:revision>
  <dcterms:created xsi:type="dcterms:W3CDTF">2026-05-12T20:59:00Z</dcterms:created>
  <dcterms:modified xsi:type="dcterms:W3CDTF">2026-09-23T23:08:00Z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id="Wa0IZitr"/&gt;&lt;style id="http://www.zotero.org/styles/frontiers-in-marine-science" hasBibliography="1" bibliographyStyleHasBeenSet="1"/&gt;&lt;prefs&gt;&lt;pref name="fieldType" value="Field"/&gt;&lt;/prefs&gt;&lt;/data&gt;</vt:lpwstr>
  </property>
</Properties>
</file>