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F83E1" w14:textId="61C52607" w:rsidR="00C61A51" w:rsidRPr="004E5CEA" w:rsidRDefault="00C61A51" w:rsidP="004E5CEA">
      <w:pPr>
        <w:pStyle w:val="Title"/>
        <w:rPr>
          <w:sz w:val="44"/>
          <w:szCs w:val="44"/>
        </w:rPr>
      </w:pPr>
      <w:r w:rsidRPr="004E5CEA">
        <w:rPr>
          <w:sz w:val="44"/>
          <w:szCs w:val="44"/>
        </w:rPr>
        <w:t>Washington Legislative District 22</w:t>
      </w:r>
      <w:r w:rsidRPr="004E5CEA">
        <w:rPr>
          <w:sz w:val="44"/>
          <w:szCs w:val="44"/>
        </w:rPr>
        <w:t xml:space="preserve"> – Precinct Voting Analysis </w:t>
      </w:r>
    </w:p>
    <w:p w14:paraId="2DB41C47" w14:textId="69202BB3" w:rsidR="00C61A51" w:rsidRPr="00C61A51" w:rsidRDefault="00C61A51" w:rsidP="00C61A51">
      <w:pPr>
        <w:rPr>
          <w:sz w:val="24"/>
          <w:szCs w:val="24"/>
        </w:rPr>
      </w:pPr>
      <w:r>
        <w:rPr>
          <w:b/>
          <w:bCs/>
          <w:sz w:val="24"/>
          <w:szCs w:val="24"/>
        </w:rPr>
        <w:t xml:space="preserve">Data: </w:t>
      </w:r>
      <w:r>
        <w:rPr>
          <w:sz w:val="24"/>
          <w:szCs w:val="24"/>
        </w:rPr>
        <w:t>Thurston County Election Archive – Results by Precinct (2022, 2024)</w:t>
      </w:r>
    </w:p>
    <w:p w14:paraId="2F3E5024" w14:textId="0A61DD34" w:rsidR="00C61A51" w:rsidRPr="00C61A51" w:rsidRDefault="00C61A51" w:rsidP="00C61A51">
      <w:pPr>
        <w:rPr>
          <w:b/>
          <w:bCs/>
          <w:sz w:val="24"/>
          <w:szCs w:val="24"/>
        </w:rPr>
      </w:pPr>
      <w:r w:rsidRPr="00C61A51">
        <w:rPr>
          <w:b/>
          <w:bCs/>
          <w:sz w:val="24"/>
          <w:szCs w:val="24"/>
        </w:rPr>
        <w:t>Purpose:</w:t>
      </w:r>
    </w:p>
    <w:p w14:paraId="0495366B" w14:textId="77777777" w:rsidR="00C61A51" w:rsidRPr="00C61A51" w:rsidRDefault="00C61A51" w:rsidP="00C61A51">
      <w:pPr>
        <w:rPr>
          <w:sz w:val="24"/>
          <w:szCs w:val="24"/>
        </w:rPr>
      </w:pPr>
      <w:r w:rsidRPr="00C61A51">
        <w:rPr>
          <w:sz w:val="24"/>
          <w:szCs w:val="24"/>
        </w:rPr>
        <w:t>This analysis is designed to identify moderate and persuadable precincts within Washington Legislative District 22.</w:t>
      </w:r>
    </w:p>
    <w:p w14:paraId="6B556955" w14:textId="481A7D7B" w:rsidR="00C61A51" w:rsidRPr="00C61A51" w:rsidRDefault="00C61A51" w:rsidP="00C61A51">
      <w:pPr>
        <w:rPr>
          <w:sz w:val="24"/>
          <w:szCs w:val="24"/>
        </w:rPr>
      </w:pPr>
      <w:r w:rsidRPr="00C61A51">
        <w:rPr>
          <w:sz w:val="24"/>
          <w:szCs w:val="24"/>
        </w:rPr>
        <w:t>Based on prior election results, the current incumbent won approximately 61% of the vote, while the conservative candidate received roughly 38%. This indicates the district leans Democratic overall</w:t>
      </w:r>
      <w:r>
        <w:rPr>
          <w:sz w:val="24"/>
          <w:szCs w:val="24"/>
        </w:rPr>
        <w:t>.</w:t>
      </w:r>
    </w:p>
    <w:p w14:paraId="52D61CAB" w14:textId="7B16BFF5" w:rsidR="00C61A51" w:rsidRDefault="00C61A51" w:rsidP="00C61A51">
      <w:pPr>
        <w:rPr>
          <w:sz w:val="24"/>
          <w:szCs w:val="24"/>
        </w:rPr>
      </w:pPr>
      <w:r w:rsidRPr="00C61A51">
        <w:rPr>
          <w:sz w:val="24"/>
          <w:szCs w:val="24"/>
        </w:rPr>
        <w:t xml:space="preserve">Because the campaign is not positioned to win the far-left vote, </w:t>
      </w:r>
      <w:r>
        <w:rPr>
          <w:sz w:val="24"/>
          <w:szCs w:val="24"/>
        </w:rPr>
        <w:t>winning the election depends on “carrying the middle” on both sides.</w:t>
      </w:r>
    </w:p>
    <w:p w14:paraId="4D1F0128" w14:textId="77777777" w:rsidR="00C61A51" w:rsidRDefault="00C61A51" w:rsidP="00C61A51">
      <w:pPr>
        <w:rPr>
          <w:sz w:val="24"/>
          <w:szCs w:val="24"/>
        </w:rPr>
      </w:pPr>
    </w:p>
    <w:p w14:paraId="6ED2CC7F" w14:textId="7F204548" w:rsidR="00C61A51" w:rsidRPr="00C61A51" w:rsidRDefault="00C61A51" w:rsidP="00C61A51">
      <w:pPr>
        <w:rPr>
          <w:sz w:val="24"/>
          <w:szCs w:val="24"/>
        </w:rPr>
      </w:pPr>
      <w:r w:rsidRPr="00C61A51">
        <w:rPr>
          <w:sz w:val="24"/>
          <w:szCs w:val="24"/>
        </w:rPr>
        <w:t xml:space="preserve">The goal of this analysis is to determine which precincts best represent the political middle </w:t>
      </w:r>
      <w:r>
        <w:rPr>
          <w:sz w:val="24"/>
          <w:szCs w:val="24"/>
        </w:rPr>
        <w:t xml:space="preserve">(“moderate” precincts) </w:t>
      </w:r>
      <w:r w:rsidRPr="00C61A51">
        <w:rPr>
          <w:sz w:val="24"/>
          <w:szCs w:val="24"/>
        </w:rPr>
        <w:t xml:space="preserve">and offer the highest </w:t>
      </w:r>
      <w:r>
        <w:rPr>
          <w:sz w:val="24"/>
          <w:szCs w:val="24"/>
        </w:rPr>
        <w:t>ROI for campaign investment.</w:t>
      </w:r>
    </w:p>
    <w:p w14:paraId="27FC0C4B" w14:textId="77777777" w:rsidR="00C61A51" w:rsidRPr="00C61A51" w:rsidRDefault="00C61A51" w:rsidP="00C61A51">
      <w:pPr>
        <w:rPr>
          <w:sz w:val="24"/>
          <w:szCs w:val="24"/>
        </w:rPr>
      </w:pPr>
      <w:r w:rsidRPr="00C61A51">
        <w:rPr>
          <w:sz w:val="24"/>
          <w:szCs w:val="24"/>
        </w:rPr>
        <w:pict w14:anchorId="3BA65044">
          <v:rect id="_x0000_i1049" style="width:0;height:1.5pt" o:hralign="center" o:hrstd="t" o:hr="t" fillcolor="#a0a0a0" stroked="f"/>
        </w:pict>
      </w:r>
    </w:p>
    <w:p w14:paraId="0B704FDF" w14:textId="08773EDB" w:rsidR="00C61A51" w:rsidRDefault="00C61A51" w:rsidP="004E5CEA">
      <w:pPr>
        <w:pStyle w:val="Heading2"/>
        <w:numPr>
          <w:ilvl w:val="0"/>
          <w:numId w:val="13"/>
        </w:numPr>
        <w:rPr>
          <w:color w:val="auto"/>
        </w:rPr>
      </w:pPr>
      <w:r w:rsidRPr="004E5CEA">
        <w:rPr>
          <w:color w:val="auto"/>
        </w:rPr>
        <w:t>District-Level Results Overview (Baseline Context)</w:t>
      </w:r>
    </w:p>
    <w:p w14:paraId="0EAC70FC" w14:textId="77777777" w:rsidR="004E5CEA" w:rsidRPr="004E5CEA" w:rsidRDefault="004E5CEA" w:rsidP="004E5CEA"/>
    <w:p w14:paraId="464FACEE" w14:textId="3A9906BA" w:rsidR="00C61A51" w:rsidRPr="00C61A51" w:rsidRDefault="00C61A51" w:rsidP="00C61A51">
      <w:pPr>
        <w:rPr>
          <w:sz w:val="24"/>
          <w:szCs w:val="24"/>
        </w:rPr>
      </w:pPr>
      <w:r>
        <w:rPr>
          <w:sz w:val="24"/>
          <w:szCs w:val="24"/>
        </w:rPr>
        <w:t>Let’s look at what happened in the last 2 elections, to set a baseline to identify persuadable precincts:</w:t>
      </w:r>
    </w:p>
    <w:p w14:paraId="482CC154" w14:textId="352B9F61" w:rsidR="00AA4628" w:rsidRDefault="004E5CEA" w:rsidP="00C61A51">
      <w:pPr>
        <w:rPr>
          <w:sz w:val="24"/>
          <w:szCs w:val="24"/>
        </w:rPr>
      </w:pPr>
      <w:r>
        <w:rPr>
          <w:noProof/>
        </w:rPr>
        <w:drawing>
          <wp:inline distT="0" distB="0" distL="0" distR="0" wp14:anchorId="42F50EAA" wp14:editId="059A184C">
            <wp:extent cx="5943600" cy="2944495"/>
            <wp:effectExtent l="0" t="0" r="0" b="8255"/>
            <wp:docPr id="2086834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4DBFCB97" w14:textId="4F1A2077" w:rsidR="00AA4628" w:rsidRDefault="004E5CEA" w:rsidP="00C61A51">
      <w:pPr>
        <w:rPr>
          <w:sz w:val="24"/>
          <w:szCs w:val="24"/>
        </w:rPr>
      </w:pPr>
      <w:r w:rsidRPr="004E5CEA">
        <w:rPr>
          <w:sz w:val="24"/>
          <w:szCs w:val="24"/>
        </w:rPr>
        <w:lastRenderedPageBreak/>
        <w:drawing>
          <wp:inline distT="0" distB="0" distL="0" distR="0" wp14:anchorId="385C6759" wp14:editId="468B0E5B">
            <wp:extent cx="5943600" cy="944880"/>
            <wp:effectExtent l="0" t="0" r="0" b="7620"/>
            <wp:docPr id="182379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9435" name=""/>
                    <pic:cNvPicPr/>
                  </pic:nvPicPr>
                  <pic:blipFill>
                    <a:blip r:embed="rId6"/>
                    <a:stretch>
                      <a:fillRect/>
                    </a:stretch>
                  </pic:blipFill>
                  <pic:spPr>
                    <a:xfrm>
                      <a:off x="0" y="0"/>
                      <a:ext cx="5943600" cy="944880"/>
                    </a:xfrm>
                    <a:prstGeom prst="rect">
                      <a:avLst/>
                    </a:prstGeom>
                  </pic:spPr>
                </pic:pic>
              </a:graphicData>
            </a:graphic>
          </wp:inline>
        </w:drawing>
      </w:r>
    </w:p>
    <w:p w14:paraId="1D9E1FEB" w14:textId="77777777" w:rsidR="004E5CEA" w:rsidRDefault="004E5CEA" w:rsidP="00C61A51">
      <w:pPr>
        <w:rPr>
          <w:sz w:val="24"/>
          <w:szCs w:val="24"/>
        </w:rPr>
      </w:pPr>
    </w:p>
    <w:p w14:paraId="0907DAE6" w14:textId="622BF84C" w:rsidR="004E5CEA" w:rsidRDefault="004E5CEA" w:rsidP="00C61A51">
      <w:pPr>
        <w:rPr>
          <w:sz w:val="24"/>
          <w:szCs w:val="24"/>
        </w:rPr>
      </w:pPr>
      <w:r w:rsidRPr="004E5CEA">
        <w:rPr>
          <w:sz w:val="24"/>
          <w:szCs w:val="24"/>
        </w:rPr>
        <w:t xml:space="preserve">Districtwide </w:t>
      </w:r>
      <w:r>
        <w:rPr>
          <w:sz w:val="24"/>
          <w:szCs w:val="24"/>
        </w:rPr>
        <w:t xml:space="preserve">election </w:t>
      </w:r>
      <w:r w:rsidRPr="004E5CEA">
        <w:rPr>
          <w:sz w:val="24"/>
          <w:szCs w:val="24"/>
        </w:rPr>
        <w:t>results show that LD22 remains solidly Democratic. Between 2022 and 2024, Democratic performance diverged by seat: Representative Position 1 moved sharply left, with the incumbent increasing her margin despite significantly higher turnout, while Representative Position 2 moved modestly right, with the Republican share increasing</w:t>
      </w:r>
      <w:r>
        <w:rPr>
          <w:sz w:val="24"/>
          <w:szCs w:val="24"/>
        </w:rPr>
        <w:t xml:space="preserve"> slightly. </w:t>
      </w:r>
    </w:p>
    <w:p w14:paraId="1E757001" w14:textId="77777777" w:rsidR="004E5CEA" w:rsidRDefault="004E5CEA" w:rsidP="00C61A51">
      <w:pPr>
        <w:rPr>
          <w:sz w:val="24"/>
          <w:szCs w:val="24"/>
        </w:rPr>
      </w:pPr>
    </w:p>
    <w:p w14:paraId="2658DF2A" w14:textId="0FFC5D14" w:rsidR="004E5CEA" w:rsidRDefault="004E5CEA" w:rsidP="00C61A51">
      <w:pPr>
        <w:rPr>
          <w:sz w:val="24"/>
          <w:szCs w:val="24"/>
        </w:rPr>
      </w:pPr>
      <w:r>
        <w:rPr>
          <w:sz w:val="24"/>
          <w:szCs w:val="24"/>
        </w:rPr>
        <w:t xml:space="preserve">To understand precinct level campaign opportunities, we’ll use the </w:t>
      </w:r>
      <w:r w:rsidR="008C12C0">
        <w:rPr>
          <w:sz w:val="24"/>
          <w:szCs w:val="24"/>
        </w:rPr>
        <w:t>average</w:t>
      </w:r>
      <w:r>
        <w:rPr>
          <w:sz w:val="24"/>
          <w:szCs w:val="24"/>
        </w:rPr>
        <w:t xml:space="preserve"> district results.</w:t>
      </w:r>
    </w:p>
    <w:p w14:paraId="7119ECC6" w14:textId="1707EE97" w:rsidR="00C61A51" w:rsidRPr="00C61A51" w:rsidRDefault="00C61A51" w:rsidP="00C61A51">
      <w:pPr>
        <w:rPr>
          <w:sz w:val="24"/>
          <w:szCs w:val="24"/>
        </w:rPr>
      </w:pPr>
      <w:r w:rsidRPr="00C61A51">
        <w:rPr>
          <w:sz w:val="24"/>
          <w:szCs w:val="24"/>
        </w:rPr>
        <w:pict w14:anchorId="76621F69">
          <v:rect id="_x0000_i1050" style="width:0;height:1.5pt" o:hralign="center" o:hrstd="t" o:hr="t" fillcolor="#a0a0a0" stroked="f"/>
        </w:pict>
      </w:r>
    </w:p>
    <w:p w14:paraId="1A1737D6" w14:textId="77777777" w:rsidR="004E5CEA" w:rsidRDefault="004E5CEA" w:rsidP="00C61A51">
      <w:pPr>
        <w:rPr>
          <w:sz w:val="24"/>
          <w:szCs w:val="24"/>
        </w:rPr>
      </w:pPr>
    </w:p>
    <w:p w14:paraId="0A9D4EA9" w14:textId="2E622821" w:rsidR="00C61A51" w:rsidRDefault="00C61A51" w:rsidP="008C12C0">
      <w:pPr>
        <w:pStyle w:val="Heading2"/>
        <w:numPr>
          <w:ilvl w:val="0"/>
          <w:numId w:val="13"/>
        </w:numPr>
        <w:rPr>
          <w:color w:val="auto"/>
        </w:rPr>
      </w:pPr>
      <w:r w:rsidRPr="008C12C0">
        <w:rPr>
          <w:color w:val="auto"/>
        </w:rPr>
        <w:t>Identifying “High-Opportunity” Precincts</w:t>
      </w:r>
    </w:p>
    <w:p w14:paraId="2E6DE153" w14:textId="77777777" w:rsidR="008C12C0" w:rsidRPr="008C12C0" w:rsidRDefault="008C12C0" w:rsidP="008C12C0"/>
    <w:p w14:paraId="5EFF33E7" w14:textId="23C870AD" w:rsidR="00671FB0" w:rsidRDefault="00671FB0" w:rsidP="00671FB0">
      <w:pPr>
        <w:rPr>
          <w:sz w:val="24"/>
          <w:szCs w:val="24"/>
        </w:rPr>
      </w:pPr>
      <w:r w:rsidRPr="00671FB0">
        <w:rPr>
          <w:sz w:val="24"/>
          <w:szCs w:val="24"/>
        </w:rPr>
        <w:t xml:space="preserve">To identify precincts that are more likely to be persuadable, we used a simple scoring method based on </w:t>
      </w:r>
      <w:r w:rsidR="00E21010">
        <w:rPr>
          <w:sz w:val="24"/>
          <w:szCs w:val="24"/>
        </w:rPr>
        <w:t>4</w:t>
      </w:r>
      <w:r w:rsidRPr="00671FB0">
        <w:rPr>
          <w:sz w:val="24"/>
          <w:szCs w:val="24"/>
        </w:rPr>
        <w:t xml:space="preserve"> signals drawn from </w:t>
      </w:r>
      <w:r w:rsidR="00E21010">
        <w:rPr>
          <w:sz w:val="24"/>
          <w:szCs w:val="24"/>
        </w:rPr>
        <w:t xml:space="preserve">practical </w:t>
      </w:r>
      <w:r w:rsidRPr="00671FB0">
        <w:rPr>
          <w:sz w:val="24"/>
          <w:szCs w:val="24"/>
        </w:rPr>
        <w:t>precinct-level election analysis practices.</w:t>
      </w:r>
      <w:r>
        <w:rPr>
          <w:sz w:val="24"/>
          <w:szCs w:val="24"/>
        </w:rPr>
        <w:t xml:space="preserve"> We identified these via research using AI (ChatGPT Deep Research), and further online research on the topic.</w:t>
      </w:r>
    </w:p>
    <w:p w14:paraId="54335B0B" w14:textId="77777777" w:rsidR="00671FB0" w:rsidRDefault="00671FB0" w:rsidP="00671FB0">
      <w:pPr>
        <w:rPr>
          <w:sz w:val="24"/>
          <w:szCs w:val="24"/>
        </w:rPr>
      </w:pPr>
    </w:p>
    <w:p w14:paraId="415964C1" w14:textId="54D36657" w:rsidR="00671FB0" w:rsidRPr="00671FB0" w:rsidRDefault="00671FB0" w:rsidP="00671FB0">
      <w:pPr>
        <w:rPr>
          <w:sz w:val="24"/>
          <w:szCs w:val="24"/>
        </w:rPr>
      </w:pPr>
      <w:r w:rsidRPr="00671FB0">
        <w:rPr>
          <w:b/>
          <w:bCs/>
          <w:sz w:val="24"/>
          <w:szCs w:val="24"/>
        </w:rPr>
        <w:t>Important note:</w:t>
      </w:r>
      <w:r w:rsidRPr="00671FB0">
        <w:rPr>
          <w:sz w:val="24"/>
          <w:szCs w:val="24"/>
        </w:rPr>
        <w:t xml:space="preserve"> These signals do not prove a precinct is ideologically “moderate.” They indicate places where support is less locked-in, where results are closer, or where voters show </w:t>
      </w:r>
      <w:r w:rsidRPr="00671FB0">
        <w:rPr>
          <w:sz w:val="24"/>
          <w:szCs w:val="24"/>
        </w:rPr>
        <w:t>proclivity to specific candidates rather than party</w:t>
      </w:r>
      <w:r w:rsidRPr="00671FB0">
        <w:rPr>
          <w:sz w:val="24"/>
          <w:szCs w:val="24"/>
        </w:rPr>
        <w:t>—all of which can correspond to higher persuasion potential.</w:t>
      </w:r>
    </w:p>
    <w:p w14:paraId="11527629" w14:textId="77777777" w:rsidR="00671FB0" w:rsidRDefault="00671FB0" w:rsidP="00671FB0">
      <w:pPr>
        <w:rPr>
          <w:b/>
          <w:bCs/>
          <w:sz w:val="24"/>
          <w:szCs w:val="24"/>
        </w:rPr>
      </w:pPr>
    </w:p>
    <w:p w14:paraId="3023C9DF" w14:textId="77777777" w:rsidR="00E21010" w:rsidRDefault="00E21010" w:rsidP="00E21010">
      <w:pPr>
        <w:pStyle w:val="ListParagraph"/>
        <w:numPr>
          <w:ilvl w:val="0"/>
          <w:numId w:val="20"/>
        </w:numPr>
        <w:rPr>
          <w:b/>
          <w:bCs/>
          <w:sz w:val="24"/>
          <w:szCs w:val="24"/>
        </w:rPr>
      </w:pPr>
      <w:r w:rsidRPr="00E21010">
        <w:rPr>
          <w:b/>
          <w:bCs/>
          <w:sz w:val="24"/>
          <w:szCs w:val="24"/>
        </w:rPr>
        <w:t>Electoral Closeness (Weight: ×2.0)</w:t>
      </w:r>
    </w:p>
    <w:p w14:paraId="71FF5AAC" w14:textId="626E0ED6" w:rsidR="00E21010" w:rsidRDefault="00E21010" w:rsidP="00E21010">
      <w:pPr>
        <w:pStyle w:val="ListParagraph"/>
        <w:rPr>
          <w:sz w:val="24"/>
          <w:szCs w:val="24"/>
        </w:rPr>
      </w:pPr>
      <w:r w:rsidRPr="00E21010">
        <w:rPr>
          <w:sz w:val="24"/>
          <w:szCs w:val="24"/>
        </w:rPr>
        <w:br/>
        <w:t xml:space="preserve">Closeness captures how competitive recent races have been within a precinct, measured as the average top-two margin across Position 1 and Position 2 contests. Tighter margins indicate the presence of persuadable voters. For example, a 10-point margin signals substantially more opportunity than a 40-point blowout. </w:t>
      </w:r>
    </w:p>
    <w:p w14:paraId="51D5F4DD" w14:textId="77777777" w:rsidR="00E21010" w:rsidRPr="00E21010" w:rsidRDefault="00E21010" w:rsidP="00E21010">
      <w:pPr>
        <w:pStyle w:val="ListParagraph"/>
        <w:rPr>
          <w:b/>
          <w:bCs/>
          <w:sz w:val="24"/>
          <w:szCs w:val="24"/>
        </w:rPr>
      </w:pPr>
    </w:p>
    <w:p w14:paraId="04F71FE0" w14:textId="178E8468" w:rsidR="00E21010" w:rsidRPr="00E21010" w:rsidRDefault="00E21010" w:rsidP="00E21010">
      <w:pPr>
        <w:pStyle w:val="ListParagraph"/>
        <w:numPr>
          <w:ilvl w:val="0"/>
          <w:numId w:val="20"/>
        </w:numPr>
        <w:rPr>
          <w:b/>
          <w:bCs/>
          <w:sz w:val="24"/>
          <w:szCs w:val="24"/>
        </w:rPr>
      </w:pPr>
      <w:r w:rsidRPr="00E21010">
        <w:rPr>
          <w:b/>
          <w:bCs/>
          <w:sz w:val="24"/>
          <w:szCs w:val="24"/>
        </w:rPr>
        <w:lastRenderedPageBreak/>
        <w:t>Incumbent Weakness (Weight: ×1.5)</w:t>
      </w:r>
    </w:p>
    <w:p w14:paraId="44152863" w14:textId="403757CB" w:rsidR="00E21010" w:rsidRDefault="00E21010" w:rsidP="00E21010">
      <w:pPr>
        <w:pStyle w:val="ListParagraph"/>
        <w:rPr>
          <w:sz w:val="24"/>
          <w:szCs w:val="24"/>
        </w:rPr>
      </w:pPr>
      <w:r w:rsidRPr="00E21010">
        <w:rPr>
          <w:sz w:val="24"/>
          <w:szCs w:val="24"/>
        </w:rPr>
        <w:br/>
        <w:t>This factor measures changes in incumbent performance between 2022 and 2024. If the incumbent (Doglio) lost vote share over time, it suggests erosion of support and openness to an alternative candidate. A negative swing is treated as an opportunity signal; for instance, a 5-point decline contributes positively to the overall score after weighting.</w:t>
      </w:r>
      <w:r>
        <w:rPr>
          <w:sz w:val="24"/>
          <w:szCs w:val="24"/>
        </w:rPr>
        <w:t xml:space="preserve"> We’re only looking at 2 years of election data – so this doesn’t necessarily indicate a deep trend, but makes the best use of the data we have.</w:t>
      </w:r>
    </w:p>
    <w:p w14:paraId="3B9CF00B" w14:textId="77777777" w:rsidR="00E21010" w:rsidRPr="00E21010" w:rsidRDefault="00E21010" w:rsidP="00E21010">
      <w:pPr>
        <w:pStyle w:val="ListParagraph"/>
        <w:rPr>
          <w:sz w:val="24"/>
          <w:szCs w:val="24"/>
        </w:rPr>
      </w:pPr>
    </w:p>
    <w:p w14:paraId="11012425" w14:textId="73D44820" w:rsidR="00E21010" w:rsidRPr="00E21010" w:rsidRDefault="00E21010" w:rsidP="00E21010">
      <w:pPr>
        <w:pStyle w:val="ListParagraph"/>
        <w:numPr>
          <w:ilvl w:val="0"/>
          <w:numId w:val="20"/>
        </w:numPr>
        <w:rPr>
          <w:b/>
          <w:bCs/>
          <w:sz w:val="24"/>
          <w:szCs w:val="24"/>
        </w:rPr>
      </w:pPr>
      <w:r w:rsidRPr="00E21010">
        <w:rPr>
          <w:b/>
          <w:bCs/>
          <w:sz w:val="24"/>
          <w:szCs w:val="24"/>
        </w:rPr>
        <w:t>Turnout Level (Weight: ×0.5)</w:t>
      </w:r>
    </w:p>
    <w:p w14:paraId="65886C82" w14:textId="7FF8CA9E" w:rsidR="00E21010" w:rsidRDefault="00E21010" w:rsidP="00E21010">
      <w:pPr>
        <w:pStyle w:val="ListParagraph"/>
        <w:rPr>
          <w:sz w:val="24"/>
          <w:szCs w:val="24"/>
        </w:rPr>
      </w:pPr>
      <w:r w:rsidRPr="00E21010">
        <w:rPr>
          <w:sz w:val="24"/>
          <w:szCs w:val="24"/>
        </w:rPr>
        <w:br/>
        <w:t>Turnout reflects the level of voter engagement</w:t>
      </w:r>
      <w:r w:rsidR="004F05F6">
        <w:rPr>
          <w:sz w:val="24"/>
          <w:szCs w:val="24"/>
        </w:rPr>
        <w:t xml:space="preserve"> (ballots cast / registered voters)</w:t>
      </w:r>
      <w:r w:rsidRPr="00E21010">
        <w:rPr>
          <w:sz w:val="24"/>
          <w:szCs w:val="24"/>
        </w:rPr>
        <w:t xml:space="preserve"> in a precinct. Higher-turnout precincts are prioritized because they </w:t>
      </w:r>
      <w:r w:rsidR="004F05F6">
        <w:rPr>
          <w:sz w:val="24"/>
          <w:szCs w:val="24"/>
        </w:rPr>
        <w:t xml:space="preserve">likely </w:t>
      </w:r>
      <w:r w:rsidRPr="00E21010">
        <w:rPr>
          <w:sz w:val="24"/>
          <w:szCs w:val="24"/>
        </w:rPr>
        <w:t>contain voters who are more likely to participate when contacted. Turnout is normalized to a 0–15 scale and receives a moderate weight, acknowledging its importance while avoiding over-penalizing lower-turnout areas that may still be competitive.</w:t>
      </w:r>
    </w:p>
    <w:p w14:paraId="13ED6181" w14:textId="77777777" w:rsidR="00E21010" w:rsidRPr="00E21010" w:rsidRDefault="00E21010" w:rsidP="00E21010">
      <w:pPr>
        <w:pStyle w:val="ListParagraph"/>
        <w:rPr>
          <w:sz w:val="24"/>
          <w:szCs w:val="24"/>
        </w:rPr>
      </w:pPr>
    </w:p>
    <w:p w14:paraId="19D167E1" w14:textId="118ADAF0" w:rsidR="00E21010" w:rsidRPr="00E21010" w:rsidRDefault="00E21010" w:rsidP="00E21010">
      <w:pPr>
        <w:pStyle w:val="ListParagraph"/>
        <w:numPr>
          <w:ilvl w:val="0"/>
          <w:numId w:val="20"/>
        </w:numPr>
        <w:rPr>
          <w:b/>
          <w:bCs/>
          <w:sz w:val="24"/>
          <w:szCs w:val="24"/>
        </w:rPr>
      </w:pPr>
      <w:r w:rsidRPr="00E21010">
        <w:rPr>
          <w:b/>
          <w:bCs/>
          <w:sz w:val="24"/>
          <w:szCs w:val="24"/>
        </w:rPr>
        <w:t>Precinct Size (Weight: ×0.5)</w:t>
      </w:r>
    </w:p>
    <w:p w14:paraId="3DB7A97E" w14:textId="3B43884D" w:rsidR="00E21010" w:rsidRDefault="00E21010" w:rsidP="00E21010">
      <w:pPr>
        <w:pStyle w:val="ListParagraph"/>
        <w:rPr>
          <w:sz w:val="24"/>
          <w:szCs w:val="24"/>
        </w:rPr>
      </w:pPr>
      <w:r w:rsidRPr="00E21010">
        <w:rPr>
          <w:sz w:val="24"/>
          <w:szCs w:val="24"/>
        </w:rPr>
        <w:br/>
        <w:t>Size accounts for the total number of voters in a precinct</w:t>
      </w:r>
      <w:r w:rsidR="00311A48">
        <w:rPr>
          <w:sz w:val="24"/>
          <w:szCs w:val="24"/>
        </w:rPr>
        <w:t xml:space="preserve"> (registered voters)</w:t>
      </w:r>
      <w:r w:rsidRPr="00E21010">
        <w:rPr>
          <w:sz w:val="24"/>
          <w:szCs w:val="24"/>
        </w:rPr>
        <w:t>. Larger precincts offer more votes per dollar spent on outreach, increasing campaign efficiency. This factor includes a capped bonus (maximum of 10 points) to prevent very large precincts from overwhelming other indicators.</w:t>
      </w:r>
    </w:p>
    <w:p w14:paraId="52DC9396" w14:textId="77777777" w:rsidR="00E21010" w:rsidRDefault="00E21010" w:rsidP="00E21010">
      <w:pPr>
        <w:rPr>
          <w:sz w:val="24"/>
          <w:szCs w:val="24"/>
        </w:rPr>
      </w:pPr>
    </w:p>
    <w:tbl>
      <w:tblPr>
        <w:tblW w:w="0" w:type="auto"/>
        <w:shd w:val="clear" w:color="auto" w:fill="111111"/>
        <w:tblCellMar>
          <w:top w:w="15" w:type="dxa"/>
          <w:left w:w="15" w:type="dxa"/>
          <w:bottom w:w="15" w:type="dxa"/>
          <w:right w:w="15" w:type="dxa"/>
        </w:tblCellMar>
        <w:tblLook w:val="04A0" w:firstRow="1" w:lastRow="0" w:firstColumn="1" w:lastColumn="0" w:noHBand="0" w:noVBand="1"/>
      </w:tblPr>
      <w:tblGrid>
        <w:gridCol w:w="1941"/>
        <w:gridCol w:w="1003"/>
        <w:gridCol w:w="6416"/>
      </w:tblGrid>
      <w:tr w:rsidR="00E21010" w:rsidRPr="00E21010" w14:paraId="77756C15" w14:textId="77777777">
        <w:trPr>
          <w:tblHeader/>
        </w:trPr>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93ECAC4" w14:textId="77777777" w:rsidR="00E21010" w:rsidRPr="00E21010" w:rsidRDefault="00E21010" w:rsidP="00E21010">
            <w:pPr>
              <w:rPr>
                <w:b/>
                <w:bCs/>
                <w:sz w:val="24"/>
                <w:szCs w:val="24"/>
              </w:rPr>
            </w:pPr>
            <w:r w:rsidRPr="00E21010">
              <w:rPr>
                <w:b/>
                <w:bCs/>
                <w:sz w:val="24"/>
                <w:szCs w:val="24"/>
              </w:rPr>
              <w:t>Factor</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8F5B351" w14:textId="77777777" w:rsidR="00E21010" w:rsidRPr="00E21010" w:rsidRDefault="00E21010" w:rsidP="00E21010">
            <w:pPr>
              <w:rPr>
                <w:b/>
                <w:bCs/>
                <w:sz w:val="24"/>
                <w:szCs w:val="24"/>
              </w:rPr>
            </w:pPr>
            <w:r w:rsidRPr="00E21010">
              <w:rPr>
                <w:b/>
                <w:bCs/>
                <w:sz w:val="24"/>
                <w:szCs w:val="24"/>
              </w:rPr>
              <w:t>Weight</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4ED1CC4" w14:textId="77777777" w:rsidR="00E21010" w:rsidRPr="00E21010" w:rsidRDefault="00E21010" w:rsidP="00E21010">
            <w:pPr>
              <w:rPr>
                <w:b/>
                <w:bCs/>
                <w:sz w:val="24"/>
                <w:szCs w:val="24"/>
              </w:rPr>
            </w:pPr>
            <w:r w:rsidRPr="00E21010">
              <w:rPr>
                <w:b/>
                <w:bCs/>
                <w:sz w:val="24"/>
                <w:szCs w:val="24"/>
              </w:rPr>
              <w:t>Logic</w:t>
            </w:r>
          </w:p>
        </w:tc>
      </w:tr>
      <w:tr w:rsidR="00E21010" w:rsidRPr="00E21010" w14:paraId="00C52E3D"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EC05C82" w14:textId="77777777" w:rsidR="00E21010" w:rsidRPr="00E21010" w:rsidRDefault="00E21010" w:rsidP="00E21010">
            <w:pPr>
              <w:rPr>
                <w:sz w:val="24"/>
                <w:szCs w:val="24"/>
              </w:rPr>
            </w:pPr>
            <w:r w:rsidRPr="00E21010">
              <w:rPr>
                <w:b/>
                <w:bCs/>
                <w:sz w:val="24"/>
                <w:szCs w:val="24"/>
              </w:rPr>
              <w:t>Closeness</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4A9E33B" w14:textId="77777777" w:rsidR="00E21010" w:rsidRPr="00E21010" w:rsidRDefault="00E21010" w:rsidP="00E21010">
            <w:pPr>
              <w:rPr>
                <w:sz w:val="24"/>
                <w:szCs w:val="24"/>
              </w:rPr>
            </w:pPr>
            <w:r w:rsidRPr="00E21010">
              <w:rPr>
                <w:sz w:val="24"/>
                <w:szCs w:val="24"/>
              </w:rPr>
              <w:t>×2.0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47F3FF3" w14:textId="77777777" w:rsidR="00E21010" w:rsidRPr="00E21010" w:rsidRDefault="00E21010" w:rsidP="00E21010">
            <w:pPr>
              <w:rPr>
                <w:sz w:val="24"/>
                <w:szCs w:val="24"/>
              </w:rPr>
            </w:pPr>
            <w:r w:rsidRPr="00E21010">
              <w:rPr>
                <w:sz w:val="24"/>
                <w:szCs w:val="24"/>
              </w:rPr>
              <w:t>Tight margins (Pos 1 + Pos 2 avg) mean persuadable voters exist. A 10-pt margin scores higher than a 40-pt blowout.</w:t>
            </w:r>
          </w:p>
        </w:tc>
      </w:tr>
      <w:tr w:rsidR="00E21010" w:rsidRPr="00E21010" w14:paraId="4E2F7864"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78B8F49" w14:textId="77777777" w:rsidR="00E21010" w:rsidRPr="00E21010" w:rsidRDefault="00E21010" w:rsidP="00E21010">
            <w:pPr>
              <w:rPr>
                <w:sz w:val="24"/>
                <w:szCs w:val="24"/>
              </w:rPr>
            </w:pPr>
            <w:r w:rsidRPr="00E21010">
              <w:rPr>
                <w:b/>
                <w:bCs/>
                <w:sz w:val="24"/>
                <w:szCs w:val="24"/>
              </w:rPr>
              <w:t>Incumbent Weakness</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004B50B" w14:textId="77777777" w:rsidR="00E21010" w:rsidRPr="00E21010" w:rsidRDefault="00E21010" w:rsidP="00E21010">
            <w:pPr>
              <w:rPr>
                <w:sz w:val="24"/>
                <w:szCs w:val="24"/>
              </w:rPr>
            </w:pPr>
            <w:r w:rsidRPr="00E21010">
              <w:rPr>
                <w:sz w:val="24"/>
                <w:szCs w:val="24"/>
              </w:rPr>
              <w:t>×1.5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FA23DF3" w14:textId="77777777" w:rsidR="00E21010" w:rsidRPr="00E21010" w:rsidRDefault="00E21010" w:rsidP="00E21010">
            <w:pPr>
              <w:rPr>
                <w:sz w:val="24"/>
                <w:szCs w:val="24"/>
              </w:rPr>
            </w:pPr>
            <w:r w:rsidRPr="00E21010">
              <w:rPr>
                <w:sz w:val="24"/>
                <w:szCs w:val="24"/>
              </w:rPr>
              <w:t>If Doglio </w:t>
            </w:r>
            <w:r w:rsidRPr="00E21010">
              <w:rPr>
                <w:i/>
                <w:iCs/>
                <w:sz w:val="24"/>
                <w:szCs w:val="24"/>
              </w:rPr>
              <w:t>lost</w:t>
            </w:r>
            <w:r w:rsidRPr="00E21010">
              <w:rPr>
                <w:sz w:val="24"/>
                <w:szCs w:val="24"/>
              </w:rPr>
              <w:t> ground from 2022→2024, voters are open to change. A -5 pt swing = +7.5 to the score.</w:t>
            </w:r>
          </w:p>
        </w:tc>
      </w:tr>
      <w:tr w:rsidR="00E21010" w:rsidRPr="00E21010" w14:paraId="309BEB20"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E2A8613" w14:textId="77777777" w:rsidR="00E21010" w:rsidRPr="00E21010" w:rsidRDefault="00E21010" w:rsidP="00E21010">
            <w:pPr>
              <w:rPr>
                <w:sz w:val="24"/>
                <w:szCs w:val="24"/>
              </w:rPr>
            </w:pPr>
            <w:r w:rsidRPr="00E21010">
              <w:rPr>
                <w:b/>
                <w:bCs/>
                <w:sz w:val="24"/>
                <w:szCs w:val="24"/>
              </w:rPr>
              <w:t>Turnout</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066300B" w14:textId="77777777" w:rsidR="00E21010" w:rsidRPr="00E21010" w:rsidRDefault="00E21010" w:rsidP="00E21010">
            <w:pPr>
              <w:rPr>
                <w:sz w:val="24"/>
                <w:szCs w:val="24"/>
              </w:rPr>
            </w:pPr>
            <w:r w:rsidRPr="00E21010">
              <w:rPr>
                <w:sz w:val="24"/>
                <w:szCs w:val="24"/>
              </w:rPr>
              <w:t>×0.5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B4DBEC2" w14:textId="77777777" w:rsidR="00E21010" w:rsidRPr="00E21010" w:rsidRDefault="00E21010" w:rsidP="00E21010">
            <w:pPr>
              <w:rPr>
                <w:sz w:val="24"/>
                <w:szCs w:val="24"/>
              </w:rPr>
            </w:pPr>
            <w:r w:rsidRPr="00E21010">
              <w:rPr>
                <w:sz w:val="24"/>
                <w:szCs w:val="24"/>
              </w:rPr>
              <w:t>Higher turnout = more engaged electorate worth targeting. Normalized 0–15 scale.</w:t>
            </w:r>
          </w:p>
        </w:tc>
      </w:tr>
      <w:tr w:rsidR="00E21010" w:rsidRPr="00E21010" w14:paraId="1C72F668"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897EB83" w14:textId="77777777" w:rsidR="00E21010" w:rsidRPr="00E21010" w:rsidRDefault="00E21010" w:rsidP="00E21010">
            <w:pPr>
              <w:rPr>
                <w:sz w:val="24"/>
                <w:szCs w:val="24"/>
              </w:rPr>
            </w:pPr>
            <w:r w:rsidRPr="00E21010">
              <w:rPr>
                <w:b/>
                <w:bCs/>
                <w:sz w:val="24"/>
                <w:szCs w:val="24"/>
              </w:rPr>
              <w:lastRenderedPageBreak/>
              <w:t>Size</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732E5F8" w14:textId="77777777" w:rsidR="00E21010" w:rsidRPr="00E21010" w:rsidRDefault="00E21010" w:rsidP="00E21010">
            <w:pPr>
              <w:rPr>
                <w:sz w:val="24"/>
                <w:szCs w:val="24"/>
              </w:rPr>
            </w:pPr>
            <w:r w:rsidRPr="00E21010">
              <w:rPr>
                <w:sz w:val="24"/>
                <w:szCs w:val="24"/>
              </w:rPr>
              <w:t>×0.5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6AD2BB7" w14:textId="77777777" w:rsidR="00E21010" w:rsidRPr="00E21010" w:rsidRDefault="00E21010" w:rsidP="00E21010">
            <w:pPr>
              <w:rPr>
                <w:sz w:val="24"/>
                <w:szCs w:val="24"/>
              </w:rPr>
            </w:pPr>
            <w:r w:rsidRPr="00E21010">
              <w:rPr>
                <w:sz w:val="24"/>
                <w:szCs w:val="24"/>
              </w:rPr>
              <w:t>Larger precincts offer more voters per dollar spent. Bonus capped at 10 pts.</w:t>
            </w:r>
          </w:p>
        </w:tc>
      </w:tr>
    </w:tbl>
    <w:p w14:paraId="5740E3DF" w14:textId="77777777" w:rsidR="00E21010" w:rsidRPr="00E21010" w:rsidRDefault="00E21010" w:rsidP="00E21010">
      <w:pPr>
        <w:rPr>
          <w:sz w:val="24"/>
          <w:szCs w:val="24"/>
        </w:rPr>
      </w:pPr>
    </w:p>
    <w:p w14:paraId="511B158A" w14:textId="77777777" w:rsidR="00671FB0" w:rsidRPr="00671FB0" w:rsidRDefault="00671FB0" w:rsidP="00671FB0">
      <w:pPr>
        <w:rPr>
          <w:sz w:val="24"/>
          <w:szCs w:val="24"/>
        </w:rPr>
      </w:pPr>
      <w:r w:rsidRPr="00671FB0">
        <w:rPr>
          <w:sz w:val="24"/>
          <w:szCs w:val="24"/>
        </w:rPr>
        <w:pict w14:anchorId="358AD2E8">
          <v:rect id="_x0000_i1086" style="width:0;height:1.5pt" o:hralign="center" o:hrstd="t" o:hr="t" fillcolor="#a0a0a0" stroked="f"/>
        </w:pict>
      </w:r>
    </w:p>
    <w:p w14:paraId="4C85ADE5" w14:textId="77777777" w:rsidR="006B1103" w:rsidRDefault="006B1103" w:rsidP="00C61A51"/>
    <w:p w14:paraId="71D0878F" w14:textId="7562D4F2" w:rsidR="00311A48" w:rsidRDefault="00311A48" w:rsidP="00311A48">
      <w:pPr>
        <w:pStyle w:val="Heading2"/>
        <w:numPr>
          <w:ilvl w:val="0"/>
          <w:numId w:val="13"/>
        </w:numPr>
        <w:rPr>
          <w:color w:val="auto"/>
        </w:rPr>
      </w:pPr>
      <w:r>
        <w:rPr>
          <w:color w:val="auto"/>
        </w:rPr>
        <w:t>Precinct Rankings and Analysis Results</w:t>
      </w:r>
    </w:p>
    <w:p w14:paraId="4BBE27FC" w14:textId="77777777" w:rsidR="00311A48" w:rsidRDefault="00311A48" w:rsidP="00E21010">
      <w:pPr>
        <w:rPr>
          <w:sz w:val="24"/>
          <w:szCs w:val="24"/>
        </w:rPr>
      </w:pPr>
    </w:p>
    <w:p w14:paraId="29E1145C" w14:textId="67373376" w:rsidR="00E21010" w:rsidRDefault="00E21010" w:rsidP="00E21010">
      <w:pPr>
        <w:rPr>
          <w:sz w:val="24"/>
          <w:szCs w:val="24"/>
        </w:rPr>
      </w:pPr>
      <w:r>
        <w:rPr>
          <w:sz w:val="24"/>
          <w:szCs w:val="24"/>
        </w:rPr>
        <w:t>Here’s the top 5 “high opportunity” precincts based on our algorithm:</w:t>
      </w:r>
    </w:p>
    <w:p w14:paraId="61D7627C" w14:textId="228482E5" w:rsidR="00E21010" w:rsidRDefault="00E21010" w:rsidP="00E21010">
      <w:r w:rsidRPr="00E21010">
        <w:drawing>
          <wp:inline distT="0" distB="0" distL="0" distR="0" wp14:anchorId="509E4303" wp14:editId="2046B5F7">
            <wp:extent cx="5943600" cy="2277110"/>
            <wp:effectExtent l="0" t="0" r="0" b="8890"/>
            <wp:docPr id="9675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5816" name=""/>
                    <pic:cNvPicPr/>
                  </pic:nvPicPr>
                  <pic:blipFill>
                    <a:blip r:embed="rId7"/>
                    <a:stretch>
                      <a:fillRect/>
                    </a:stretch>
                  </pic:blipFill>
                  <pic:spPr>
                    <a:xfrm>
                      <a:off x="0" y="0"/>
                      <a:ext cx="5943600" cy="2277110"/>
                    </a:xfrm>
                    <a:prstGeom prst="rect">
                      <a:avLst/>
                    </a:prstGeom>
                  </pic:spPr>
                </pic:pic>
              </a:graphicData>
            </a:graphic>
          </wp:inline>
        </w:drawing>
      </w:r>
    </w:p>
    <w:p w14:paraId="0A25599F" w14:textId="77777777" w:rsidR="00E21010" w:rsidRDefault="00E21010" w:rsidP="00E21010"/>
    <w:p w14:paraId="0A554A81" w14:textId="10AFFC7D" w:rsidR="004F05F6" w:rsidRDefault="004F05F6" w:rsidP="00E21010">
      <w:r>
        <w:t xml:space="preserve">To understand how </w:t>
      </w:r>
      <w:r w:rsidR="00311A48">
        <w:t>to interpret the chart</w:t>
      </w:r>
      <w:r>
        <w:t xml:space="preserve"> – let’s look at the data for our top precinct, Woodard Creek 047.</w:t>
      </w:r>
    </w:p>
    <w:p w14:paraId="74D7043F" w14:textId="77777777" w:rsidR="004F05F6" w:rsidRDefault="004F05F6" w:rsidP="00E21010"/>
    <w:p w14:paraId="29C53397" w14:textId="4C4ABBDE" w:rsidR="004F05F6" w:rsidRPr="004F05F6" w:rsidRDefault="004F05F6" w:rsidP="004F05F6">
      <w:pPr>
        <w:numPr>
          <w:ilvl w:val="0"/>
          <w:numId w:val="21"/>
        </w:numPr>
      </w:pPr>
      <w:r w:rsidRPr="004F05F6">
        <w:rPr>
          <w:b/>
          <w:bCs/>
        </w:rPr>
        <w:t>Competitive margins:</w:t>
      </w:r>
      <w:r w:rsidRPr="004F05F6">
        <w:t xml:space="preserve"> Both recent races</w:t>
      </w:r>
      <w:r>
        <w:t xml:space="preserve"> (2022, 2024)</w:t>
      </w:r>
      <w:r w:rsidRPr="004F05F6">
        <w:t xml:space="preserve"> were decided by </w:t>
      </w:r>
      <w:r w:rsidRPr="004F05F6">
        <w:rPr>
          <w:b/>
          <w:bCs/>
        </w:rPr>
        <w:t>10–20 points</w:t>
      </w:r>
      <w:r>
        <w:t xml:space="preserve"> (not a landslide)</w:t>
      </w:r>
    </w:p>
    <w:p w14:paraId="0D5900B9" w14:textId="77777777" w:rsidR="004F05F6" w:rsidRPr="004F05F6" w:rsidRDefault="004F05F6" w:rsidP="004F05F6">
      <w:pPr>
        <w:numPr>
          <w:ilvl w:val="0"/>
          <w:numId w:val="21"/>
        </w:numPr>
      </w:pPr>
      <w:r w:rsidRPr="004F05F6">
        <w:rPr>
          <w:b/>
          <w:bCs/>
        </w:rPr>
        <w:t>No incumbent momentum:</w:t>
      </w:r>
      <w:r w:rsidRPr="004F05F6">
        <w:t xml:space="preserve"> Doglio’s support is essentially flat (–0.5 pts from 2022 to 2024). Voters are not consolidating around the incumbent, leaving room for a challenger.</w:t>
      </w:r>
    </w:p>
    <w:p w14:paraId="210E0F96" w14:textId="2DF7FFEB" w:rsidR="00311A48" w:rsidRPr="004F05F6" w:rsidRDefault="004F05F6" w:rsidP="00311A48">
      <w:pPr>
        <w:numPr>
          <w:ilvl w:val="0"/>
          <w:numId w:val="21"/>
        </w:numPr>
      </w:pPr>
      <w:r w:rsidRPr="004F05F6">
        <w:rPr>
          <w:b/>
          <w:bCs/>
        </w:rPr>
        <w:t>Very high turnout:</w:t>
      </w:r>
      <w:r w:rsidRPr="004F05F6">
        <w:t xml:space="preserve"> Turnout score</w:t>
      </w:r>
      <w:r w:rsidR="00311A48">
        <w:t>d an</w:t>
      </w:r>
      <w:r w:rsidRPr="004F05F6">
        <w:t xml:space="preserve"> </w:t>
      </w:r>
      <w:r w:rsidRPr="004F05F6">
        <w:rPr>
          <w:b/>
          <w:bCs/>
        </w:rPr>
        <w:t>83</w:t>
      </w:r>
      <w:r w:rsidRPr="004F05F6">
        <w:t>, meaning voters here reliably show up. Outreach is far more likely to convert into actual votes.</w:t>
      </w:r>
    </w:p>
    <w:p w14:paraId="39E98163" w14:textId="4C9C833C" w:rsidR="004F05F6" w:rsidRDefault="004F05F6" w:rsidP="00E21010">
      <w:pPr>
        <w:numPr>
          <w:ilvl w:val="0"/>
          <w:numId w:val="21"/>
        </w:numPr>
      </w:pPr>
      <w:r w:rsidRPr="004F05F6">
        <w:rPr>
          <w:b/>
          <w:bCs/>
        </w:rPr>
        <w:t>Meaningful size:</w:t>
      </w:r>
      <w:r w:rsidRPr="004F05F6">
        <w:t xml:space="preserve"> 538 ballots cast</w:t>
      </w:r>
    </w:p>
    <w:p w14:paraId="0D05B910" w14:textId="6205D859" w:rsidR="00311A48" w:rsidRDefault="00311A48" w:rsidP="00311A48">
      <w:r>
        <w:lastRenderedPageBreak/>
        <w:t xml:space="preserve">For the full dataset – including all columns + the raw source data. See the attached .csv files. </w:t>
      </w:r>
    </w:p>
    <w:p w14:paraId="050C72D6" w14:textId="77777777" w:rsidR="00311A48" w:rsidRDefault="00311A48" w:rsidP="00311A48"/>
    <w:p w14:paraId="54190DEE" w14:textId="5F057133" w:rsidR="00311A48" w:rsidRDefault="00311A48" w:rsidP="00311A48">
      <w:r>
        <w:t>Please let me know if you have any questions!</w:t>
      </w:r>
    </w:p>
    <w:p w14:paraId="26016E34" w14:textId="77777777" w:rsidR="00311A48" w:rsidRPr="00C61A51" w:rsidRDefault="00311A48" w:rsidP="00311A48"/>
    <w:sectPr w:rsidR="00311A48" w:rsidRPr="00C61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ECF"/>
    <w:multiLevelType w:val="multilevel"/>
    <w:tmpl w:val="4BC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17751"/>
    <w:multiLevelType w:val="multilevel"/>
    <w:tmpl w:val="72A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3625"/>
    <w:multiLevelType w:val="multilevel"/>
    <w:tmpl w:val="B13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F5482"/>
    <w:multiLevelType w:val="multilevel"/>
    <w:tmpl w:val="784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0F29"/>
    <w:multiLevelType w:val="multilevel"/>
    <w:tmpl w:val="76B2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02A"/>
    <w:multiLevelType w:val="multilevel"/>
    <w:tmpl w:val="076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13263"/>
    <w:multiLevelType w:val="multilevel"/>
    <w:tmpl w:val="78C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D873E5"/>
    <w:multiLevelType w:val="hybridMultilevel"/>
    <w:tmpl w:val="EA463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95A9F"/>
    <w:multiLevelType w:val="multilevel"/>
    <w:tmpl w:val="806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2643C"/>
    <w:multiLevelType w:val="multilevel"/>
    <w:tmpl w:val="19B0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4BC7"/>
    <w:multiLevelType w:val="multilevel"/>
    <w:tmpl w:val="8D0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348D0"/>
    <w:multiLevelType w:val="multilevel"/>
    <w:tmpl w:val="435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0748F"/>
    <w:multiLevelType w:val="multilevel"/>
    <w:tmpl w:val="EC2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24DE"/>
    <w:multiLevelType w:val="multilevel"/>
    <w:tmpl w:val="008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301D2"/>
    <w:multiLevelType w:val="multilevel"/>
    <w:tmpl w:val="E33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E7628"/>
    <w:multiLevelType w:val="hybridMultilevel"/>
    <w:tmpl w:val="09625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67A40"/>
    <w:multiLevelType w:val="multilevel"/>
    <w:tmpl w:val="8A427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37095"/>
    <w:multiLevelType w:val="multilevel"/>
    <w:tmpl w:val="9500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73C36"/>
    <w:multiLevelType w:val="multilevel"/>
    <w:tmpl w:val="528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B4F30"/>
    <w:multiLevelType w:val="multilevel"/>
    <w:tmpl w:val="788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67E13"/>
    <w:multiLevelType w:val="hybridMultilevel"/>
    <w:tmpl w:val="09625D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315155"/>
    <w:multiLevelType w:val="multilevel"/>
    <w:tmpl w:val="F188B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519289">
    <w:abstractNumId w:val="8"/>
  </w:num>
  <w:num w:numId="2" w16cid:durableId="924613498">
    <w:abstractNumId w:val="0"/>
  </w:num>
  <w:num w:numId="3" w16cid:durableId="1707174626">
    <w:abstractNumId w:val="16"/>
  </w:num>
  <w:num w:numId="4" w16cid:durableId="49620930">
    <w:abstractNumId w:val="6"/>
  </w:num>
  <w:num w:numId="5" w16cid:durableId="1928689853">
    <w:abstractNumId w:val="3"/>
  </w:num>
  <w:num w:numId="6" w16cid:durableId="117337487">
    <w:abstractNumId w:val="9"/>
  </w:num>
  <w:num w:numId="7" w16cid:durableId="1485661752">
    <w:abstractNumId w:val="17"/>
  </w:num>
  <w:num w:numId="8" w16cid:durableId="1028027760">
    <w:abstractNumId w:val="10"/>
  </w:num>
  <w:num w:numId="9" w16cid:durableId="431628255">
    <w:abstractNumId w:val="5"/>
  </w:num>
  <w:num w:numId="10" w16cid:durableId="30344075">
    <w:abstractNumId w:val="21"/>
  </w:num>
  <w:num w:numId="11" w16cid:durableId="1388651076">
    <w:abstractNumId w:val="2"/>
  </w:num>
  <w:num w:numId="12" w16cid:durableId="622809729">
    <w:abstractNumId w:val="12"/>
  </w:num>
  <w:num w:numId="13" w16cid:durableId="542979739">
    <w:abstractNumId w:val="15"/>
  </w:num>
  <w:num w:numId="14" w16cid:durableId="1680423738">
    <w:abstractNumId w:val="14"/>
  </w:num>
  <w:num w:numId="15" w16cid:durableId="837619845">
    <w:abstractNumId w:val="19"/>
  </w:num>
  <w:num w:numId="16" w16cid:durableId="687950816">
    <w:abstractNumId w:val="18"/>
  </w:num>
  <w:num w:numId="17" w16cid:durableId="1186943703">
    <w:abstractNumId w:val="4"/>
  </w:num>
  <w:num w:numId="18" w16cid:durableId="675033738">
    <w:abstractNumId w:val="13"/>
  </w:num>
  <w:num w:numId="19" w16cid:durableId="775901916">
    <w:abstractNumId w:val="1"/>
  </w:num>
  <w:num w:numId="20" w16cid:durableId="347759898">
    <w:abstractNumId w:val="7"/>
  </w:num>
  <w:num w:numId="21" w16cid:durableId="1874075014">
    <w:abstractNumId w:val="11"/>
  </w:num>
  <w:num w:numId="22" w16cid:durableId="17923616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51"/>
    <w:rsid w:val="00104B87"/>
    <w:rsid w:val="00311A48"/>
    <w:rsid w:val="004E5CEA"/>
    <w:rsid w:val="004F05F6"/>
    <w:rsid w:val="00671FB0"/>
    <w:rsid w:val="006B1103"/>
    <w:rsid w:val="00897584"/>
    <w:rsid w:val="008C12C0"/>
    <w:rsid w:val="009B0CF2"/>
    <w:rsid w:val="00AA4628"/>
    <w:rsid w:val="00AD5D29"/>
    <w:rsid w:val="00C61A51"/>
    <w:rsid w:val="00E21010"/>
    <w:rsid w:val="00EA6B58"/>
    <w:rsid w:val="00F5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42CD"/>
  <w15:chartTrackingRefBased/>
  <w15:docId w15:val="{116DCFB6-502B-49FD-81BE-0B9EB6C5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51"/>
    <w:rPr>
      <w:rFonts w:eastAsiaTheme="majorEastAsia" w:cstheme="majorBidi"/>
      <w:color w:val="272727" w:themeColor="text1" w:themeTint="D8"/>
    </w:rPr>
  </w:style>
  <w:style w:type="paragraph" w:styleId="Title">
    <w:name w:val="Title"/>
    <w:basedOn w:val="Normal"/>
    <w:next w:val="Normal"/>
    <w:link w:val="TitleChar"/>
    <w:uiPriority w:val="10"/>
    <w:qFormat/>
    <w:rsid w:val="00C61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51"/>
    <w:pPr>
      <w:spacing w:before="160"/>
      <w:jc w:val="center"/>
    </w:pPr>
    <w:rPr>
      <w:i/>
      <w:iCs/>
      <w:color w:val="404040" w:themeColor="text1" w:themeTint="BF"/>
    </w:rPr>
  </w:style>
  <w:style w:type="character" w:customStyle="1" w:styleId="QuoteChar">
    <w:name w:val="Quote Char"/>
    <w:basedOn w:val="DefaultParagraphFont"/>
    <w:link w:val="Quote"/>
    <w:uiPriority w:val="29"/>
    <w:rsid w:val="00C61A51"/>
    <w:rPr>
      <w:i/>
      <w:iCs/>
      <w:color w:val="404040" w:themeColor="text1" w:themeTint="BF"/>
    </w:rPr>
  </w:style>
  <w:style w:type="paragraph" w:styleId="ListParagraph">
    <w:name w:val="List Paragraph"/>
    <w:basedOn w:val="Normal"/>
    <w:uiPriority w:val="34"/>
    <w:qFormat/>
    <w:rsid w:val="00C61A51"/>
    <w:pPr>
      <w:ind w:left="720"/>
      <w:contextualSpacing/>
    </w:pPr>
  </w:style>
  <w:style w:type="character" w:styleId="IntenseEmphasis">
    <w:name w:val="Intense Emphasis"/>
    <w:basedOn w:val="DefaultParagraphFont"/>
    <w:uiPriority w:val="21"/>
    <w:qFormat/>
    <w:rsid w:val="00C61A51"/>
    <w:rPr>
      <w:i/>
      <w:iCs/>
      <w:color w:val="0F4761" w:themeColor="accent1" w:themeShade="BF"/>
    </w:rPr>
  </w:style>
  <w:style w:type="paragraph" w:styleId="IntenseQuote">
    <w:name w:val="Intense Quote"/>
    <w:basedOn w:val="Normal"/>
    <w:next w:val="Normal"/>
    <w:link w:val="IntenseQuoteChar"/>
    <w:uiPriority w:val="30"/>
    <w:qFormat/>
    <w:rsid w:val="00C61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A51"/>
    <w:rPr>
      <w:i/>
      <w:iCs/>
      <w:color w:val="0F4761" w:themeColor="accent1" w:themeShade="BF"/>
    </w:rPr>
  </w:style>
  <w:style w:type="character" w:styleId="IntenseReference">
    <w:name w:val="Intense Reference"/>
    <w:basedOn w:val="DefaultParagraphFont"/>
    <w:uiPriority w:val="32"/>
    <w:qFormat/>
    <w:rsid w:val="00C61A51"/>
    <w:rPr>
      <w:b/>
      <w:bCs/>
      <w:smallCaps/>
      <w:color w:val="0F4761" w:themeColor="accent1" w:themeShade="BF"/>
      <w:spacing w:val="5"/>
    </w:rPr>
  </w:style>
  <w:style w:type="character" w:styleId="Hyperlink">
    <w:name w:val="Hyperlink"/>
    <w:basedOn w:val="DefaultParagraphFont"/>
    <w:uiPriority w:val="99"/>
    <w:unhideWhenUsed/>
    <w:rsid w:val="00671FB0"/>
    <w:rPr>
      <w:color w:val="467886" w:themeColor="hyperlink"/>
      <w:u w:val="single"/>
    </w:rPr>
  </w:style>
  <w:style w:type="character" w:styleId="UnresolvedMention">
    <w:name w:val="Unresolved Mention"/>
    <w:basedOn w:val="DefaultParagraphFont"/>
    <w:uiPriority w:val="99"/>
    <w:semiHidden/>
    <w:unhideWhenUsed/>
    <w:rsid w:val="00671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Warren</dc:creator>
  <cp:keywords/>
  <dc:description/>
  <cp:lastModifiedBy>Cameron Warren</cp:lastModifiedBy>
  <cp:revision>2</cp:revision>
  <dcterms:created xsi:type="dcterms:W3CDTF">2025-12-18T21:29:00Z</dcterms:created>
  <dcterms:modified xsi:type="dcterms:W3CDTF">2025-12-18T23:48:00Z</dcterms:modified>
</cp:coreProperties>
</file>