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2025-09-09 13:17:23</w:t>
      </w:r>
    </w:p>
    <w:p/>
    <w:p>
      <w:pPr>
        <w:pStyle w:val="Heading2"/>
      </w:pPr>
      <w:r>
        <w:t>Product Overview</w:t>
      </w:r>
    </w:p>
    <w:p>
      <w:r>
        <w:t>"Product Overview\n\nThis product is a modern, in-house credit card core system designed for financial services organizations operating within the United States credit card sector. Delivered as an integrated digital platform, it supports real-time issuance of both virtual and physical credit cards while encompassing essential credit product lifecycle functions such as credit line management, authorizations, settlements, billing, payments, interest calculations, fees, rewards, disputes, and delinquency workflows.\n\nStrategically, the system aims to enhance operational control and agility by consolidating all credit card account-related processes within a modern infrastructure. This enables improved responsiveness to regulatory requirements and business needs while facilitating lifecycle management of complex account states, including charged-off accounts triggered by delinquency or customer events. The core's ability to handle accounts transitioning to charged-off status reflects a focus on maintaining trade credit integrity and risk management aligned with enterprise objectives and compliance standards."</w:t>
      </w:r>
    </w:p>
    <w:p>
      <w:pPr>
        <w:pStyle w:val="Heading2"/>
      </w:pPr>
      <w:r>
        <w:t>Feature Overview</w:t>
      </w:r>
    </w:p>
    <w:p>
      <w:r>
        <w:t>"Feature Name: Create a Frontbook Charged-Off Account and Recoveries\n\nFeature Overview: The Create a Frontbook Charged-Off Account and Recoveries feature enables the establishment and management of credit card accounts that have transitioned into charged-off status, along with the handling of associated recoveries, within the in-house credit card core system. This capability extends the specialized account creation process to support the full lifecycle management of charged-off accounts triggered by events such as prolonged delinquency, customer death, or bankruptcy, as well as the recovery activities that follow. It ensures accurate representation and management of charged-off accounts and recoveries within the modern core infrastructure, facilitating downstream processes like collections, reporting, compliance, and recovery tracking.\n\nThis feature includes the creation of charged-off accounts and recovery records with all necessary attributes and status flags, integrating seamlessly with credit line management, billing, payments, interest calculations, fees, dispute workflows, and recovery processes. It excludes the initial origination of accounts in good standing and focuses specifically on the transition, ongoing management, and recovery of charged-off accounts. Critical constraints include strict adherence to regulatory compliance for charged-off account handling and recoveries, real-time data accuracy, and integration with legacy business logic such as interest calculation and daily rate computations derived from legacy processes (e.g., CBACT05C.cbl). Strategically, this feature supports the broader initiative of full ownership over credit issuance, account servicing, and recovery management, reducing reliance on third-party systems and enabling enhanced operational control and agility in managing credit risk and recoveries."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