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D7B9" w14:textId="77777777" w:rsidR="004A2D23" w:rsidRPr="004A2D23" w:rsidRDefault="004A2D23" w:rsidP="004A2D23">
      <w:pPr>
        <w:suppressLineNumbers/>
        <w:suppressAutoHyphens/>
        <w:jc w:val="center"/>
        <w:rPr>
          <w:b/>
          <w:smallCaps/>
          <w:color w:val="000000"/>
          <w:sz w:val="24"/>
        </w:rPr>
      </w:pPr>
      <w:r w:rsidRPr="004A2D23">
        <w:rPr>
          <w:b/>
          <w:smallCaps/>
          <w:color w:val="000000"/>
          <w:sz w:val="24"/>
        </w:rPr>
        <w:t xml:space="preserve">Music supplement to Lute News 76 (December 2005): </w:t>
      </w:r>
    </w:p>
    <w:p w14:paraId="1155B5FE" w14:textId="77777777" w:rsidR="00285195" w:rsidRPr="002C6DDB" w:rsidRDefault="004A2D23" w:rsidP="002C6DDB">
      <w:pPr>
        <w:spacing w:after="120"/>
        <w:jc w:val="center"/>
        <w:rPr>
          <w:smallCaps/>
        </w:rPr>
        <w:sectPr w:rsidR="00285195" w:rsidRPr="002C6DDB" w:rsidSect="00285195">
          <w:headerReference w:type="even" r:id="rId6"/>
          <w:headerReference w:type="default" r:id="rId7"/>
          <w:footerReference w:type="even" r:id="rId8"/>
          <w:pgSz w:w="11905" w:h="16837"/>
          <w:pgMar w:top="992" w:right="992" w:bottom="992" w:left="992" w:header="709" w:footer="709" w:gutter="0"/>
          <w:cols w:space="708"/>
        </w:sectPr>
      </w:pPr>
      <w:r w:rsidRPr="004A2D23">
        <w:rPr>
          <w:b/>
          <w:smallCaps/>
          <w:color w:val="000000"/>
          <w:sz w:val="24"/>
        </w:rPr>
        <w:t>A Selection of Morris tunes and English Ballads</w:t>
      </w:r>
    </w:p>
    <w:p w14:paraId="20338653" w14:textId="77777777" w:rsidR="002C6DDB" w:rsidRDefault="002C6DDB" w:rsidP="002C6DDB">
      <w:pPr>
        <w:suppressLineNumbers/>
        <w:tabs>
          <w:tab w:val="right" w:pos="9923"/>
        </w:tabs>
        <w:suppressAutoHyphens/>
        <w:ind w:right="62"/>
      </w:pPr>
    </w:p>
    <w:p w14:paraId="73B4E8B4" w14:textId="4D8633E5" w:rsidR="004A2D23" w:rsidRDefault="004A2D23" w:rsidP="00054C81">
      <w:pPr>
        <w:suppressLineNumbers/>
        <w:tabs>
          <w:tab w:val="right" w:pos="9923"/>
        </w:tabs>
        <w:suppressAutoHyphens/>
        <w:ind w:right="62" w:firstLine="426"/>
      </w:pPr>
      <w:r>
        <w:t>This tablature supplement brings together arrange-ments for 6-course lute of ballad settings and morris tunes, including several versions of the Staines Morris.</w:t>
      </w:r>
      <w:r w:rsidR="00C54EF3">
        <w:t xml:space="preserve"> </w:t>
      </w:r>
      <w:r>
        <w:t>These are followed by variations for lute probably all based on popular ballads, some better known than others.</w:t>
      </w:r>
      <w:r w:rsidR="00C54EF3">
        <w:t xml:space="preserve"> </w:t>
      </w:r>
      <w:r>
        <w:t>Some are authentic lute settings and others transcriptions from music for other instruments.</w:t>
      </w:r>
    </w:p>
    <w:p w14:paraId="7E503753" w14:textId="3223F2CE" w:rsidR="00420EBF" w:rsidRDefault="004A2D23" w:rsidP="00054C81">
      <w:pPr>
        <w:suppressLineNumbers/>
        <w:tabs>
          <w:tab w:val="right" w:pos="9923"/>
        </w:tabs>
        <w:suppressAutoHyphens/>
        <w:ind w:right="62" w:firstLine="426"/>
      </w:pPr>
      <w:r>
        <w:t>The morris tune settings (n</w:t>
      </w:r>
      <w:r>
        <w:rPr>
          <w:vertAlign w:val="superscript"/>
        </w:rPr>
        <w:t>o</w:t>
      </w:r>
      <w:r>
        <w:t xml:space="preserve"> 1a-h) begin with two for lute based on the same tune followed by </w:t>
      </w:r>
      <w:r>
        <w:rPr>
          <w:b/>
        </w:rPr>
        <w:t>a morris</w:t>
      </w:r>
      <w:r>
        <w:t xml:space="preserve"> by Charles Colman that Playford printed in 1652 for a lyra viol tuned edfhf (intervals between courses starting at the top).</w:t>
      </w:r>
      <w:r w:rsidR="00C54EF3">
        <w:t xml:space="preserve"> </w:t>
      </w:r>
      <w:r>
        <w:t xml:space="preserve">The remainder are all versions of the </w:t>
      </w:r>
      <w:r>
        <w:rPr>
          <w:b/>
        </w:rPr>
        <w:t>Staines Morris</w:t>
      </w:r>
      <w:r>
        <w:t>, the first in triple time.</w:t>
      </w:r>
      <w:r w:rsidR="00C54EF3">
        <w:t xml:space="preserve"> </w:t>
      </w:r>
      <w:r>
        <w:t xml:space="preserve">The others are in duple time, beginning with three that are quite similar, the first in Playford's </w:t>
      </w:r>
      <w:r>
        <w:rPr>
          <w:i/>
        </w:rPr>
        <w:t>Dancing Master</w:t>
      </w:r>
      <w:r>
        <w:t xml:space="preserve"> as a melody for violin transcribed for lute with harmonies based on the lute version, the second an original lute setting and the last a transcription of a solo cittern version by T[homas] R[obinson] with bass notes added and rhythm flags halved.</w:t>
      </w:r>
      <w:r w:rsidR="00C54EF3">
        <w:t xml:space="preserve"> </w:t>
      </w:r>
      <w:r>
        <w:t>The group ends with an almaine for Sir Henry Guildford the opening of which quotes the tune of the Staines Morris.</w:t>
      </w:r>
      <w:r w:rsidR="00C54EF3">
        <w:t xml:space="preserve"> </w:t>
      </w:r>
      <w:r>
        <w:t xml:space="preserve">Robert Dowland included it in his </w:t>
      </w:r>
      <w:r>
        <w:rPr>
          <w:i/>
        </w:rPr>
        <w:t>Varietie of Lute Lessons</w:t>
      </w:r>
      <w:r>
        <w:t xml:space="preserve"> printed in 1610 but without ascription.</w:t>
      </w:r>
      <w:r w:rsidR="00420EBF">
        <w:rPr>
          <w:rStyle w:val="FootnoteReference"/>
        </w:rPr>
        <w:footnoteReference w:id="1"/>
      </w:r>
      <w:r w:rsidR="00420EBF">
        <w:t xml:space="preserve"> The cadence at the end of the divisions on the first strain is very similar to one in Robert Dowland's pavan for Sir Thomas Monson in </w:t>
      </w:r>
      <w:r w:rsidR="00420EBF">
        <w:rPr>
          <w:i/>
        </w:rPr>
        <w:t>Varietie</w:t>
      </w:r>
      <w:r w:rsidR="00420EBF">
        <w:t xml:space="preserve">, and so one wonders whether Robert composed or arranged </w:t>
      </w:r>
      <w:r w:rsidR="00420EBF">
        <w:t>this almaine.</w:t>
      </w:r>
      <w:r w:rsidR="00C54EF3">
        <w:t xml:space="preserve"> </w:t>
      </w:r>
      <w:r w:rsidR="00420EBF">
        <w:t>Otherwise it has traits and the quality you would expect from masters like Philip Rosseter.</w:t>
      </w:r>
    </w:p>
    <w:p w14:paraId="666767C2" w14:textId="021AB61E" w:rsidR="00420EBF" w:rsidRDefault="00420EBF" w:rsidP="00054C81">
      <w:pPr>
        <w:suppressLineNumbers/>
        <w:suppressAutoHyphens/>
        <w:ind w:right="62" w:firstLine="42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3578E" wp14:editId="78C2D107">
                <wp:simplePos x="0" y="0"/>
                <wp:positionH relativeFrom="column">
                  <wp:posOffset>-235585</wp:posOffset>
                </wp:positionH>
                <wp:positionV relativeFrom="paragraph">
                  <wp:posOffset>-4046855</wp:posOffset>
                </wp:positionV>
                <wp:extent cx="3308350" cy="328422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08350" cy="328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864B8" w14:textId="77777777" w:rsidR="00420EBF" w:rsidRDefault="00420EBF" w:rsidP="002C6D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46D878" wp14:editId="24EB4A83">
                                  <wp:extent cx="3124200" cy="3192145"/>
                                  <wp:effectExtent l="0" t="0" r="0" b="0"/>
                                  <wp:docPr id="5" name="Picture 1" descr="Roxburgh00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oxburgh006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lum contrast="-12000"/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4216" b="8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4200" cy="3192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83578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8.55pt;margin-top:-318.65pt;width:260.5pt;height:25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" filled="f" stroked="f">
                <v:path arrowok="t"/>
                <v:textbox>
                  <w:txbxContent>
                    <w:p w14:paraId="1AD864B8" w14:textId="77777777" w:rsidR="00420EBF" w:rsidRDefault="00420EBF" w:rsidP="002C6DDB">
                      <w:r>
                        <w:rPr>
                          <w:noProof/>
                        </w:rPr>
                        <w:drawing>
                          <wp:inline distT="0" distB="0" distL="0" distR="0" wp14:anchorId="5C46D878" wp14:editId="24EB4A83">
                            <wp:extent cx="3124200" cy="3192145"/>
                            <wp:effectExtent l="0" t="0" r="0" b="0"/>
                            <wp:docPr id="5" name="Picture 1" descr="Roxburgh0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oxburgh006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>
                                      <a:lum contrast="-12000"/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4216" b="8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4200" cy="3192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</w:rPr>
        <w:t>Trenchmore</w:t>
      </w:r>
      <w:r>
        <w:t xml:space="preserve"> (n</w:t>
      </w:r>
      <w:r>
        <w:rPr>
          <w:vertAlign w:val="superscript"/>
        </w:rPr>
        <w:t>o</w:t>
      </w:r>
      <w:r>
        <w:t xml:space="preserve"> 2) was apparently a lively Irish dance.</w:t>
      </w:r>
      <w:r>
        <w:rPr>
          <w:rStyle w:val="FootnoteReference"/>
        </w:rPr>
        <w:footnoteReference w:id="2"/>
      </w:r>
      <w:r>
        <w:t xml:space="preserve"> In addition to John Johnson's treble and ground arrangement, a few settings for lute solo as well as cittern, keyboard and violin survive.</w:t>
      </w:r>
      <w:r>
        <w:rPr>
          <w:rStyle w:val="FootnoteReference"/>
        </w:rPr>
        <w:footnoteReference w:id="3"/>
      </w:r>
      <w:r>
        <w:t xml:space="preserve"> The set of eleven variations for 7-course lute included here is the most elaborate and attractive and is probably familiar from Paul O'Dette's </w:t>
      </w:r>
      <w:r>
        <w:rPr>
          <w:i/>
        </w:rPr>
        <w:t>Robin Hood</w:t>
      </w:r>
      <w:r>
        <w:t xml:space="preserve"> CD.</w:t>
      </w:r>
      <w:r>
        <w:rPr>
          <w:rStyle w:val="FootnoteReference"/>
        </w:rPr>
        <w:footnoteReference w:id="4"/>
      </w:r>
      <w:r w:rsidR="00C54EF3">
        <w:t xml:space="preserve"> </w:t>
      </w:r>
      <w:r>
        <w:t>The original is incomplete and the final four bars were reconstructed editorially.</w:t>
      </w:r>
      <w:r w:rsidR="00C54EF3">
        <w:t xml:space="preserve"> </w:t>
      </w:r>
      <w:r>
        <w:t>Although untitled, the elaborate set of variations in n</w:t>
      </w:r>
      <w:r>
        <w:rPr>
          <w:vertAlign w:val="superscript"/>
        </w:rPr>
        <w:t>o</w:t>
      </w:r>
      <w:r>
        <w:t xml:space="preserve"> 4 is based on the tune known as </w:t>
      </w:r>
      <w:r>
        <w:rPr>
          <w:b/>
        </w:rPr>
        <w:t>Up Tails All</w:t>
      </w:r>
      <w:r>
        <w:rPr>
          <w:rStyle w:val="FootnoteReference"/>
        </w:rPr>
        <w:footnoteReference w:id="5"/>
      </w:r>
      <w:r>
        <w:t xml:space="preserve"> and is also on Paul O'Dette's </w:t>
      </w:r>
      <w:r>
        <w:rPr>
          <w:i/>
        </w:rPr>
        <w:t>Robin Hood</w:t>
      </w:r>
      <w:r>
        <w:t xml:space="preserve"> CD.</w:t>
      </w:r>
      <w:r w:rsidR="00C54EF3">
        <w:t xml:space="preserve"> </w:t>
      </w:r>
      <w:r>
        <w:t>However, the version he used is sandwiched here between two shorter versions.</w:t>
      </w:r>
      <w:r>
        <w:rPr>
          <w:rStyle w:val="FootnoteReference"/>
        </w:rPr>
        <w:footnoteReference w:id="6"/>
      </w:r>
      <w:r>
        <w:t xml:space="preserve"> </w:t>
      </w:r>
    </w:p>
    <w:p w14:paraId="49FE0B71" w14:textId="68C2704D" w:rsidR="00420EBF" w:rsidRPr="00862649" w:rsidRDefault="00420EBF" w:rsidP="00862649">
      <w:pPr>
        <w:suppressLineNumbers/>
        <w:suppressAutoHyphens/>
        <w:ind w:right="62" w:firstLine="426"/>
      </w:pPr>
      <w:r>
        <w:t xml:space="preserve">The title of lute solos </w:t>
      </w:r>
      <w:r>
        <w:rPr>
          <w:b/>
        </w:rPr>
        <w:t>The Wood Bynde</w:t>
      </w:r>
      <w:r>
        <w:t xml:space="preserve"> (n</w:t>
      </w:r>
      <w:r>
        <w:rPr>
          <w:vertAlign w:val="superscript"/>
        </w:rPr>
        <w:t>o</w:t>
      </w:r>
      <w:r>
        <w:t xml:space="preserve"> 3), </w:t>
      </w:r>
      <w:r>
        <w:rPr>
          <w:b/>
        </w:rPr>
        <w:t>Over the Broome Bessy</w:t>
      </w:r>
      <w:r>
        <w:t xml:space="preserve"> (n</w:t>
      </w:r>
      <w:r>
        <w:rPr>
          <w:vertAlign w:val="superscript"/>
        </w:rPr>
        <w:t>o</w:t>
      </w:r>
      <w:r>
        <w:t xml:space="preserve"> 6, six variations)</w:t>
      </w:r>
      <w:r>
        <w:rPr>
          <w:rStyle w:val="FootnoteReference"/>
        </w:rPr>
        <w:footnoteReference w:id="7"/>
      </w:r>
      <w:r>
        <w:t xml:space="preserve"> and </w:t>
      </w:r>
      <w:r>
        <w:rPr>
          <w:b/>
        </w:rPr>
        <w:t>Only Joy</w:t>
      </w:r>
      <w:r>
        <w:t xml:space="preserve"> (n</w:t>
      </w:r>
      <w:r>
        <w:rPr>
          <w:vertAlign w:val="superscript"/>
        </w:rPr>
        <w:t>o</w:t>
      </w:r>
      <w:r>
        <w:t xml:space="preserve"> 10, four variations) are not known in any other context but may refer to lost ballads.</w:t>
      </w:r>
      <w:r>
        <w:rPr>
          <w:rStyle w:val="FootnoteReference"/>
        </w:rPr>
        <w:footnoteReference w:id="8"/>
      </w:r>
      <w:r w:rsidR="00C54EF3">
        <w:t xml:space="preserve"> </w:t>
      </w:r>
      <w:r>
        <w:t xml:space="preserve">The origin of the title </w:t>
      </w:r>
      <w:r>
        <w:rPr>
          <w:b/>
        </w:rPr>
        <w:t>Lost is my Liberty</w:t>
      </w:r>
      <w:r>
        <w:t xml:space="preserve"> (n</w:t>
      </w:r>
      <w:r>
        <w:rPr>
          <w:vertAlign w:val="superscript"/>
        </w:rPr>
        <w:t>o</w:t>
      </w:r>
      <w:r>
        <w:t xml:space="preserve"> 11) and the dedicatee of the alternative title L. of Dehim's Lamentation are also obscure.</w:t>
      </w:r>
      <w:r w:rsidR="00C54EF3">
        <w:t xml:space="preserve"> </w:t>
      </w:r>
      <w:r>
        <w:t>Three versions are here run together as a continuous set of five variations.</w:t>
      </w:r>
      <w:r w:rsidR="00C54EF3">
        <w:t xml:space="preserve"> </w:t>
      </w:r>
      <w:r>
        <w:t>The first two only have fifteen bars and the remaining three 16 bars, which has been left as in the originals.</w:t>
      </w:r>
      <w:r w:rsidR="00C54EF3">
        <w:t xml:space="preserve"> </w:t>
      </w:r>
      <w:r>
        <w:rPr>
          <w:b/>
        </w:rPr>
        <w:t>Woodycock</w:t>
      </w:r>
      <w:r>
        <w:t xml:space="preserve"> may have a similar meaning to Cuckcold, and the tune of this name may be related to an early 17th-century broadside 'A proper new Ballad, shewing a merrie jest of one Jeamie of Woodicock Hill, and his wife,' to 'a new tune, called Woodicocks Hill,' </w:t>
      </w:r>
      <w:r>
        <w:rPr>
          <w:rStyle w:val="FootnoteReference"/>
        </w:rPr>
        <w:footnoteReference w:id="9"/>
      </w:r>
      <w:r>
        <w:t xml:space="preserve"> although the versions from the 1580s may not have been the same tune.</w:t>
      </w:r>
      <w:r w:rsidR="00C54EF3">
        <w:t xml:space="preserve"> </w:t>
      </w:r>
      <w:r>
        <w:t>Here an original lute setting (n</w:t>
      </w:r>
      <w:r>
        <w:rPr>
          <w:vertAlign w:val="superscript"/>
        </w:rPr>
        <w:t>o</w:t>
      </w:r>
      <w:r>
        <w:t xml:space="preserve"> 5) is followed by a transcription from Playford's violin melody, the two versions illustrating variants of the tune. </w:t>
      </w:r>
    </w:p>
    <w:p w14:paraId="3209CC89" w14:textId="40D42615" w:rsidR="00420EBF" w:rsidRDefault="00420EBF" w:rsidP="00054C81">
      <w:pPr>
        <w:suppressLineNumbers/>
        <w:suppressAutoHyphens/>
        <w:ind w:right="62" w:firstLine="426"/>
      </w:pPr>
      <w:r>
        <w:t>The name Peggy features in the tunes for a number of ballads.</w:t>
      </w:r>
      <w:r>
        <w:rPr>
          <w:rStyle w:val="FootnoteReference"/>
        </w:rPr>
        <w:footnoteReference w:id="10"/>
      </w:r>
      <w:r w:rsidR="00C54EF3">
        <w:t xml:space="preserve"> </w:t>
      </w:r>
      <w:r>
        <w:t xml:space="preserve">These survive with different tunes to the set of variations called </w:t>
      </w:r>
      <w:r>
        <w:rPr>
          <w:b/>
        </w:rPr>
        <w:t>Peggie</w:t>
      </w:r>
      <w:r>
        <w:t xml:space="preserve"> for lyra viol tuned ffhfh and transcribed for 7-course renaissance lute here (n</w:t>
      </w:r>
      <w:r>
        <w:rPr>
          <w:vertAlign w:val="superscript"/>
        </w:rPr>
        <w:t>o</w:t>
      </w:r>
      <w:r>
        <w:t xml:space="preserve"> 7).</w:t>
      </w:r>
      <w:r w:rsidR="00C54EF3">
        <w:t xml:space="preserve"> </w:t>
      </w:r>
      <w:r>
        <w:t>The many ornaments and phrasing indications in the original have been omitted.</w:t>
      </w:r>
      <w:r w:rsidR="00C54EF3">
        <w:t xml:space="preserve"> </w:t>
      </w:r>
      <w:r>
        <w:t xml:space="preserve">The set of variations on </w:t>
      </w:r>
      <w:r>
        <w:rPr>
          <w:b/>
        </w:rPr>
        <w:t>The Hornpipe</w:t>
      </w:r>
      <w:r>
        <w:t xml:space="preserve"> (n</w:t>
      </w:r>
      <w:r>
        <w:rPr>
          <w:vertAlign w:val="superscript"/>
        </w:rPr>
        <w:t>o</w:t>
      </w:r>
      <w:r>
        <w:t xml:space="preserve"> 8) is not at all like a hornpipe and is not concordant with similarly titled music for keyboard, etc.</w:t>
      </w:r>
      <w:r w:rsidR="00C54EF3">
        <w:t xml:space="preserve"> </w:t>
      </w:r>
      <w:r>
        <w:t>The twenty-seven variations vary the simple 4-bar harmony with exemplary diversity, and some of the variations are different to the version in the alternative source.</w:t>
      </w:r>
      <w:r>
        <w:rPr>
          <w:rStyle w:val="FootnoteReference"/>
        </w:rPr>
        <w:footnoteReference w:id="11"/>
      </w:r>
    </w:p>
    <w:p w14:paraId="3CF87F7B" w14:textId="3211999E" w:rsidR="00420EBF" w:rsidRDefault="00420EBF" w:rsidP="00054C81">
      <w:pPr>
        <w:suppressLineNumbers/>
        <w:suppressAutoHyphens/>
        <w:ind w:right="62" w:firstLine="426"/>
      </w:pPr>
      <w:r>
        <w:t xml:space="preserve">There are many settings of </w:t>
      </w:r>
      <w:r>
        <w:rPr>
          <w:b/>
        </w:rPr>
        <w:t>Monsieur's Almaine</w:t>
      </w:r>
      <w:r>
        <w:t>,</w:t>
      </w:r>
      <w:r>
        <w:rPr>
          <w:rStyle w:val="FootnoteReference"/>
        </w:rPr>
        <w:footnoteReference w:id="12"/>
      </w:r>
      <w:r>
        <w:t xml:space="preserve"> probably named after the Duke D’Alençon, who is called Monsieur in the New Year’s Gifts of 1582.</w:t>
      </w:r>
      <w:r w:rsidR="00C54EF3">
        <w:t xml:space="preserve"> </w:t>
      </w:r>
      <w:r>
        <w:t>However, ‘Monsieur’ was also affected by the actor Will Kemp.</w:t>
      </w:r>
      <w:r>
        <w:rPr>
          <w:rStyle w:val="FootnoteReference"/>
        </w:rPr>
        <w:footnoteReference w:id="13"/>
      </w:r>
      <w:r w:rsidR="00C54EF3">
        <w:t xml:space="preserve"> </w:t>
      </w:r>
      <w:r>
        <w:t>Two versions are included here (n</w:t>
      </w:r>
      <w:r>
        <w:rPr>
          <w:vertAlign w:val="superscript"/>
        </w:rPr>
        <w:t>o</w:t>
      </w:r>
      <w:r>
        <w:t xml:space="preserve"> 9), a particularly attractive set of six variations untitled in the Euing lute book, preceded by a simpler version in which the duration of rhythm flags has </w:t>
      </w:r>
      <w:r>
        <w:lastRenderedPageBreak/>
        <w:t xml:space="preserve">been doubled here to match the rest. </w:t>
      </w:r>
    </w:p>
    <w:p w14:paraId="243F781D" w14:textId="56E090B4" w:rsidR="00420EBF" w:rsidRDefault="00420EBF" w:rsidP="00054C81">
      <w:pPr>
        <w:suppressLineNumbers/>
        <w:suppressAutoHyphens/>
        <w:ind w:right="62" w:firstLine="426"/>
      </w:pPr>
      <w:r>
        <w:t xml:space="preserve">The next group includes three sets of variations of </w:t>
      </w:r>
      <w:r>
        <w:rPr>
          <w:b/>
        </w:rPr>
        <w:t>Loth to Depart</w:t>
      </w:r>
      <w:r>
        <w:t xml:space="preserve"> (n</w:t>
      </w:r>
      <w:r>
        <w:rPr>
          <w:vertAlign w:val="superscript"/>
        </w:rPr>
        <w:t>o</w:t>
      </w:r>
      <w:r>
        <w:t xml:space="preserve"> 12), the sentiments of which are expressed in the words to a round or canon in Ravenscroft's </w:t>
      </w:r>
      <w:r>
        <w:rPr>
          <w:i/>
        </w:rPr>
        <w:t>Deuteromelia</w:t>
      </w:r>
      <w:r>
        <w:t xml:space="preserve"> of 1609 (although not to the tune here) 'Sing with thy mouth, sing with thy heart, like faithful friends, sing loath to depart.' </w:t>
      </w:r>
      <w:r>
        <w:rPr>
          <w:rStyle w:val="FootnoteReference"/>
        </w:rPr>
        <w:footnoteReference w:id="14"/>
      </w:r>
      <w:r>
        <w:t xml:space="preserve"> The two original lute settings of Loth to Depart are followed by the related Tell me John, transcribed here from the original bandora tablature.</w:t>
      </w:r>
      <w:r w:rsidR="00C54EF3">
        <w:t xml:space="preserve"> </w:t>
      </w:r>
      <w:r>
        <w:t>The latter is ascribed to W.S. who could be the London Wait William Sanders, or the composer [William] Sim[me]s to whom lute solos are ascribed in Cambridge Ms. Add. 3056.</w:t>
      </w:r>
      <w:r>
        <w:rPr>
          <w:rStyle w:val="FootnoteReference"/>
        </w:rPr>
        <w:footnoteReference w:id="15"/>
      </w:r>
      <w:r>
        <w:t xml:space="preserve"> </w:t>
      </w:r>
    </w:p>
    <w:p w14:paraId="31EFAFA0" w14:textId="41190E43" w:rsidR="00420EBF" w:rsidRDefault="00420EBF" w:rsidP="00054C81">
      <w:pPr>
        <w:suppressLineNumbers/>
        <w:suppressAutoHyphens/>
        <w:ind w:right="62" w:firstLine="426"/>
      </w:pPr>
      <w:r>
        <w:t>The anonymous and untitled set of three variations (n</w:t>
      </w:r>
      <w:r>
        <w:rPr>
          <w:vertAlign w:val="superscript"/>
        </w:rPr>
        <w:t>o</w:t>
      </w:r>
      <w:r>
        <w:t xml:space="preserve"> 13) is another setting of Anthony Holborne's Il nodo di Gordio or </w:t>
      </w:r>
      <w:r>
        <w:rPr>
          <w:b/>
        </w:rPr>
        <w:t>The Gordian Knot,</w:t>
      </w:r>
      <w:r>
        <w:t xml:space="preserve"> a metaphor for an intractable problem solved by cutting the 'Gordian knot' from the myth associated in legend with Alexander the Great.</w:t>
      </w:r>
      <w:r w:rsidR="00C54EF3">
        <w:t xml:space="preserve"> </w:t>
      </w:r>
      <w:r>
        <w:t>Gordius, a ruler of the capital of ancient Phrygia fulfilled an oracle of Zeus by securing his wagon near the temple by tying an intricate knot.</w:t>
      </w:r>
      <w:r w:rsidR="00C54EF3">
        <w:t xml:space="preserve"> </w:t>
      </w:r>
      <w:r>
        <w:t>Alexander cut the knot with his sword fulfilling another oracle to be conqueror of all Asia.</w:t>
      </w:r>
      <w:r w:rsidR="00C54EF3">
        <w:t xml:space="preserve"> </w:t>
      </w:r>
      <w:r>
        <w:t xml:space="preserve">One wonders who composed this setting, the last variation might even suggest John Dowland. </w:t>
      </w:r>
    </w:p>
    <w:p w14:paraId="533164B7" w14:textId="4DC508B2" w:rsidR="00420EBF" w:rsidRDefault="00420EBF" w:rsidP="00054C81">
      <w:pPr>
        <w:ind w:firstLine="426"/>
      </w:pPr>
      <w:r>
        <w:rPr>
          <w:b/>
        </w:rPr>
        <w:t>Buggle Bowe</w:t>
      </w:r>
      <w:r>
        <w:t xml:space="preserve"> is a tune named for singing one of the sections of the Elizabethan broadside 'Frauncis new Jigge' by George Attwell, licensed for publication in 1595.</w:t>
      </w:r>
      <w:r>
        <w:rPr>
          <w:rStyle w:val="FootnoteReference"/>
        </w:rPr>
        <w:footnoteReference w:id="16"/>
      </w:r>
      <w:r w:rsidR="00C54EF3">
        <w:t xml:space="preserve"> </w:t>
      </w:r>
      <w:r>
        <w:t>The version here (n</w:t>
      </w:r>
      <w:r>
        <w:rPr>
          <w:vertAlign w:val="superscript"/>
        </w:rPr>
        <w:t>o</w:t>
      </w:r>
      <w:r>
        <w:t xml:space="preserve"> 14) is a set of eighteen variations again illustrating a variety of ways to write divisions on a simple ground.</w:t>
      </w:r>
      <w:r w:rsidR="00C54EF3">
        <w:t xml:space="preserve"> </w:t>
      </w:r>
      <w:r>
        <w:t xml:space="preserve">In the chapter 'On the Trout' in </w:t>
      </w:r>
      <w:r>
        <w:rPr>
          <w:i/>
        </w:rPr>
        <w:t>The Compleat Angler</w:t>
      </w:r>
      <w:r>
        <w:t>, first published in 1653, Izaak Walton gave the line to the character Piscator 'I'll promise you I'll sing a song that was lately made, at my request, by Mr. William Basse; one that hath made the choice songs of the "Hunter in his Career" and of "Tom of Bedlam" and many others of note; and this, that I will sing, is in praise of Angling.'</w:t>
      </w:r>
      <w:r w:rsidR="00C54EF3">
        <w:t xml:space="preserve"> </w:t>
      </w:r>
      <w:r>
        <w:t xml:space="preserve">The lute solo </w:t>
      </w:r>
      <w:r>
        <w:rPr>
          <w:b/>
        </w:rPr>
        <w:t>Hunter's Career</w:t>
      </w:r>
      <w:r>
        <w:t xml:space="preserve"> could be the tune Basse wrote, included here in two versions (n</w:t>
      </w:r>
      <w:r>
        <w:rPr>
          <w:vertAlign w:val="superscript"/>
        </w:rPr>
        <w:t>o</w:t>
      </w:r>
      <w:r>
        <w:t xml:space="preserve"> 15), one for 7-course and the other 10-course lute.</w:t>
      </w:r>
      <w:r w:rsidR="00C54EF3">
        <w:t xml:space="preserve"> </w:t>
      </w:r>
      <w:r>
        <w:t>The earliest broadside probably sung to the tune was 'Mount Taragh's Triumph, 5 Iuly 1626, to the tune of "the Careere."'</w:t>
      </w:r>
      <w:r>
        <w:rPr>
          <w:rStyle w:val="FootnoteReference"/>
        </w:rPr>
        <w:footnoteReference w:id="17"/>
      </w:r>
    </w:p>
    <w:p w14:paraId="28F1A749" w14:textId="77777777" w:rsidR="00AC1EC2" w:rsidRDefault="00AC1EC2" w:rsidP="00054C81">
      <w:pPr>
        <w:ind w:firstLine="426"/>
      </w:pPr>
    </w:p>
    <w:p w14:paraId="59AB5716" w14:textId="77777777" w:rsidR="00054C81" w:rsidRDefault="004A2D23" w:rsidP="00054C81">
      <w:pPr>
        <w:suppressLineNumbers/>
        <w:suppressAutoHyphens/>
        <w:rPr>
          <w:b/>
          <w:color w:val="000000"/>
          <w:sz w:val="18"/>
        </w:rPr>
      </w:pPr>
      <w:r>
        <w:rPr>
          <w:b/>
          <w:color w:val="000000"/>
          <w:sz w:val="18"/>
        </w:rPr>
        <w:t xml:space="preserve">Worklist </w:t>
      </w:r>
    </w:p>
    <w:p w14:paraId="1D38D058" w14:textId="77777777" w:rsidR="00054C81" w:rsidRDefault="004A2D23" w:rsidP="00054C81">
      <w:pPr>
        <w:suppressLineNumbers/>
        <w:suppressAutoHyphens/>
        <w:rPr>
          <w:color w:val="000000"/>
          <w:sz w:val="18"/>
        </w:rPr>
      </w:pPr>
      <w:r>
        <w:rPr>
          <w:color w:val="000000"/>
          <w:sz w:val="18"/>
        </w:rPr>
        <w:t>Minor editorial changes have been made without comment</w:t>
      </w:r>
    </w:p>
    <w:p w14:paraId="279D8248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 xml:space="preserve">1. </w:t>
      </w:r>
      <w:r>
        <w:rPr>
          <w:b/>
          <w:sz w:val="18"/>
        </w:rPr>
        <w:t>Morris Tunes</w:t>
      </w:r>
    </w:p>
    <w:p w14:paraId="609BD47A" w14:textId="77777777" w:rsidR="004A2D23" w:rsidRDefault="00054C81" w:rsidP="004A2D23">
      <w:pPr>
        <w:suppressLineNumbers/>
        <w:suppressAutoHyphens/>
        <w:ind w:left="476" w:right="46" w:hanging="202"/>
        <w:rPr>
          <w:i/>
          <w:sz w:val="18"/>
        </w:rPr>
      </w:pPr>
      <w:r>
        <w:rPr>
          <w:sz w:val="18"/>
        </w:rPr>
        <w:t>a. Mynshall, f. 8r</w:t>
      </w:r>
      <w:r w:rsidR="004A2D23">
        <w:rPr>
          <w:sz w:val="18"/>
        </w:rPr>
        <w:t xml:space="preserve"> </w:t>
      </w:r>
      <w:r w:rsidR="004A2D23">
        <w:rPr>
          <w:i/>
          <w:sz w:val="18"/>
        </w:rPr>
        <w:t>The Moris</w:t>
      </w:r>
    </w:p>
    <w:p w14:paraId="553341BB" w14:textId="77777777" w:rsidR="004A2D23" w:rsidRPr="00DA7BE7" w:rsidRDefault="004A2D23" w:rsidP="004A2D23">
      <w:pPr>
        <w:suppressLineNumbers/>
        <w:suppressAutoHyphens/>
        <w:ind w:left="476" w:right="46" w:hanging="202"/>
        <w:rPr>
          <w:sz w:val="16"/>
          <w:szCs w:val="16"/>
        </w:rPr>
      </w:pPr>
      <w:r>
        <w:rPr>
          <w:sz w:val="18"/>
        </w:rPr>
        <w:tab/>
      </w:r>
      <w:r w:rsidRPr="00DA7BE7">
        <w:rPr>
          <w:sz w:val="16"/>
          <w:szCs w:val="16"/>
        </w:rPr>
        <w:t>cf</w:t>
      </w:r>
      <w:r w:rsidR="00054C81" w:rsidRPr="00DA7BE7">
        <w:rPr>
          <w:sz w:val="16"/>
          <w:szCs w:val="16"/>
        </w:rPr>
        <w:t>. Keyboard: Drexel 5609, p. 156</w:t>
      </w:r>
      <w:r w:rsidRPr="00DA7BE7">
        <w:rPr>
          <w:sz w:val="16"/>
          <w:szCs w:val="16"/>
        </w:rPr>
        <w:t xml:space="preserve"> </w:t>
      </w:r>
      <w:r w:rsidRPr="00DA7BE7">
        <w:rPr>
          <w:i/>
          <w:sz w:val="16"/>
          <w:szCs w:val="16"/>
        </w:rPr>
        <w:t>The Morris</w:t>
      </w:r>
      <w:r w:rsidR="00054C81" w:rsidRPr="00DA7BE7">
        <w:rPr>
          <w:sz w:val="16"/>
          <w:szCs w:val="16"/>
        </w:rPr>
        <w:t xml:space="preserve"> &amp; p. 66</w:t>
      </w:r>
      <w:r w:rsidRPr="00DA7BE7">
        <w:rPr>
          <w:sz w:val="16"/>
          <w:szCs w:val="16"/>
        </w:rPr>
        <w:t xml:space="preserve"> [</w:t>
      </w:r>
      <w:r w:rsidRPr="00DA7BE7">
        <w:rPr>
          <w:i/>
          <w:sz w:val="16"/>
          <w:szCs w:val="16"/>
        </w:rPr>
        <w:t>The Battel</w:t>
      </w:r>
      <w:r w:rsidRPr="00DA7BE7">
        <w:rPr>
          <w:sz w:val="16"/>
          <w:szCs w:val="16"/>
        </w:rPr>
        <w:t xml:space="preserve">] </w:t>
      </w:r>
      <w:r w:rsidRPr="00DA7BE7">
        <w:rPr>
          <w:i/>
          <w:sz w:val="16"/>
          <w:szCs w:val="16"/>
        </w:rPr>
        <w:t>The Morris</w:t>
      </w:r>
      <w:r w:rsidR="00054C81" w:rsidRPr="00DA7BE7">
        <w:rPr>
          <w:sz w:val="16"/>
          <w:szCs w:val="16"/>
        </w:rPr>
        <w:t>; Paris 1186, f. 92v</w:t>
      </w:r>
      <w:r w:rsidRPr="00DA7BE7">
        <w:rPr>
          <w:sz w:val="16"/>
          <w:szCs w:val="16"/>
        </w:rPr>
        <w:t xml:space="preserve"> </w:t>
      </w:r>
      <w:r w:rsidRPr="00DA7BE7">
        <w:rPr>
          <w:i/>
          <w:sz w:val="16"/>
          <w:szCs w:val="16"/>
        </w:rPr>
        <w:t>The Morris</w:t>
      </w:r>
      <w:r w:rsidRPr="00DA7BE7">
        <w:rPr>
          <w:sz w:val="16"/>
          <w:szCs w:val="16"/>
        </w:rPr>
        <w:t xml:space="preserve"> &amp; f. 99, [</w:t>
      </w:r>
      <w:r w:rsidRPr="00DA7BE7">
        <w:rPr>
          <w:i/>
          <w:sz w:val="16"/>
          <w:szCs w:val="16"/>
        </w:rPr>
        <w:t>The Battel</w:t>
      </w:r>
      <w:r w:rsidRPr="00DA7BE7">
        <w:rPr>
          <w:sz w:val="16"/>
          <w:szCs w:val="16"/>
        </w:rPr>
        <w:t xml:space="preserve">] </w:t>
      </w:r>
      <w:r w:rsidRPr="00DA7BE7">
        <w:rPr>
          <w:i/>
          <w:sz w:val="16"/>
          <w:szCs w:val="16"/>
        </w:rPr>
        <w:t>The morris</w:t>
      </w:r>
    </w:p>
    <w:p w14:paraId="2A6D94FA" w14:textId="77777777" w:rsidR="004A2D23" w:rsidRDefault="00054C81" w:rsidP="004A2D23">
      <w:pPr>
        <w:suppressLineNumbers/>
        <w:suppressAutoHyphens/>
        <w:ind w:left="476" w:right="46" w:hanging="202"/>
        <w:rPr>
          <w:sz w:val="18"/>
        </w:rPr>
      </w:pPr>
      <w:r>
        <w:rPr>
          <w:sz w:val="18"/>
        </w:rPr>
        <w:t>b. Thysius, f. 455r</w:t>
      </w:r>
      <w:r w:rsidR="004A2D23">
        <w:rPr>
          <w:sz w:val="18"/>
        </w:rPr>
        <w:t xml:space="preserve"> </w:t>
      </w:r>
      <w:r w:rsidR="004A2D23">
        <w:rPr>
          <w:i/>
          <w:sz w:val="18"/>
        </w:rPr>
        <w:t>Moriskas Brande</w:t>
      </w:r>
      <w:r w:rsidR="004A2D23">
        <w:rPr>
          <w:sz w:val="18"/>
        </w:rPr>
        <w:t xml:space="preserve"> </w:t>
      </w:r>
    </w:p>
    <w:p w14:paraId="48F8FFD4" w14:textId="77777777" w:rsidR="004A2D23" w:rsidRPr="00DA7BE7" w:rsidRDefault="004A2D23" w:rsidP="004A2D23">
      <w:pPr>
        <w:suppressLineNumbers/>
        <w:suppressAutoHyphens/>
        <w:ind w:left="476" w:right="46" w:hanging="202"/>
        <w:rPr>
          <w:sz w:val="16"/>
          <w:szCs w:val="16"/>
        </w:rPr>
      </w:pPr>
      <w:r>
        <w:rPr>
          <w:sz w:val="18"/>
        </w:rPr>
        <w:tab/>
      </w:r>
      <w:r w:rsidRPr="00DA7BE7">
        <w:rPr>
          <w:sz w:val="16"/>
          <w:szCs w:val="16"/>
        </w:rPr>
        <w:t>cf. Thys</w:t>
      </w:r>
      <w:r w:rsidR="00054C81" w:rsidRPr="00DA7BE7">
        <w:rPr>
          <w:sz w:val="16"/>
          <w:szCs w:val="16"/>
        </w:rPr>
        <w:t>ius, f. 455r</w:t>
      </w:r>
      <w:r w:rsidRPr="00DA7BE7">
        <w:rPr>
          <w:sz w:val="16"/>
          <w:szCs w:val="16"/>
        </w:rPr>
        <w:t xml:space="preserve"> untitled</w:t>
      </w:r>
    </w:p>
    <w:p w14:paraId="137B4D06" w14:textId="77777777" w:rsidR="004A2D23" w:rsidRDefault="004A2D23" w:rsidP="004A2D23">
      <w:pPr>
        <w:suppressLineNumbers/>
        <w:suppressAutoHyphens/>
        <w:ind w:left="476" w:right="46" w:hanging="202"/>
        <w:rPr>
          <w:sz w:val="18"/>
        </w:rPr>
      </w:pPr>
      <w:r>
        <w:rPr>
          <w:sz w:val="18"/>
        </w:rPr>
        <w:t xml:space="preserve">c. Playford </w:t>
      </w:r>
      <w:r>
        <w:rPr>
          <w:i/>
          <w:sz w:val="18"/>
        </w:rPr>
        <w:t>Musicks Recreation on the Lyra Viol</w:t>
      </w:r>
      <w:r w:rsidR="00054C81">
        <w:rPr>
          <w:sz w:val="18"/>
        </w:rPr>
        <w:t xml:space="preserve"> 1652, p. 76</w:t>
      </w:r>
      <w:r>
        <w:rPr>
          <w:sz w:val="18"/>
        </w:rPr>
        <w:t xml:space="preserve"> </w:t>
      </w:r>
      <w:r>
        <w:rPr>
          <w:i/>
          <w:sz w:val="18"/>
        </w:rPr>
        <w:t>Morris Dr.</w:t>
      </w:r>
      <w:r>
        <w:rPr>
          <w:sz w:val="18"/>
        </w:rPr>
        <w:t xml:space="preserve"> </w:t>
      </w:r>
      <w:r>
        <w:rPr>
          <w:i/>
          <w:sz w:val="18"/>
        </w:rPr>
        <w:t>Colman</w:t>
      </w:r>
      <w:r>
        <w:rPr>
          <w:sz w:val="18"/>
        </w:rPr>
        <w:t xml:space="preserve"> [transcribed from lyra viol]</w:t>
      </w:r>
    </w:p>
    <w:p w14:paraId="7C468CF5" w14:textId="77777777" w:rsidR="004A2D23" w:rsidRDefault="00054C81" w:rsidP="004A2D23">
      <w:pPr>
        <w:suppressLineNumbers/>
        <w:suppressAutoHyphens/>
        <w:ind w:left="476" w:right="46" w:hanging="202"/>
        <w:rPr>
          <w:sz w:val="18"/>
        </w:rPr>
      </w:pPr>
      <w:r>
        <w:rPr>
          <w:sz w:val="18"/>
        </w:rPr>
        <w:t xml:space="preserve">d. </w:t>
      </w:r>
      <w:r w:rsidR="00671FA4">
        <w:rPr>
          <w:sz w:val="18"/>
        </w:rPr>
        <w:t>Dtc 408/II</w:t>
      </w:r>
      <w:r>
        <w:rPr>
          <w:sz w:val="18"/>
        </w:rPr>
        <w:t>, p. 91</w:t>
      </w:r>
      <w:r w:rsidR="004A2D23">
        <w:rPr>
          <w:sz w:val="18"/>
        </w:rPr>
        <w:t xml:space="preserve"> </w:t>
      </w:r>
      <w:r w:rsidR="004A2D23">
        <w:rPr>
          <w:i/>
          <w:sz w:val="18"/>
        </w:rPr>
        <w:t>Staynes Moris</w:t>
      </w:r>
    </w:p>
    <w:p w14:paraId="399A9288" w14:textId="77777777" w:rsidR="004A2D23" w:rsidRDefault="004A2D23" w:rsidP="004A2D23">
      <w:pPr>
        <w:suppressLineNumbers/>
        <w:suppressAutoHyphens/>
        <w:ind w:left="476" w:right="46" w:hanging="202"/>
        <w:rPr>
          <w:sz w:val="18"/>
        </w:rPr>
      </w:pPr>
      <w:r>
        <w:rPr>
          <w:sz w:val="18"/>
        </w:rPr>
        <w:t xml:space="preserve">e. Playford, </w:t>
      </w:r>
      <w:r>
        <w:rPr>
          <w:i/>
          <w:sz w:val="18"/>
        </w:rPr>
        <w:t>Dancing Master</w:t>
      </w:r>
      <w:r w:rsidR="00054C81">
        <w:rPr>
          <w:sz w:val="18"/>
        </w:rPr>
        <w:t xml:space="preserve"> 1651, p. 87</w:t>
      </w:r>
      <w:r>
        <w:rPr>
          <w:sz w:val="18"/>
        </w:rPr>
        <w:t xml:space="preserve"> </w:t>
      </w:r>
      <w:r>
        <w:rPr>
          <w:i/>
          <w:sz w:val="18"/>
        </w:rPr>
        <w:t>Stanes Morris</w:t>
      </w:r>
    </w:p>
    <w:p w14:paraId="79F44B3C" w14:textId="77777777" w:rsidR="004A2D23" w:rsidRDefault="004A2D23" w:rsidP="004A2D23">
      <w:pPr>
        <w:suppressLineNumbers/>
        <w:suppressAutoHyphens/>
        <w:ind w:left="476" w:right="46" w:hanging="202"/>
        <w:rPr>
          <w:sz w:val="18"/>
        </w:rPr>
      </w:pPr>
      <w:r>
        <w:rPr>
          <w:sz w:val="18"/>
        </w:rPr>
        <w:tab/>
        <w:t>[transcribed from violin]</w:t>
      </w:r>
    </w:p>
    <w:p w14:paraId="2BF74937" w14:textId="77777777" w:rsidR="004A2D23" w:rsidRDefault="004A2D23" w:rsidP="004A2D23">
      <w:pPr>
        <w:suppressLineNumbers/>
        <w:suppressAutoHyphens/>
        <w:ind w:left="476" w:right="46" w:hanging="202"/>
        <w:rPr>
          <w:sz w:val="18"/>
        </w:rPr>
      </w:pPr>
      <w:r>
        <w:rPr>
          <w:sz w:val="18"/>
        </w:rPr>
        <w:t>f. Trumbull</w:t>
      </w:r>
      <w:r w:rsidR="00054C81">
        <w:rPr>
          <w:sz w:val="18"/>
        </w:rPr>
        <w:t>, f. 9v</w:t>
      </w:r>
      <w:r>
        <w:rPr>
          <w:sz w:val="18"/>
        </w:rPr>
        <w:t xml:space="preserve"> </w:t>
      </w:r>
      <w:r>
        <w:rPr>
          <w:i/>
          <w:sz w:val="18"/>
        </w:rPr>
        <w:t>Staines Morris</w:t>
      </w:r>
    </w:p>
    <w:p w14:paraId="48C085BE" w14:textId="77777777" w:rsidR="004A2D23" w:rsidRDefault="00054C81" w:rsidP="004A2D23">
      <w:pPr>
        <w:suppressLineNumbers/>
        <w:suppressAutoHyphens/>
        <w:ind w:left="476" w:right="46" w:hanging="202"/>
        <w:rPr>
          <w:sz w:val="18"/>
        </w:rPr>
      </w:pPr>
      <w:r>
        <w:rPr>
          <w:sz w:val="18"/>
        </w:rPr>
        <w:t>g. Dd.4.23, f. 19r</w:t>
      </w:r>
      <w:r w:rsidR="004A2D23">
        <w:rPr>
          <w:sz w:val="18"/>
        </w:rPr>
        <w:t xml:space="preserve"> </w:t>
      </w:r>
      <w:r w:rsidR="004A2D23">
        <w:rPr>
          <w:i/>
          <w:sz w:val="18"/>
        </w:rPr>
        <w:t>Staines Morris</w:t>
      </w:r>
      <w:r w:rsidR="004A2D23">
        <w:rPr>
          <w:sz w:val="18"/>
        </w:rPr>
        <w:t xml:space="preserve"> [transcribed from cittern]</w:t>
      </w:r>
    </w:p>
    <w:p w14:paraId="1CD79DCC" w14:textId="77777777" w:rsidR="004A2D23" w:rsidRDefault="004A2D23" w:rsidP="004A2D23">
      <w:pPr>
        <w:suppressLineNumbers/>
        <w:suppressAutoHyphens/>
        <w:ind w:left="476" w:right="46" w:hanging="202"/>
        <w:rPr>
          <w:sz w:val="18"/>
        </w:rPr>
      </w:pPr>
      <w:r>
        <w:rPr>
          <w:sz w:val="18"/>
        </w:rPr>
        <w:t xml:space="preserve">h. </w:t>
      </w:r>
      <w:r>
        <w:rPr>
          <w:i/>
          <w:sz w:val="18"/>
        </w:rPr>
        <w:t xml:space="preserve">Varietie </w:t>
      </w:r>
      <w:r w:rsidR="00054C81">
        <w:rPr>
          <w:sz w:val="18"/>
        </w:rPr>
        <w:t>1610, sig. P1r</w:t>
      </w:r>
      <w:r>
        <w:rPr>
          <w:sz w:val="18"/>
        </w:rPr>
        <w:t xml:space="preserve"> </w:t>
      </w:r>
      <w:r>
        <w:rPr>
          <w:i/>
          <w:sz w:val="18"/>
        </w:rPr>
        <w:t>Sir Henry Guilforde his Almaine</w:t>
      </w:r>
    </w:p>
    <w:p w14:paraId="16CD516F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 xml:space="preserve">2. </w:t>
      </w:r>
      <w:r>
        <w:rPr>
          <w:b/>
          <w:sz w:val="18"/>
        </w:rPr>
        <w:t>Trenchmore</w:t>
      </w:r>
    </w:p>
    <w:p w14:paraId="5DB9DD40" w14:textId="77777777" w:rsidR="004A2D23" w:rsidRDefault="00054C81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ab/>
        <w:t>Nn.6.36, ff. 33v-34r</w:t>
      </w:r>
      <w:r w:rsidR="004A2D23">
        <w:rPr>
          <w:sz w:val="18"/>
        </w:rPr>
        <w:t xml:space="preserve"> untitled</w:t>
      </w:r>
    </w:p>
    <w:p w14:paraId="3E69B67E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 xml:space="preserve">3. </w:t>
      </w:r>
      <w:r>
        <w:rPr>
          <w:b/>
          <w:sz w:val="18"/>
        </w:rPr>
        <w:t>The Wood Bynde</w:t>
      </w:r>
    </w:p>
    <w:p w14:paraId="788ADC3B" w14:textId="77777777" w:rsidR="004A2D23" w:rsidRDefault="00054C81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ab/>
        <w:t>Board, f. 25v</w:t>
      </w:r>
      <w:r w:rsidR="004A2D23">
        <w:rPr>
          <w:sz w:val="18"/>
        </w:rPr>
        <w:t xml:space="preserve"> </w:t>
      </w:r>
      <w:r w:rsidR="004A2D23">
        <w:rPr>
          <w:i/>
          <w:sz w:val="18"/>
        </w:rPr>
        <w:t xml:space="preserve">The wood Bynde </w:t>
      </w:r>
      <w:r w:rsidR="004A2D23">
        <w:rPr>
          <w:sz w:val="18"/>
        </w:rPr>
        <w:t>[7th course in F, 8th in D]</w:t>
      </w:r>
    </w:p>
    <w:p w14:paraId="022FC92F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 xml:space="preserve">4. </w:t>
      </w:r>
      <w:r>
        <w:rPr>
          <w:b/>
          <w:sz w:val="18"/>
        </w:rPr>
        <w:t>Up Tails All</w:t>
      </w:r>
    </w:p>
    <w:p w14:paraId="7E45CC63" w14:textId="77777777" w:rsidR="004A2D23" w:rsidRDefault="00054C81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ab/>
        <w:t>a. Pickeringe, f. 34r</w:t>
      </w:r>
      <w:r w:rsidR="004A2D23">
        <w:rPr>
          <w:sz w:val="18"/>
        </w:rPr>
        <w:t xml:space="preserve"> </w:t>
      </w:r>
      <w:r w:rsidR="004A2D23">
        <w:rPr>
          <w:i/>
          <w:sz w:val="18"/>
        </w:rPr>
        <w:t>A Toye</w:t>
      </w:r>
    </w:p>
    <w:p w14:paraId="56BEFAA3" w14:textId="77777777" w:rsidR="004A2D23" w:rsidRDefault="00054C81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ab/>
        <w:t>b. Nn.6.36, f. 10v</w:t>
      </w:r>
      <w:r w:rsidR="004A2D23">
        <w:rPr>
          <w:sz w:val="18"/>
        </w:rPr>
        <w:t xml:space="preserve"> untitled [7th in D]</w:t>
      </w:r>
    </w:p>
    <w:p w14:paraId="77A215C1" w14:textId="77777777" w:rsidR="004A2D23" w:rsidRDefault="00054C81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ab/>
        <w:t>c. Dd.9.33, f. 95v</w:t>
      </w:r>
      <w:r w:rsidR="004A2D23">
        <w:rPr>
          <w:sz w:val="18"/>
        </w:rPr>
        <w:t xml:space="preserve"> untitled</w:t>
      </w:r>
    </w:p>
    <w:p w14:paraId="20298573" w14:textId="77777777" w:rsidR="004A2D23" w:rsidRDefault="00054C81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ab/>
        <w:t>cf. FVB, pp. 352-355</w:t>
      </w:r>
      <w:r w:rsidR="004A2D23">
        <w:rPr>
          <w:sz w:val="18"/>
        </w:rPr>
        <w:t xml:space="preserve"> </w:t>
      </w:r>
      <w:r w:rsidR="004A2D23">
        <w:rPr>
          <w:i/>
          <w:sz w:val="18"/>
        </w:rPr>
        <w:t>Up T. all 32 Giles Farnaby</w:t>
      </w:r>
      <w:r w:rsidR="004A2D23">
        <w:rPr>
          <w:sz w:val="18"/>
        </w:rPr>
        <w:t xml:space="preserve"> [keyboard]; Playford, </w:t>
      </w:r>
      <w:r w:rsidR="004A2D23">
        <w:rPr>
          <w:i/>
          <w:sz w:val="18"/>
        </w:rPr>
        <w:t>Dancing Master</w:t>
      </w:r>
      <w:r w:rsidR="004A2D23">
        <w:rPr>
          <w:sz w:val="18"/>
        </w:rPr>
        <w:t xml:space="preserve"> 1651, p. 97, </w:t>
      </w:r>
      <w:r w:rsidR="004A2D23">
        <w:rPr>
          <w:i/>
          <w:sz w:val="18"/>
        </w:rPr>
        <w:t>Up Tailes all</w:t>
      </w:r>
      <w:r w:rsidR="004A2D23">
        <w:rPr>
          <w:sz w:val="18"/>
        </w:rPr>
        <w:t xml:space="preserve"> [violin]</w:t>
      </w:r>
    </w:p>
    <w:p w14:paraId="73F15BD3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 xml:space="preserve">5. </w:t>
      </w:r>
      <w:r>
        <w:rPr>
          <w:b/>
          <w:sz w:val="18"/>
        </w:rPr>
        <w:t>Woodycock</w:t>
      </w:r>
      <w:r>
        <w:rPr>
          <w:sz w:val="18"/>
        </w:rPr>
        <w:t xml:space="preserve"> </w:t>
      </w:r>
    </w:p>
    <w:p w14:paraId="0D5C9FB2" w14:textId="77777777" w:rsidR="004A2D23" w:rsidRDefault="00054C81" w:rsidP="004A2D23">
      <w:pPr>
        <w:suppressLineNumbers/>
        <w:suppressAutoHyphens/>
        <w:ind w:left="476" w:right="46" w:hanging="202"/>
        <w:rPr>
          <w:sz w:val="18"/>
        </w:rPr>
      </w:pPr>
      <w:r>
        <w:rPr>
          <w:sz w:val="18"/>
        </w:rPr>
        <w:t>a. Nn.6.36, f. 3r</w:t>
      </w:r>
      <w:r w:rsidR="004A2D23">
        <w:rPr>
          <w:sz w:val="18"/>
        </w:rPr>
        <w:t xml:space="preserve"> </w:t>
      </w:r>
      <w:r w:rsidR="004A2D23">
        <w:rPr>
          <w:i/>
          <w:sz w:val="18"/>
        </w:rPr>
        <w:t>Wooddicock</w:t>
      </w:r>
    </w:p>
    <w:p w14:paraId="356734D3" w14:textId="77777777" w:rsidR="004A2D23" w:rsidRPr="00DA7BE7" w:rsidRDefault="004A2D23" w:rsidP="004A2D23">
      <w:pPr>
        <w:suppressLineNumbers/>
        <w:suppressAutoHyphens/>
        <w:ind w:left="476" w:right="46" w:hanging="202"/>
        <w:rPr>
          <w:sz w:val="16"/>
          <w:szCs w:val="16"/>
        </w:rPr>
      </w:pPr>
      <w:r>
        <w:rPr>
          <w:sz w:val="18"/>
        </w:rPr>
        <w:t xml:space="preserve">b. Playford, </w:t>
      </w:r>
      <w:r>
        <w:rPr>
          <w:i/>
          <w:sz w:val="18"/>
        </w:rPr>
        <w:t>Dancing Master</w:t>
      </w:r>
      <w:r w:rsidR="00054C81">
        <w:rPr>
          <w:sz w:val="18"/>
        </w:rPr>
        <w:t xml:space="preserve"> 1651, p. 15</w:t>
      </w:r>
      <w:r>
        <w:rPr>
          <w:sz w:val="18"/>
        </w:rPr>
        <w:t xml:space="preserve"> </w:t>
      </w:r>
      <w:r>
        <w:rPr>
          <w:i/>
          <w:sz w:val="18"/>
        </w:rPr>
        <w:t>Wooddicock/ Woodycock</w:t>
      </w:r>
      <w:r>
        <w:rPr>
          <w:sz w:val="18"/>
        </w:rPr>
        <w:t xml:space="preserve"> or </w:t>
      </w:r>
      <w:r>
        <w:rPr>
          <w:i/>
          <w:sz w:val="18"/>
        </w:rPr>
        <w:t>The green man</w:t>
      </w:r>
      <w:r>
        <w:rPr>
          <w:sz w:val="18"/>
        </w:rPr>
        <w:t xml:space="preserve"> [transcribed from vio</w:t>
      </w:r>
      <w:r w:rsidR="00054C81">
        <w:rPr>
          <w:sz w:val="18"/>
        </w:rPr>
        <w:t xml:space="preserve">lin]; </w:t>
      </w:r>
      <w:r w:rsidR="00054C81" w:rsidRPr="00DA7BE7">
        <w:rPr>
          <w:sz w:val="16"/>
          <w:szCs w:val="16"/>
        </w:rPr>
        <w:t>cf. Valerius 1626, p. 198</w:t>
      </w:r>
      <w:r w:rsidRPr="00DA7BE7">
        <w:rPr>
          <w:sz w:val="16"/>
          <w:szCs w:val="16"/>
        </w:rPr>
        <w:t xml:space="preserve"> </w:t>
      </w:r>
      <w:r w:rsidRPr="00DA7BE7">
        <w:rPr>
          <w:i/>
          <w:sz w:val="16"/>
          <w:szCs w:val="16"/>
        </w:rPr>
        <w:t>Engels Woddecot</w:t>
      </w:r>
      <w:r w:rsidRPr="00DA7BE7">
        <w:rPr>
          <w:sz w:val="16"/>
          <w:szCs w:val="16"/>
        </w:rPr>
        <w:t xml:space="preserve"> [voice, lute, cittern];</w:t>
      </w:r>
      <w:r w:rsidR="00054C81" w:rsidRPr="00DA7BE7">
        <w:rPr>
          <w:sz w:val="16"/>
          <w:szCs w:val="16"/>
        </w:rPr>
        <w:t xml:space="preserve"> Manchester Gamba Book, pp. 4-5</w:t>
      </w:r>
      <w:r w:rsidRPr="00DA7BE7">
        <w:rPr>
          <w:sz w:val="16"/>
          <w:szCs w:val="16"/>
        </w:rPr>
        <w:t xml:space="preserve"> </w:t>
      </w:r>
      <w:r w:rsidRPr="00DA7BE7">
        <w:rPr>
          <w:i/>
          <w:sz w:val="16"/>
          <w:szCs w:val="16"/>
        </w:rPr>
        <w:t>Woodicocke</w:t>
      </w:r>
      <w:r w:rsidR="00054C81" w:rsidRPr="00DA7BE7">
        <w:rPr>
          <w:sz w:val="16"/>
          <w:szCs w:val="16"/>
        </w:rPr>
        <w:t xml:space="preserve"> [lyra viol]; Dd.5.20, f. 33v</w:t>
      </w:r>
      <w:r w:rsidRPr="00DA7BE7">
        <w:rPr>
          <w:sz w:val="16"/>
          <w:szCs w:val="16"/>
        </w:rPr>
        <w:t xml:space="preserve"> </w:t>
      </w:r>
      <w:r w:rsidRPr="00DA7BE7">
        <w:rPr>
          <w:i/>
          <w:sz w:val="16"/>
          <w:szCs w:val="16"/>
        </w:rPr>
        <w:t>Wooddicocke</w:t>
      </w:r>
      <w:r w:rsidR="00054C81" w:rsidRPr="00DA7BE7">
        <w:rPr>
          <w:sz w:val="16"/>
          <w:szCs w:val="16"/>
        </w:rPr>
        <w:t xml:space="preserve"> [bass viol]; FVB, pp. 259-262</w:t>
      </w:r>
      <w:r w:rsidRPr="00DA7BE7">
        <w:rPr>
          <w:sz w:val="16"/>
          <w:szCs w:val="16"/>
        </w:rPr>
        <w:t xml:space="preserve"> </w:t>
      </w:r>
      <w:r w:rsidRPr="00DA7BE7">
        <w:rPr>
          <w:i/>
          <w:sz w:val="16"/>
          <w:szCs w:val="16"/>
        </w:rPr>
        <w:t>Wooddycock 11 Giles Farnaby</w:t>
      </w:r>
      <w:r w:rsidRPr="00DA7BE7">
        <w:rPr>
          <w:sz w:val="16"/>
          <w:szCs w:val="16"/>
        </w:rPr>
        <w:t xml:space="preserve"> </w:t>
      </w:r>
      <w:r w:rsidR="00054C81" w:rsidRPr="00DA7BE7">
        <w:rPr>
          <w:sz w:val="16"/>
          <w:szCs w:val="16"/>
        </w:rPr>
        <w:t>[keyboard]; Starter 1621, p. 99</w:t>
      </w:r>
      <w:r w:rsidRPr="00DA7BE7">
        <w:rPr>
          <w:sz w:val="16"/>
          <w:szCs w:val="16"/>
        </w:rPr>
        <w:t xml:space="preserve"> </w:t>
      </w:r>
      <w:r w:rsidRPr="00DA7BE7">
        <w:rPr>
          <w:i/>
          <w:sz w:val="16"/>
          <w:szCs w:val="16"/>
        </w:rPr>
        <w:t>Drinck-Liedeken</w:t>
      </w:r>
      <w:r w:rsidRPr="00DA7BE7">
        <w:rPr>
          <w:sz w:val="16"/>
          <w:szCs w:val="16"/>
        </w:rPr>
        <w:t xml:space="preserve"> [song]</w:t>
      </w:r>
    </w:p>
    <w:p w14:paraId="53624F3A" w14:textId="77777777" w:rsidR="004A2D23" w:rsidRDefault="004A2D23" w:rsidP="004A2D23">
      <w:pPr>
        <w:suppressLineNumbers/>
        <w:suppressAutoHyphens/>
        <w:ind w:right="46"/>
        <w:rPr>
          <w:sz w:val="18"/>
        </w:rPr>
      </w:pPr>
      <w:r>
        <w:rPr>
          <w:sz w:val="18"/>
        </w:rPr>
        <w:t xml:space="preserve">6. </w:t>
      </w:r>
      <w:r>
        <w:rPr>
          <w:b/>
          <w:sz w:val="18"/>
        </w:rPr>
        <w:t>Over the Broome Bessy</w:t>
      </w:r>
    </w:p>
    <w:p w14:paraId="7D865655" w14:textId="77777777" w:rsidR="004A2D23" w:rsidRDefault="004A2D23" w:rsidP="004A2D23">
      <w:pPr>
        <w:suppressLineNumbers/>
        <w:suppressAutoHyphens/>
        <w:ind w:left="476" w:right="46" w:hanging="202"/>
        <w:rPr>
          <w:sz w:val="18"/>
        </w:rPr>
      </w:pPr>
      <w:r>
        <w:rPr>
          <w:sz w:val="18"/>
        </w:rPr>
        <w:tab/>
        <w:t xml:space="preserve">Dd.2.11, f. 80v </w:t>
      </w:r>
      <w:r>
        <w:rPr>
          <w:i/>
          <w:sz w:val="18"/>
        </w:rPr>
        <w:t>ouer the Broome Bessy</w:t>
      </w:r>
    </w:p>
    <w:p w14:paraId="25AAFB28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 xml:space="preserve">7. </w:t>
      </w:r>
      <w:r>
        <w:rPr>
          <w:b/>
          <w:sz w:val="18"/>
        </w:rPr>
        <w:t>Peggie</w:t>
      </w:r>
    </w:p>
    <w:p w14:paraId="2B72062C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ab/>
        <w:t>Browne/Braye, ff. 77r-</w:t>
      </w:r>
      <w:r w:rsidR="00054C81">
        <w:rPr>
          <w:sz w:val="18"/>
        </w:rPr>
        <w:t>77v</w:t>
      </w:r>
      <w:r>
        <w:rPr>
          <w:sz w:val="18"/>
        </w:rPr>
        <w:t xml:space="preserve"> </w:t>
      </w:r>
      <w:r>
        <w:rPr>
          <w:i/>
          <w:sz w:val="18"/>
        </w:rPr>
        <w:t>Peggie</w:t>
      </w:r>
      <w:r>
        <w:rPr>
          <w:sz w:val="18"/>
        </w:rPr>
        <w:t xml:space="preserve"> [transcribed from lyra viol]</w:t>
      </w:r>
    </w:p>
    <w:p w14:paraId="50639B41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 xml:space="preserve">8. </w:t>
      </w:r>
      <w:r>
        <w:rPr>
          <w:b/>
          <w:sz w:val="18"/>
        </w:rPr>
        <w:t>The Hornpipe</w:t>
      </w:r>
    </w:p>
    <w:p w14:paraId="1847DB37" w14:textId="77777777" w:rsidR="004A2D23" w:rsidRDefault="00054C81" w:rsidP="004A2D23">
      <w:pPr>
        <w:suppressLineNumbers/>
        <w:suppressAutoHyphens/>
        <w:ind w:left="540" w:right="46" w:hanging="266"/>
        <w:rPr>
          <w:sz w:val="18"/>
        </w:rPr>
      </w:pPr>
      <w:r>
        <w:rPr>
          <w:sz w:val="18"/>
        </w:rPr>
        <w:t>Dd.2.11, f. 81v</w:t>
      </w:r>
      <w:r w:rsidR="004A2D23">
        <w:rPr>
          <w:sz w:val="18"/>
        </w:rPr>
        <w:t xml:space="preserve"> untitled; cf. Ballet, pp. 12-</w:t>
      </w:r>
      <w:r>
        <w:rPr>
          <w:sz w:val="18"/>
        </w:rPr>
        <w:t>13</w:t>
      </w:r>
      <w:r w:rsidR="004A2D23">
        <w:rPr>
          <w:sz w:val="18"/>
        </w:rPr>
        <w:t xml:space="preserve"> </w:t>
      </w:r>
      <w:r w:rsidR="004A2D23">
        <w:rPr>
          <w:i/>
          <w:sz w:val="18"/>
        </w:rPr>
        <w:t>The Horne Pipe</w:t>
      </w:r>
    </w:p>
    <w:p w14:paraId="17B19537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 xml:space="preserve">9. </w:t>
      </w:r>
      <w:r>
        <w:rPr>
          <w:b/>
          <w:sz w:val="18"/>
        </w:rPr>
        <w:t>Monsieur's Almaine</w:t>
      </w:r>
    </w:p>
    <w:p w14:paraId="12B6165B" w14:textId="77777777" w:rsidR="004A2D23" w:rsidRDefault="00054C81" w:rsidP="004A2D23">
      <w:pPr>
        <w:suppressLineNumbers/>
        <w:suppressAutoHyphens/>
        <w:ind w:left="448" w:right="46" w:hanging="174"/>
        <w:rPr>
          <w:sz w:val="18"/>
        </w:rPr>
      </w:pPr>
      <w:r>
        <w:rPr>
          <w:sz w:val="18"/>
        </w:rPr>
        <w:t>a. Thysius, f. 485r</w:t>
      </w:r>
      <w:r w:rsidR="004A2D23">
        <w:rPr>
          <w:sz w:val="18"/>
        </w:rPr>
        <w:t xml:space="preserve"> untitled</w:t>
      </w:r>
    </w:p>
    <w:p w14:paraId="6E845D73" w14:textId="77777777" w:rsidR="004A2D23" w:rsidRDefault="00054C81" w:rsidP="004A2D23">
      <w:pPr>
        <w:suppressLineNumbers/>
        <w:suppressAutoHyphens/>
        <w:ind w:left="448" w:right="46" w:hanging="174"/>
        <w:rPr>
          <w:sz w:val="18"/>
        </w:rPr>
      </w:pPr>
      <w:r>
        <w:rPr>
          <w:sz w:val="18"/>
        </w:rPr>
        <w:t>b. Euing, f. 19v untitled = Mynshall, f. 10r</w:t>
      </w:r>
      <w:r w:rsidR="004A2D23">
        <w:rPr>
          <w:sz w:val="18"/>
        </w:rPr>
        <w:t xml:space="preserve"> </w:t>
      </w:r>
      <w:r w:rsidR="004A2D23">
        <w:rPr>
          <w:i/>
          <w:sz w:val="18"/>
        </w:rPr>
        <w:t>Mounsiers Allma</w:t>
      </w:r>
    </w:p>
    <w:p w14:paraId="6701EE0D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 xml:space="preserve">10. </w:t>
      </w:r>
      <w:r>
        <w:rPr>
          <w:b/>
          <w:sz w:val="18"/>
        </w:rPr>
        <w:t>Only Joy</w:t>
      </w:r>
    </w:p>
    <w:p w14:paraId="50164A81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ab/>
        <w:t>Dd.9</w:t>
      </w:r>
      <w:r w:rsidR="00054C81">
        <w:rPr>
          <w:sz w:val="18"/>
        </w:rPr>
        <w:t>.33, f. 5r</w:t>
      </w:r>
      <w:r>
        <w:rPr>
          <w:sz w:val="18"/>
        </w:rPr>
        <w:t xml:space="preserve"> </w:t>
      </w:r>
      <w:r>
        <w:rPr>
          <w:i/>
          <w:sz w:val="18"/>
        </w:rPr>
        <w:t>Only ioye</w:t>
      </w:r>
    </w:p>
    <w:p w14:paraId="02351248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 xml:space="preserve">11. </w:t>
      </w:r>
      <w:r>
        <w:rPr>
          <w:b/>
          <w:sz w:val="18"/>
        </w:rPr>
        <w:t>Lost is my Liberty</w:t>
      </w:r>
    </w:p>
    <w:p w14:paraId="490AF859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ab/>
        <w:t>a. Ballet, p. 11,</w:t>
      </w:r>
      <w:r>
        <w:rPr>
          <w:i/>
          <w:sz w:val="18"/>
        </w:rPr>
        <w:t xml:space="preserve"> Lost is my lyberty</w:t>
      </w:r>
    </w:p>
    <w:p w14:paraId="44E63DE9" w14:textId="77777777" w:rsidR="004A2D23" w:rsidRDefault="00054C81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ab/>
        <w:t>b. Dd.2.11, f. 40v</w:t>
      </w:r>
      <w:r w:rsidR="004A2D23">
        <w:rPr>
          <w:sz w:val="18"/>
        </w:rPr>
        <w:t xml:space="preserve"> untitled</w:t>
      </w:r>
    </w:p>
    <w:p w14:paraId="4FE1DA60" w14:textId="77777777" w:rsidR="004A2D23" w:rsidRDefault="00125F72" w:rsidP="004A2D23">
      <w:pPr>
        <w:suppressLineNumbers/>
        <w:suppressAutoHyphens/>
        <w:ind w:left="266" w:right="46" w:hanging="266"/>
        <w:rPr>
          <w:sz w:val="1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D9EFDA" wp14:editId="17D37735">
                <wp:simplePos x="0" y="0"/>
                <wp:positionH relativeFrom="column">
                  <wp:posOffset>-6985</wp:posOffset>
                </wp:positionH>
                <wp:positionV relativeFrom="paragraph">
                  <wp:posOffset>-6485255</wp:posOffset>
                </wp:positionV>
                <wp:extent cx="2970530" cy="2647950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70530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3B98B" w14:textId="77777777" w:rsidR="00AC1EC2" w:rsidRDefault="00125F72" w:rsidP="00AC1E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965209" wp14:editId="2ED62A4B">
                                  <wp:extent cx="2785745" cy="2557145"/>
                                  <wp:effectExtent l="0" t="0" r="0" b="0"/>
                                  <wp:docPr id="2" name="Picture 2" descr="Roxburgh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Roxburgh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64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5745" cy="255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9EFDA" id="Text Box 5" o:spid="_x0000_s1027" type="#_x0000_t202" style="position:absolute;left:0;text-align:left;margin-left:-.55pt;margin-top:-510.65pt;width:233.9pt;height:20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" filled="f" stroked="f">
                <v:path arrowok="t"/>
                <v:textbox>
                  <w:txbxContent>
                    <w:p w14:paraId="6693B98B" w14:textId="77777777" w:rsidR="00AC1EC2" w:rsidRDefault="00125F72" w:rsidP="00AC1EC2">
                      <w:r>
                        <w:rPr>
                          <w:noProof/>
                        </w:rPr>
                        <w:drawing>
                          <wp:inline distT="0" distB="0" distL="0" distR="0" wp14:anchorId="71965209" wp14:editId="2ED62A4B">
                            <wp:extent cx="2785745" cy="2557145"/>
                            <wp:effectExtent l="0" t="0" r="0" b="0"/>
                            <wp:docPr id="2" name="Picture 2" descr="Roxburgh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Roxburgh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64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5745" cy="255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4C81">
        <w:rPr>
          <w:sz w:val="18"/>
        </w:rPr>
        <w:tab/>
        <w:t>c. Dd.2.11, f. 41r</w:t>
      </w:r>
      <w:r w:rsidR="004A2D23">
        <w:rPr>
          <w:sz w:val="18"/>
        </w:rPr>
        <w:t xml:space="preserve"> </w:t>
      </w:r>
      <w:r w:rsidR="004A2D23">
        <w:rPr>
          <w:i/>
          <w:sz w:val="18"/>
        </w:rPr>
        <w:t>My L</w:t>
      </w:r>
      <w:r w:rsidR="004A2D23">
        <w:rPr>
          <w:sz w:val="18"/>
        </w:rPr>
        <w:t>[ord?]</w:t>
      </w:r>
      <w:r w:rsidR="004A2D23">
        <w:rPr>
          <w:i/>
          <w:sz w:val="18"/>
        </w:rPr>
        <w:t>. of Dehims Lamentacion</w:t>
      </w:r>
    </w:p>
    <w:p w14:paraId="268380B3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 xml:space="preserve">12. </w:t>
      </w:r>
      <w:r>
        <w:rPr>
          <w:b/>
          <w:sz w:val="18"/>
        </w:rPr>
        <w:t>Loth to Depart</w:t>
      </w:r>
    </w:p>
    <w:p w14:paraId="1DED151E" w14:textId="77777777" w:rsidR="004A2D23" w:rsidRDefault="00054C81" w:rsidP="004A2D23">
      <w:pPr>
        <w:suppressLineNumbers/>
        <w:suppressAutoHyphens/>
        <w:ind w:left="476" w:right="46" w:hanging="202"/>
        <w:rPr>
          <w:sz w:val="18"/>
        </w:rPr>
      </w:pPr>
      <w:r>
        <w:rPr>
          <w:sz w:val="18"/>
        </w:rPr>
        <w:t>a. Pickeringe, f. 33r</w:t>
      </w:r>
      <w:r w:rsidR="004A2D23">
        <w:rPr>
          <w:sz w:val="18"/>
        </w:rPr>
        <w:t xml:space="preserve"> untitled</w:t>
      </w:r>
    </w:p>
    <w:p w14:paraId="2B4FDB51" w14:textId="77777777" w:rsidR="004A2D23" w:rsidRDefault="004A2D23" w:rsidP="004A2D23">
      <w:pPr>
        <w:suppressLineNumbers/>
        <w:suppressAutoHyphens/>
        <w:ind w:left="476" w:right="46" w:hanging="202"/>
        <w:rPr>
          <w:i/>
          <w:sz w:val="18"/>
        </w:rPr>
      </w:pPr>
      <w:r>
        <w:rPr>
          <w:sz w:val="18"/>
        </w:rPr>
        <w:t>b. Euing, f.</w:t>
      </w:r>
      <w:r w:rsidR="008500B1">
        <w:rPr>
          <w:sz w:val="18"/>
        </w:rPr>
        <w:t xml:space="preserve"> 28r untitled = Dd.2.11, f. 9r</w:t>
      </w:r>
      <w:r>
        <w:rPr>
          <w:sz w:val="18"/>
        </w:rPr>
        <w:t xml:space="preserve"> </w:t>
      </w:r>
      <w:r>
        <w:rPr>
          <w:i/>
          <w:sz w:val="18"/>
        </w:rPr>
        <w:t>Lothe to Departe</w:t>
      </w:r>
    </w:p>
    <w:p w14:paraId="319D8DD7" w14:textId="77777777" w:rsidR="004A2D23" w:rsidRDefault="004A2D23" w:rsidP="004A2D23">
      <w:pPr>
        <w:suppressLineNumbers/>
        <w:suppressAutoHyphens/>
        <w:ind w:left="476" w:right="46" w:hanging="202"/>
        <w:rPr>
          <w:sz w:val="18"/>
        </w:rPr>
      </w:pPr>
      <w:r w:rsidRPr="00DA7BE7">
        <w:rPr>
          <w:sz w:val="16"/>
          <w:szCs w:val="16"/>
        </w:rPr>
        <w:t xml:space="preserve">cf. Board, f. </w:t>
      </w:r>
      <w:r w:rsidR="008500B1" w:rsidRPr="00DA7BE7">
        <w:rPr>
          <w:sz w:val="16"/>
          <w:szCs w:val="16"/>
        </w:rPr>
        <w:t>7v</w:t>
      </w:r>
      <w:r w:rsidRPr="00DA7BE7">
        <w:rPr>
          <w:sz w:val="16"/>
          <w:szCs w:val="16"/>
        </w:rPr>
        <w:t xml:space="preserve"> </w:t>
      </w:r>
      <w:r w:rsidRPr="00DA7BE7">
        <w:rPr>
          <w:i/>
          <w:sz w:val="16"/>
          <w:szCs w:val="16"/>
        </w:rPr>
        <w:t>Lothe to Depart/ Lothe to Departe</w:t>
      </w:r>
      <w:r w:rsidR="008500B1" w:rsidRPr="00DA7BE7">
        <w:rPr>
          <w:sz w:val="16"/>
          <w:szCs w:val="16"/>
        </w:rPr>
        <w:t>; Dd.9.33, ff. 68v-69v</w:t>
      </w:r>
      <w:r w:rsidRPr="00DA7BE7">
        <w:rPr>
          <w:sz w:val="16"/>
          <w:szCs w:val="16"/>
        </w:rPr>
        <w:t xml:space="preserve"> </w:t>
      </w:r>
      <w:r w:rsidRPr="00DA7BE7">
        <w:rPr>
          <w:i/>
          <w:sz w:val="16"/>
          <w:szCs w:val="16"/>
        </w:rPr>
        <w:t>Loth to departe Jo: Dowland</w:t>
      </w:r>
      <w:r w:rsidRPr="00DA7BE7">
        <w:rPr>
          <w:sz w:val="16"/>
          <w:szCs w:val="16"/>
        </w:rPr>
        <w:t xml:space="preserve"> [DowlandCLM n</w:t>
      </w:r>
      <w:r w:rsidRPr="00DA7BE7">
        <w:rPr>
          <w:sz w:val="16"/>
          <w:szCs w:val="16"/>
          <w:vertAlign w:val="superscript"/>
        </w:rPr>
        <w:t>o</w:t>
      </w:r>
      <w:r w:rsidR="008500B1" w:rsidRPr="00DA7BE7">
        <w:rPr>
          <w:sz w:val="16"/>
          <w:szCs w:val="16"/>
        </w:rPr>
        <w:t> 69]; Euing, f. 31r [untitled]; Thysius, f. 394v</w:t>
      </w:r>
      <w:r w:rsidRPr="00DA7BE7">
        <w:rPr>
          <w:sz w:val="16"/>
          <w:szCs w:val="16"/>
        </w:rPr>
        <w:t xml:space="preserve"> </w:t>
      </w:r>
      <w:r w:rsidRPr="00DA7BE7">
        <w:rPr>
          <w:i/>
          <w:sz w:val="16"/>
          <w:szCs w:val="16"/>
        </w:rPr>
        <w:t>Alter part</w:t>
      </w:r>
      <w:r w:rsidRPr="00DA7BE7">
        <w:rPr>
          <w:sz w:val="16"/>
          <w:szCs w:val="16"/>
        </w:rPr>
        <w:t>. Keyboard: FVB, pp. 333-</w:t>
      </w:r>
      <w:r w:rsidR="008500B1" w:rsidRPr="00DA7BE7">
        <w:rPr>
          <w:sz w:val="16"/>
          <w:szCs w:val="16"/>
        </w:rPr>
        <w:t>334</w:t>
      </w:r>
      <w:r w:rsidRPr="00DA7BE7">
        <w:rPr>
          <w:sz w:val="16"/>
          <w:szCs w:val="16"/>
        </w:rPr>
        <w:t xml:space="preserve"> </w:t>
      </w:r>
      <w:r w:rsidRPr="00DA7BE7">
        <w:rPr>
          <w:i/>
          <w:sz w:val="16"/>
          <w:szCs w:val="16"/>
        </w:rPr>
        <w:t>Loth to depart 21 Giles Farnaby</w:t>
      </w:r>
      <w:r w:rsidR="008500B1" w:rsidRPr="00DA7BE7">
        <w:rPr>
          <w:sz w:val="16"/>
          <w:szCs w:val="16"/>
        </w:rPr>
        <w:t>; Drexel 5609, p. 141</w:t>
      </w:r>
      <w:r w:rsidRPr="00DA7BE7">
        <w:rPr>
          <w:sz w:val="16"/>
          <w:szCs w:val="16"/>
        </w:rPr>
        <w:t xml:space="preserve"> untitled; </w:t>
      </w:r>
      <w:r w:rsidR="008500B1" w:rsidRPr="00DA7BE7">
        <w:rPr>
          <w:sz w:val="16"/>
          <w:szCs w:val="16"/>
        </w:rPr>
        <w:t>Paris 1186, f. 57v</w:t>
      </w:r>
      <w:r w:rsidRPr="00DA7BE7">
        <w:rPr>
          <w:sz w:val="16"/>
          <w:szCs w:val="16"/>
        </w:rPr>
        <w:t xml:space="preserve"> untitled </w:t>
      </w:r>
    </w:p>
    <w:p w14:paraId="04573BAA" w14:textId="77777777" w:rsidR="004A2D23" w:rsidRPr="00DA7BE7" w:rsidRDefault="008500B1" w:rsidP="004A2D23">
      <w:pPr>
        <w:suppressLineNumbers/>
        <w:suppressAutoHyphens/>
        <w:ind w:left="476" w:right="46" w:hanging="202"/>
        <w:rPr>
          <w:sz w:val="16"/>
          <w:szCs w:val="16"/>
        </w:rPr>
      </w:pPr>
      <w:r>
        <w:rPr>
          <w:sz w:val="18"/>
        </w:rPr>
        <w:t>c. Browne-Braye, f. 92v</w:t>
      </w:r>
      <w:r w:rsidR="004A2D23">
        <w:rPr>
          <w:sz w:val="18"/>
        </w:rPr>
        <w:t xml:space="preserve"> </w:t>
      </w:r>
      <w:r w:rsidR="004A2D23">
        <w:rPr>
          <w:i/>
          <w:sz w:val="18"/>
        </w:rPr>
        <w:t>Tell me John W.S.</w:t>
      </w:r>
      <w:r w:rsidR="004A2D23">
        <w:rPr>
          <w:sz w:val="18"/>
        </w:rPr>
        <w:t xml:space="preserve"> [transcribed fro</w:t>
      </w:r>
      <w:r>
        <w:rPr>
          <w:sz w:val="18"/>
        </w:rPr>
        <w:t xml:space="preserve">m bandora]; </w:t>
      </w:r>
      <w:r w:rsidRPr="00DA7BE7">
        <w:rPr>
          <w:sz w:val="16"/>
          <w:szCs w:val="16"/>
        </w:rPr>
        <w:t>cf. Thysius, f. 20r</w:t>
      </w:r>
      <w:r w:rsidR="004A2D23" w:rsidRPr="00DA7BE7">
        <w:rPr>
          <w:sz w:val="16"/>
          <w:szCs w:val="16"/>
        </w:rPr>
        <w:t xml:space="preserve"> </w:t>
      </w:r>
      <w:r w:rsidR="004A2D23" w:rsidRPr="00DA7BE7">
        <w:rPr>
          <w:i/>
          <w:sz w:val="16"/>
          <w:szCs w:val="16"/>
        </w:rPr>
        <w:t>Gailliarde Tell messon</w:t>
      </w:r>
    </w:p>
    <w:p w14:paraId="219891F8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>13.</w:t>
      </w:r>
      <w:r>
        <w:rPr>
          <w:sz w:val="18"/>
        </w:rPr>
        <w:tab/>
      </w:r>
      <w:r>
        <w:rPr>
          <w:b/>
          <w:sz w:val="18"/>
        </w:rPr>
        <w:t>The Gordian Knot</w:t>
      </w:r>
    </w:p>
    <w:p w14:paraId="7524AD2F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ab/>
        <w:t>Dd.9.33, f. 52v, untitled [3 variations, 7th in D]</w:t>
      </w:r>
    </w:p>
    <w:p w14:paraId="1B14D8F7" w14:textId="77777777" w:rsidR="004A2D23" w:rsidRPr="00DA7BE7" w:rsidRDefault="008500B1" w:rsidP="004A2D23">
      <w:pPr>
        <w:suppressLineNumbers/>
        <w:suppressAutoHyphens/>
        <w:ind w:left="266" w:right="46"/>
        <w:rPr>
          <w:color w:val="FF0000"/>
          <w:sz w:val="16"/>
          <w:szCs w:val="16"/>
        </w:rPr>
      </w:pPr>
      <w:r w:rsidRPr="00DA7BE7">
        <w:rPr>
          <w:sz w:val="16"/>
          <w:szCs w:val="16"/>
        </w:rPr>
        <w:t>cf. Board, ff. 21v-22r</w:t>
      </w:r>
      <w:r w:rsidR="004A2D23" w:rsidRPr="00DA7BE7">
        <w:rPr>
          <w:sz w:val="16"/>
          <w:szCs w:val="16"/>
        </w:rPr>
        <w:t xml:space="preserve"> </w:t>
      </w:r>
      <w:r w:rsidR="004A2D23" w:rsidRPr="00DA7BE7">
        <w:rPr>
          <w:i/>
          <w:sz w:val="16"/>
          <w:szCs w:val="16"/>
        </w:rPr>
        <w:t>Il nodo di gordio By Mr Holborne</w:t>
      </w:r>
      <w:r w:rsidRPr="00DA7BE7">
        <w:rPr>
          <w:sz w:val="16"/>
          <w:szCs w:val="16"/>
        </w:rPr>
        <w:t>; Dd.2.11, f. 59r</w:t>
      </w:r>
      <w:r w:rsidR="004A2D23" w:rsidRPr="00DA7BE7">
        <w:rPr>
          <w:sz w:val="16"/>
          <w:szCs w:val="16"/>
        </w:rPr>
        <w:t xml:space="preserve"> </w:t>
      </w:r>
      <w:r w:rsidR="004A2D23" w:rsidRPr="00DA7BE7">
        <w:rPr>
          <w:i/>
          <w:sz w:val="16"/>
          <w:szCs w:val="16"/>
        </w:rPr>
        <w:t>A: Holb</w:t>
      </w:r>
      <w:r w:rsidR="004A2D23" w:rsidRPr="00DA7BE7">
        <w:rPr>
          <w:sz w:val="16"/>
          <w:szCs w:val="16"/>
        </w:rPr>
        <w:t xml:space="preserve"> (HolborneS, n</w:t>
      </w:r>
      <w:r w:rsidR="004A2D23" w:rsidRPr="00DA7BE7">
        <w:rPr>
          <w:sz w:val="16"/>
          <w:szCs w:val="16"/>
          <w:vertAlign w:val="superscript"/>
        </w:rPr>
        <w:t>o</w:t>
      </w:r>
      <w:r w:rsidR="004A2D23" w:rsidRPr="00DA7BE7">
        <w:rPr>
          <w:sz w:val="16"/>
          <w:szCs w:val="16"/>
        </w:rPr>
        <w:t xml:space="preserve"> 57)</w:t>
      </w:r>
    </w:p>
    <w:p w14:paraId="09D43CFF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 xml:space="preserve">14. </w:t>
      </w:r>
      <w:r>
        <w:rPr>
          <w:b/>
          <w:sz w:val="18"/>
        </w:rPr>
        <w:t>Buggle Bowe</w:t>
      </w:r>
    </w:p>
    <w:p w14:paraId="2E34BE22" w14:textId="77777777" w:rsidR="004A2D23" w:rsidRDefault="008500B1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ab/>
        <w:t>Dd.2.11, f. 82r</w:t>
      </w:r>
      <w:r w:rsidR="004A2D23">
        <w:rPr>
          <w:sz w:val="18"/>
        </w:rPr>
        <w:t xml:space="preserve"> </w:t>
      </w:r>
      <w:r w:rsidR="004A2D23">
        <w:rPr>
          <w:i/>
          <w:sz w:val="18"/>
        </w:rPr>
        <w:t>Buggle Bowe</w:t>
      </w:r>
    </w:p>
    <w:p w14:paraId="386EDA5F" w14:textId="77777777" w:rsidR="004A2D23" w:rsidRDefault="004A2D23" w:rsidP="004A2D23">
      <w:pPr>
        <w:suppressLineNumbers/>
        <w:suppressAutoHyphens/>
        <w:ind w:left="266" w:right="46" w:hanging="266"/>
        <w:rPr>
          <w:sz w:val="18"/>
        </w:rPr>
      </w:pPr>
      <w:r>
        <w:rPr>
          <w:sz w:val="18"/>
        </w:rPr>
        <w:t xml:space="preserve">15. </w:t>
      </w:r>
      <w:r>
        <w:rPr>
          <w:b/>
          <w:sz w:val="18"/>
        </w:rPr>
        <w:t>Hunter's Career</w:t>
      </w:r>
      <w:r>
        <w:rPr>
          <w:sz w:val="18"/>
        </w:rPr>
        <w:t xml:space="preserve"> </w:t>
      </w:r>
    </w:p>
    <w:p w14:paraId="0FBC34F3" w14:textId="77777777" w:rsidR="004A2D23" w:rsidRDefault="008500B1" w:rsidP="004A2D23">
      <w:pPr>
        <w:suppressLineNumbers/>
        <w:suppressAutoHyphens/>
        <w:ind w:left="462" w:right="46" w:hanging="266"/>
        <w:rPr>
          <w:sz w:val="18"/>
        </w:rPr>
      </w:pPr>
      <w:r>
        <w:rPr>
          <w:sz w:val="18"/>
        </w:rPr>
        <w:t>a. Board, f. 27v</w:t>
      </w:r>
      <w:r w:rsidR="004A2D23">
        <w:rPr>
          <w:sz w:val="18"/>
        </w:rPr>
        <w:t xml:space="preserve"> </w:t>
      </w:r>
      <w:r w:rsidR="004A2D23">
        <w:rPr>
          <w:i/>
          <w:sz w:val="18"/>
        </w:rPr>
        <w:t xml:space="preserve">The Hunters Careere </w:t>
      </w:r>
      <w:r w:rsidR="004A2D23">
        <w:rPr>
          <w:sz w:val="18"/>
        </w:rPr>
        <w:t>[7th in F]</w:t>
      </w:r>
    </w:p>
    <w:p w14:paraId="4247F7DD" w14:textId="77777777" w:rsidR="008500B1" w:rsidRDefault="004A2D23" w:rsidP="008500B1">
      <w:pPr>
        <w:suppressLineNumbers/>
        <w:suppressAutoHyphens/>
        <w:ind w:left="462" w:right="46" w:hanging="266"/>
        <w:rPr>
          <w:sz w:val="18"/>
        </w:rPr>
      </w:pPr>
      <w:r>
        <w:rPr>
          <w:sz w:val="18"/>
        </w:rPr>
        <w:t>b. Straloch, pp. 16-</w:t>
      </w:r>
      <w:r w:rsidR="008500B1">
        <w:rPr>
          <w:sz w:val="18"/>
        </w:rPr>
        <w:t>17</w:t>
      </w:r>
      <w:r>
        <w:rPr>
          <w:sz w:val="18"/>
        </w:rPr>
        <w:t xml:space="preserve"> </w:t>
      </w:r>
      <w:r>
        <w:rPr>
          <w:i/>
          <w:sz w:val="18"/>
        </w:rPr>
        <w:t xml:space="preserve">Hunters Careire </w:t>
      </w:r>
      <w:r>
        <w:rPr>
          <w:sz w:val="18"/>
        </w:rPr>
        <w:t>[7th in D, 10th in C]</w:t>
      </w:r>
    </w:p>
    <w:p w14:paraId="5DFCABDB" w14:textId="4F76F266" w:rsidR="004A2D23" w:rsidRPr="00DA7BE7" w:rsidRDefault="00DA7BE7" w:rsidP="008500B1">
      <w:pPr>
        <w:suppressLineNumbers/>
        <w:suppressAutoHyphens/>
        <w:ind w:left="462" w:right="46" w:hanging="266"/>
        <w:rPr>
          <w:sz w:val="16"/>
          <w:szCs w:val="16"/>
        </w:rPr>
      </w:pPr>
      <w:r>
        <w:rPr>
          <w:sz w:val="18"/>
        </w:rPr>
        <w:tab/>
      </w:r>
      <w:r w:rsidR="004A2D23" w:rsidRPr="00DA7BE7">
        <w:rPr>
          <w:sz w:val="16"/>
          <w:szCs w:val="16"/>
        </w:rPr>
        <w:t xml:space="preserve">Skene, p. 235 </w:t>
      </w:r>
      <w:r w:rsidR="004A2D23" w:rsidRPr="00DA7BE7">
        <w:rPr>
          <w:i/>
          <w:sz w:val="16"/>
          <w:szCs w:val="16"/>
        </w:rPr>
        <w:t>Hunters Carrier</w:t>
      </w:r>
      <w:r w:rsidR="008500B1" w:rsidRPr="00DA7BE7">
        <w:rPr>
          <w:sz w:val="16"/>
          <w:szCs w:val="16"/>
        </w:rPr>
        <w:t xml:space="preserve"> [mandora]; Boteler, f. 18r</w:t>
      </w:r>
      <w:r w:rsidR="004A2D23" w:rsidRPr="00DA7BE7">
        <w:rPr>
          <w:sz w:val="16"/>
          <w:szCs w:val="16"/>
        </w:rPr>
        <w:t xml:space="preserve"> </w:t>
      </w:r>
      <w:r w:rsidR="004A2D23" w:rsidRPr="00DA7BE7">
        <w:rPr>
          <w:i/>
          <w:sz w:val="16"/>
          <w:szCs w:val="16"/>
        </w:rPr>
        <w:t>The hunters Careare</w:t>
      </w:r>
      <w:r w:rsidR="008500B1" w:rsidRPr="00DA7BE7">
        <w:rPr>
          <w:sz w:val="16"/>
          <w:szCs w:val="16"/>
        </w:rPr>
        <w:t xml:space="preserve"> [cittern]; Panmure 11, f. 42r</w:t>
      </w:r>
      <w:r w:rsidR="004A2D23" w:rsidRPr="00DA7BE7">
        <w:rPr>
          <w:sz w:val="16"/>
          <w:szCs w:val="16"/>
        </w:rPr>
        <w:t xml:space="preserve"> The ca</w:t>
      </w:r>
      <w:r w:rsidR="008500B1" w:rsidRPr="00DA7BE7">
        <w:rPr>
          <w:sz w:val="16"/>
          <w:szCs w:val="16"/>
        </w:rPr>
        <w:t>rrier [cittern]; Och 437, f. 8v</w:t>
      </w:r>
      <w:r w:rsidR="004A2D23" w:rsidRPr="00DA7BE7">
        <w:rPr>
          <w:sz w:val="16"/>
          <w:szCs w:val="16"/>
        </w:rPr>
        <w:t xml:space="preserve"> </w:t>
      </w:r>
      <w:r w:rsidR="004A2D23" w:rsidRPr="00DA7BE7">
        <w:rPr>
          <w:i/>
          <w:sz w:val="16"/>
          <w:szCs w:val="16"/>
        </w:rPr>
        <w:t>humbers carrere</w:t>
      </w:r>
      <w:r w:rsidR="004A2D23" w:rsidRPr="00DA7BE7">
        <w:rPr>
          <w:sz w:val="16"/>
          <w:szCs w:val="16"/>
        </w:rPr>
        <w:t xml:space="preserve"> [keyboard]</w:t>
      </w:r>
      <w:r w:rsidR="004A2D23" w:rsidRPr="00DA7BE7">
        <w:rPr>
          <w:sz w:val="16"/>
          <w:szCs w:val="16"/>
        </w:rPr>
        <w:tab/>
      </w:r>
    </w:p>
    <w:p w14:paraId="4159D0D7" w14:textId="77777777" w:rsidR="00C574F5" w:rsidRDefault="00B9724E" w:rsidP="00B46DF3">
      <w:pPr>
        <w:tabs>
          <w:tab w:val="right" w:pos="4678"/>
          <w:tab w:val="left" w:pos="5670"/>
          <w:tab w:val="right" w:pos="9923"/>
        </w:tabs>
        <w:spacing w:before="60"/>
        <w:rPr>
          <w:i/>
        </w:rPr>
        <w:sectPr w:rsidR="00C574F5" w:rsidSect="002C6DDB">
          <w:footnotePr>
            <w:pos w:val="beneathText"/>
          </w:footnotePr>
          <w:endnotePr>
            <w:numFmt w:val="decimal"/>
          </w:endnotePr>
          <w:type w:val="continuous"/>
          <w:pgSz w:w="11905" w:h="16837"/>
          <w:pgMar w:top="992" w:right="992" w:bottom="992" w:left="992" w:header="709" w:footer="709" w:gutter="0"/>
          <w:cols w:num="2" w:space="397"/>
        </w:sectPr>
      </w:pPr>
      <w:r>
        <w:rPr>
          <w:sz w:val="18"/>
        </w:rPr>
        <w:tab/>
      </w:r>
      <w:r w:rsidR="004A2D23" w:rsidRPr="002C6DDB">
        <w:rPr>
          <w:i/>
        </w:rPr>
        <w:t>John H Robinson, Newcastle University, November 2005</w:t>
      </w:r>
    </w:p>
    <w:p w14:paraId="2DADB19B" w14:textId="77777777" w:rsidR="00285195" w:rsidRPr="002C6DDB" w:rsidRDefault="00285195" w:rsidP="002C6DDB">
      <w:pPr>
        <w:tabs>
          <w:tab w:val="right" w:pos="4678"/>
          <w:tab w:val="left" w:pos="5670"/>
          <w:tab w:val="right" w:pos="9923"/>
        </w:tabs>
        <w:rPr>
          <w:i/>
          <w:color w:val="000000"/>
        </w:rPr>
      </w:pPr>
    </w:p>
    <w:sectPr w:rsidR="00285195" w:rsidRPr="002C6DDB" w:rsidSect="002C6DDB">
      <w:endnotePr>
        <w:numFmt w:val="decimal"/>
      </w:endnotePr>
      <w:type w:val="continuous"/>
      <w:pgSz w:w="11905" w:h="16837"/>
      <w:pgMar w:top="992" w:right="992" w:bottom="992" w:left="992" w:header="709" w:footer="709" w:gutter="0"/>
      <w:cols w:num="2" w:space="3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E9142" w14:textId="77777777" w:rsidR="001F3394" w:rsidRDefault="001F3394">
      <w:r>
        <w:separator/>
      </w:r>
    </w:p>
  </w:endnote>
  <w:endnote w:type="continuationSeparator" w:id="0">
    <w:p w14:paraId="421E261D" w14:textId="77777777" w:rsidR="001F3394" w:rsidRDefault="001F3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59F0B" w14:textId="77777777" w:rsidR="00C574F5" w:rsidRDefault="00C574F5" w:rsidP="002851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F334D2" w14:textId="77777777" w:rsidR="00C574F5" w:rsidRDefault="00C57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12A2D" w14:textId="77777777" w:rsidR="001F3394" w:rsidRDefault="001F3394">
      <w:r>
        <w:separator/>
      </w:r>
    </w:p>
  </w:footnote>
  <w:footnote w:type="continuationSeparator" w:id="0">
    <w:p w14:paraId="6152DB0F" w14:textId="77777777" w:rsidR="001F3394" w:rsidRDefault="001F3394">
      <w:r>
        <w:continuationSeparator/>
      </w:r>
    </w:p>
  </w:footnote>
  <w:footnote w:id="1">
    <w:p w14:paraId="6FCB03BB" w14:textId="77777777" w:rsidR="00420EBF" w:rsidRPr="00DA7BE7" w:rsidRDefault="00420EBF" w:rsidP="004A2D23">
      <w:pPr>
        <w:pStyle w:val="FootnoteText"/>
        <w:ind w:left="180" w:hanging="180"/>
        <w:rPr>
          <w:sz w:val="16"/>
          <w:szCs w:val="16"/>
        </w:rPr>
      </w:pPr>
      <w:r w:rsidRPr="00DA7BE7">
        <w:rPr>
          <w:rStyle w:val="FootnoteReference"/>
          <w:sz w:val="16"/>
          <w:szCs w:val="16"/>
        </w:rPr>
        <w:footnoteRef/>
      </w:r>
      <w:r w:rsidRPr="00DA7BE7">
        <w:rPr>
          <w:sz w:val="16"/>
          <w:szCs w:val="16"/>
        </w:rPr>
        <w:t xml:space="preserve"> Nigel North (Linn CKD097) and Lutz Kirchoff (Sony SBK 60098) both recorded it on their CDs of music from </w:t>
      </w:r>
      <w:r w:rsidRPr="00DA7BE7">
        <w:rPr>
          <w:i/>
          <w:sz w:val="16"/>
          <w:szCs w:val="16"/>
        </w:rPr>
        <w:t>Varietie</w:t>
      </w:r>
      <w:r w:rsidRPr="00DA7BE7">
        <w:rPr>
          <w:sz w:val="16"/>
          <w:szCs w:val="16"/>
        </w:rPr>
        <w:t>.</w:t>
      </w:r>
    </w:p>
  </w:footnote>
  <w:footnote w:id="2">
    <w:p w14:paraId="5A5B114C" w14:textId="77777777" w:rsidR="00420EBF" w:rsidRPr="00DA7BE7" w:rsidRDefault="00420EBF" w:rsidP="004A2D23">
      <w:pPr>
        <w:pStyle w:val="FootnoteText"/>
        <w:ind w:left="180" w:hanging="180"/>
        <w:rPr>
          <w:sz w:val="16"/>
          <w:szCs w:val="16"/>
        </w:rPr>
      </w:pPr>
      <w:r w:rsidRPr="00DA7BE7">
        <w:rPr>
          <w:rStyle w:val="FootnoteReference"/>
          <w:sz w:val="16"/>
          <w:szCs w:val="16"/>
        </w:rPr>
        <w:footnoteRef/>
      </w:r>
      <w:r w:rsidRPr="00DA7BE7">
        <w:rPr>
          <w:sz w:val="16"/>
          <w:szCs w:val="16"/>
        </w:rPr>
        <w:t xml:space="preserve"> Simpson, </w:t>
      </w:r>
      <w:r w:rsidRPr="00DA7BE7">
        <w:rPr>
          <w:i/>
          <w:sz w:val="16"/>
          <w:szCs w:val="16"/>
        </w:rPr>
        <w:t>The British Broadside Ballad and its Music</w:t>
      </w:r>
      <w:r w:rsidRPr="00DA7BE7">
        <w:rPr>
          <w:sz w:val="16"/>
          <w:szCs w:val="16"/>
        </w:rPr>
        <w:t xml:space="preserve"> (New Brunswick: Rutgers University Press, 1966), pp. 716-718; Seán Donnelly, ‘Trenchmore: An Irish Dance in Tudor and Stuart England’ at http://www.setdance.com/journal/trenchmore.html</w:t>
      </w:r>
    </w:p>
  </w:footnote>
  <w:footnote w:id="3">
    <w:p w14:paraId="72B36DE4" w14:textId="77777777" w:rsidR="00420EBF" w:rsidRPr="00DA7BE7" w:rsidRDefault="00420EBF" w:rsidP="004A2D23">
      <w:pPr>
        <w:pStyle w:val="FootnoteText"/>
        <w:ind w:left="180" w:hanging="180"/>
        <w:rPr>
          <w:sz w:val="16"/>
          <w:szCs w:val="16"/>
        </w:rPr>
      </w:pPr>
      <w:r w:rsidRPr="00DA7BE7">
        <w:rPr>
          <w:rStyle w:val="FootnoteReference"/>
          <w:sz w:val="16"/>
          <w:szCs w:val="16"/>
        </w:rPr>
        <w:footnoteRef/>
      </w:r>
      <w:r w:rsidRPr="00DA7BE7">
        <w:rPr>
          <w:sz w:val="16"/>
          <w:szCs w:val="16"/>
        </w:rPr>
        <w:t xml:space="preserve"> Jan Burgers, </w:t>
      </w:r>
      <w:r w:rsidRPr="00DA7BE7">
        <w:rPr>
          <w:i/>
          <w:sz w:val="16"/>
          <w:szCs w:val="16"/>
        </w:rPr>
        <w:t>John Johnson: Collected Lute Music</w:t>
      </w:r>
      <w:r w:rsidRPr="00DA7BE7">
        <w:rPr>
          <w:sz w:val="16"/>
          <w:szCs w:val="16"/>
        </w:rPr>
        <w:t xml:space="preserve"> (Lübeck: Tree Edition, 2001), n</w:t>
      </w:r>
      <w:r w:rsidRPr="00DA7BE7">
        <w:rPr>
          <w:sz w:val="16"/>
          <w:szCs w:val="16"/>
          <w:vertAlign w:val="superscript"/>
        </w:rPr>
        <w:t>o</w:t>
      </w:r>
      <w:r w:rsidRPr="00DA7BE7">
        <w:rPr>
          <w:sz w:val="16"/>
          <w:szCs w:val="16"/>
        </w:rPr>
        <w:t xml:space="preserve"> 66. Concordances in the Lute Society facsimile edition of </w:t>
      </w:r>
      <w:r w:rsidRPr="00DA7BE7">
        <w:rPr>
          <w:i/>
          <w:sz w:val="16"/>
          <w:szCs w:val="16"/>
        </w:rPr>
        <w:t>The Folger-Dowland Manuscript</w:t>
      </w:r>
      <w:r w:rsidRPr="00DA7BE7">
        <w:rPr>
          <w:sz w:val="16"/>
          <w:szCs w:val="16"/>
        </w:rPr>
        <w:t xml:space="preserve"> (Guildford, 2003). </w:t>
      </w:r>
    </w:p>
  </w:footnote>
  <w:footnote w:id="4">
    <w:p w14:paraId="688BC97F" w14:textId="77777777" w:rsidR="00420EBF" w:rsidRPr="00DA7BE7" w:rsidRDefault="00420EBF" w:rsidP="004A2D23">
      <w:pPr>
        <w:pStyle w:val="FootnoteText"/>
        <w:ind w:left="180" w:hanging="180"/>
        <w:rPr>
          <w:sz w:val="16"/>
          <w:szCs w:val="16"/>
        </w:rPr>
      </w:pPr>
      <w:r w:rsidRPr="00DA7BE7">
        <w:rPr>
          <w:rStyle w:val="FootnoteReference"/>
          <w:sz w:val="16"/>
          <w:szCs w:val="16"/>
        </w:rPr>
        <w:footnoteRef/>
      </w:r>
      <w:r w:rsidRPr="00DA7BE7">
        <w:rPr>
          <w:sz w:val="16"/>
          <w:szCs w:val="16"/>
        </w:rPr>
        <w:t xml:space="preserve"> </w:t>
      </w:r>
      <w:r w:rsidRPr="00DA7BE7">
        <w:rPr>
          <w:i/>
          <w:sz w:val="16"/>
          <w:szCs w:val="16"/>
        </w:rPr>
        <w:t>Robin Hood: Elizabethan Ballad Settings</w:t>
      </w:r>
      <w:r w:rsidRPr="00DA7BE7">
        <w:rPr>
          <w:sz w:val="16"/>
          <w:szCs w:val="16"/>
        </w:rPr>
        <w:t xml:space="preserve"> by Paul O'Dette, lute, orpharion and cittern (Harmonia Mundi, HMU 907265, 2001).</w:t>
      </w:r>
    </w:p>
  </w:footnote>
  <w:footnote w:id="5">
    <w:p w14:paraId="55BE0F23" w14:textId="77777777" w:rsidR="00420EBF" w:rsidRPr="00DA7BE7" w:rsidRDefault="00420EBF" w:rsidP="004A2D23">
      <w:pPr>
        <w:pStyle w:val="FootnoteText"/>
        <w:ind w:left="180" w:hanging="180"/>
        <w:rPr>
          <w:sz w:val="16"/>
          <w:szCs w:val="16"/>
        </w:rPr>
      </w:pPr>
      <w:r w:rsidRPr="00DA7BE7">
        <w:rPr>
          <w:rStyle w:val="FootnoteReference"/>
          <w:sz w:val="16"/>
          <w:szCs w:val="16"/>
        </w:rPr>
        <w:footnoteRef/>
      </w:r>
      <w:r w:rsidRPr="00DA7BE7">
        <w:rPr>
          <w:sz w:val="16"/>
          <w:szCs w:val="16"/>
        </w:rPr>
        <w:t xml:space="preserve"> Simpson, </w:t>
      </w:r>
      <w:r w:rsidRPr="00DA7BE7">
        <w:rPr>
          <w:i/>
          <w:sz w:val="16"/>
          <w:szCs w:val="16"/>
        </w:rPr>
        <w:t>op. cit.</w:t>
      </w:r>
      <w:r w:rsidRPr="00DA7BE7">
        <w:rPr>
          <w:sz w:val="16"/>
          <w:szCs w:val="16"/>
        </w:rPr>
        <w:t>, pp. 727-8.</w:t>
      </w:r>
    </w:p>
  </w:footnote>
  <w:footnote w:id="6">
    <w:p w14:paraId="7757912C" w14:textId="77777777" w:rsidR="00420EBF" w:rsidRPr="00DA7BE7" w:rsidRDefault="00420EBF" w:rsidP="004A2D23">
      <w:pPr>
        <w:pStyle w:val="FootnoteText"/>
        <w:ind w:left="126" w:hanging="126"/>
        <w:rPr>
          <w:sz w:val="16"/>
          <w:szCs w:val="16"/>
        </w:rPr>
      </w:pPr>
      <w:r w:rsidRPr="00DA7BE7">
        <w:rPr>
          <w:rStyle w:val="FootnoteReference"/>
          <w:sz w:val="16"/>
          <w:szCs w:val="16"/>
        </w:rPr>
        <w:footnoteRef/>
      </w:r>
      <w:r w:rsidRPr="00DA7BE7">
        <w:rPr>
          <w:sz w:val="16"/>
          <w:szCs w:val="16"/>
        </w:rPr>
        <w:t xml:space="preserve"> Diana Poulton (ed.), </w:t>
      </w:r>
      <w:r w:rsidRPr="00DA7BE7">
        <w:rPr>
          <w:i/>
          <w:sz w:val="16"/>
          <w:szCs w:val="16"/>
        </w:rPr>
        <w:t>English Ballad Tunes for the Lute</w:t>
      </w:r>
      <w:r w:rsidRPr="00DA7BE7">
        <w:rPr>
          <w:sz w:val="16"/>
          <w:szCs w:val="16"/>
        </w:rPr>
        <w:t>, Cambridge Lute Series II (Gamut, 1975), no. 6.</w:t>
      </w:r>
    </w:p>
  </w:footnote>
  <w:footnote w:id="7">
    <w:p w14:paraId="75692E8E" w14:textId="77777777" w:rsidR="00420EBF" w:rsidRPr="00DA7BE7" w:rsidRDefault="00420EBF" w:rsidP="004A2D23">
      <w:pPr>
        <w:pStyle w:val="FootnoteText"/>
        <w:ind w:left="180" w:hanging="180"/>
        <w:rPr>
          <w:sz w:val="16"/>
          <w:szCs w:val="16"/>
        </w:rPr>
      </w:pPr>
      <w:r w:rsidRPr="00DA7BE7">
        <w:rPr>
          <w:rStyle w:val="FootnoteReference"/>
          <w:sz w:val="16"/>
          <w:szCs w:val="16"/>
        </w:rPr>
        <w:footnoteRef/>
      </w:r>
      <w:r w:rsidRPr="00DA7BE7">
        <w:rPr>
          <w:sz w:val="16"/>
          <w:szCs w:val="16"/>
        </w:rPr>
        <w:t xml:space="preserve"> Included in Anthony Rooley, </w:t>
      </w:r>
      <w:r w:rsidRPr="00DA7BE7">
        <w:rPr>
          <w:i/>
          <w:sz w:val="16"/>
          <w:szCs w:val="16"/>
        </w:rPr>
        <w:t>The Compleat Beginner</w:t>
      </w:r>
      <w:r w:rsidRPr="00DA7BE7">
        <w:rPr>
          <w:sz w:val="16"/>
          <w:szCs w:val="16"/>
        </w:rPr>
        <w:t xml:space="preserve"> (London: Early Music Centre Publications/Brian Jordan, 1976), no. 30.</w:t>
      </w:r>
    </w:p>
  </w:footnote>
  <w:footnote w:id="8">
    <w:p w14:paraId="6DC1B901" w14:textId="53528493" w:rsidR="00420EBF" w:rsidRPr="00DA7BE7" w:rsidRDefault="00420EBF" w:rsidP="00420EBF">
      <w:pPr>
        <w:pStyle w:val="FootnoteText"/>
        <w:ind w:left="142" w:hanging="142"/>
        <w:rPr>
          <w:sz w:val="16"/>
          <w:szCs w:val="16"/>
        </w:rPr>
      </w:pPr>
      <w:r w:rsidRPr="00DA7BE7">
        <w:rPr>
          <w:rStyle w:val="FootnoteReference"/>
          <w:sz w:val="16"/>
          <w:szCs w:val="16"/>
        </w:rPr>
        <w:footnoteRef/>
      </w:r>
      <w:r w:rsidRPr="00DA7BE7">
        <w:rPr>
          <w:sz w:val="16"/>
          <w:szCs w:val="16"/>
        </w:rPr>
        <w:t xml:space="preserve"> </w:t>
      </w:r>
      <w:r w:rsidR="00DA4C5C">
        <w:rPr>
          <w:sz w:val="16"/>
          <w:szCs w:val="16"/>
        </w:rPr>
        <w:t xml:space="preserve">See </w:t>
      </w:r>
      <w:r w:rsidR="00DA7BE7" w:rsidRPr="00DA7BE7">
        <w:rPr>
          <w:sz w:val="16"/>
          <w:szCs w:val="16"/>
          <w:lang w:val="en-US"/>
        </w:rPr>
        <w:t xml:space="preserve">Hyder E. Rollins 'An Analytical Index to the Ballad-Entries in the Registers of the Company of Stationers of London' </w:t>
      </w:r>
      <w:r w:rsidR="00DA7BE7" w:rsidRPr="00DA7BE7">
        <w:rPr>
          <w:i/>
          <w:sz w:val="16"/>
          <w:szCs w:val="16"/>
          <w:lang w:val="en-US"/>
        </w:rPr>
        <w:t>Studies in Philology</w:t>
      </w:r>
      <w:r w:rsidR="00DA7BE7" w:rsidRPr="00DA7BE7">
        <w:rPr>
          <w:sz w:val="16"/>
          <w:szCs w:val="16"/>
          <w:lang w:val="en-US"/>
        </w:rPr>
        <w:t xml:space="preserve"> 21/1 (1924), pp. 1-324</w:t>
      </w:r>
      <w:r w:rsidR="00DA7BE7" w:rsidRPr="00DA7BE7">
        <w:rPr>
          <w:sz w:val="16"/>
          <w:szCs w:val="16"/>
          <w:lang w:val="en-US"/>
        </w:rPr>
        <w:t xml:space="preserve">, </w:t>
      </w:r>
      <w:r w:rsidR="00C54EF3" w:rsidRPr="00DA7BE7">
        <w:rPr>
          <w:sz w:val="16"/>
          <w:szCs w:val="16"/>
        </w:rPr>
        <w:t>no. 2377 'A saynge betwene the quene and Englonde Called comme over the browne Bessye to me' 1564</w:t>
      </w:r>
      <w:r w:rsidR="00C54EF3">
        <w:rPr>
          <w:sz w:val="16"/>
          <w:szCs w:val="16"/>
        </w:rPr>
        <w:t xml:space="preserve">; = </w:t>
      </w:r>
      <w:r w:rsidR="00DA7BE7" w:rsidRPr="00DA7BE7">
        <w:rPr>
          <w:sz w:val="16"/>
          <w:szCs w:val="16"/>
          <w:lang w:val="en-US"/>
        </w:rPr>
        <w:t>no.</w:t>
      </w:r>
      <w:r w:rsidR="00DA7BE7" w:rsidRPr="00DA7BE7">
        <w:rPr>
          <w:sz w:val="16"/>
          <w:szCs w:val="16"/>
          <w:lang w:val="en-US"/>
        </w:rPr>
        <w:t xml:space="preserve"> </w:t>
      </w:r>
      <w:r w:rsidRPr="00DA7BE7">
        <w:rPr>
          <w:sz w:val="16"/>
          <w:szCs w:val="16"/>
        </w:rPr>
        <w:t xml:space="preserve">587 </w:t>
      </w:r>
      <w:r w:rsidR="00DA7BE7" w:rsidRPr="00DA7BE7">
        <w:rPr>
          <w:sz w:val="16"/>
          <w:szCs w:val="16"/>
        </w:rPr>
        <w:t>'</w:t>
      </w:r>
      <w:r w:rsidR="00DA4C5C">
        <w:rPr>
          <w:sz w:val="16"/>
          <w:szCs w:val="16"/>
        </w:rPr>
        <w:t xml:space="preserve">a </w:t>
      </w:r>
      <w:r w:rsidRPr="00DA7BE7">
        <w:rPr>
          <w:sz w:val="16"/>
          <w:szCs w:val="16"/>
        </w:rPr>
        <w:t>Dyologe sett furthe by twene the quenes maiestie and Englonde</w:t>
      </w:r>
      <w:r w:rsidR="00DA4C5C">
        <w:rPr>
          <w:sz w:val="16"/>
          <w:szCs w:val="16"/>
        </w:rPr>
        <w:t>'</w:t>
      </w:r>
      <w:r w:rsidRPr="00DA7BE7">
        <w:rPr>
          <w:sz w:val="16"/>
          <w:szCs w:val="16"/>
        </w:rPr>
        <w:t xml:space="preserve"> (1558-9) beg</w:t>
      </w:r>
      <w:r w:rsidR="00DA4C5C">
        <w:rPr>
          <w:sz w:val="16"/>
          <w:szCs w:val="16"/>
        </w:rPr>
        <w:t>inning</w:t>
      </w:r>
      <w:r w:rsidRPr="00DA7BE7">
        <w:rPr>
          <w:sz w:val="16"/>
          <w:szCs w:val="16"/>
        </w:rPr>
        <w:t xml:space="preserve"> </w:t>
      </w:r>
      <w:r w:rsidR="00DA4C5C">
        <w:rPr>
          <w:sz w:val="16"/>
          <w:szCs w:val="16"/>
        </w:rPr>
        <w:t>'</w:t>
      </w:r>
      <w:r w:rsidRPr="00DA7BE7">
        <w:rPr>
          <w:sz w:val="16"/>
          <w:szCs w:val="16"/>
        </w:rPr>
        <w:t>Come over the born Bessy</w:t>
      </w:r>
      <w:r w:rsidR="00DA4C5C">
        <w:rPr>
          <w:sz w:val="16"/>
          <w:szCs w:val="16"/>
        </w:rPr>
        <w:t>'</w:t>
      </w:r>
      <w:r w:rsidR="00C54EF3">
        <w:rPr>
          <w:sz w:val="16"/>
          <w:szCs w:val="16"/>
        </w:rPr>
        <w:t xml:space="preserve">, </w:t>
      </w:r>
      <w:r w:rsidRPr="00DA7BE7">
        <w:rPr>
          <w:sz w:val="16"/>
          <w:szCs w:val="16"/>
        </w:rPr>
        <w:t>Harl. Misc. X, 260</w:t>
      </w:r>
      <w:r w:rsidR="00C54EF3">
        <w:rPr>
          <w:sz w:val="16"/>
          <w:szCs w:val="16"/>
        </w:rPr>
        <w:t>.</w:t>
      </w:r>
    </w:p>
  </w:footnote>
  <w:footnote w:id="9">
    <w:p w14:paraId="5F2BFB3D" w14:textId="77777777" w:rsidR="00420EBF" w:rsidRPr="00DA7BE7" w:rsidRDefault="00420EBF" w:rsidP="004A2D23">
      <w:pPr>
        <w:pStyle w:val="FootnoteText"/>
        <w:ind w:left="180" w:hanging="180"/>
        <w:rPr>
          <w:sz w:val="16"/>
          <w:szCs w:val="16"/>
        </w:rPr>
      </w:pPr>
      <w:r w:rsidRPr="00DA7BE7">
        <w:rPr>
          <w:rStyle w:val="FootnoteReference"/>
          <w:sz w:val="16"/>
          <w:szCs w:val="16"/>
        </w:rPr>
        <w:footnoteRef/>
      </w:r>
      <w:r w:rsidRPr="00DA7BE7">
        <w:rPr>
          <w:sz w:val="16"/>
          <w:szCs w:val="16"/>
        </w:rPr>
        <w:t xml:space="preserve"> Simpson, </w:t>
      </w:r>
      <w:r w:rsidRPr="00DA7BE7">
        <w:rPr>
          <w:i/>
          <w:sz w:val="16"/>
          <w:szCs w:val="16"/>
        </w:rPr>
        <w:t>op. cit.</w:t>
      </w:r>
      <w:r w:rsidRPr="00DA7BE7">
        <w:rPr>
          <w:sz w:val="16"/>
          <w:szCs w:val="16"/>
        </w:rPr>
        <w:t>, pp. 796-7.</w:t>
      </w:r>
    </w:p>
  </w:footnote>
  <w:footnote w:id="10">
    <w:p w14:paraId="35524487" w14:textId="77777777" w:rsidR="00420EBF" w:rsidRPr="00DA7BE7" w:rsidRDefault="00420EBF" w:rsidP="004A2D23">
      <w:pPr>
        <w:pStyle w:val="FootnoteText"/>
        <w:ind w:left="180" w:hanging="180"/>
        <w:rPr>
          <w:sz w:val="16"/>
          <w:szCs w:val="16"/>
        </w:rPr>
      </w:pPr>
      <w:r w:rsidRPr="00DA7BE7">
        <w:rPr>
          <w:rStyle w:val="FootnoteReference"/>
          <w:sz w:val="16"/>
          <w:szCs w:val="16"/>
        </w:rPr>
        <w:footnoteRef/>
      </w:r>
      <w:r w:rsidRPr="00DA7BE7">
        <w:rPr>
          <w:sz w:val="16"/>
          <w:szCs w:val="16"/>
        </w:rPr>
        <w:t xml:space="preserve"> See illustrations from </w:t>
      </w:r>
      <w:r w:rsidRPr="00DA7BE7">
        <w:rPr>
          <w:i/>
          <w:sz w:val="16"/>
          <w:szCs w:val="16"/>
        </w:rPr>
        <w:t>The Roxburghe Ballads</w:t>
      </w:r>
      <w:r w:rsidRPr="00DA7BE7">
        <w:rPr>
          <w:sz w:val="16"/>
          <w:szCs w:val="16"/>
        </w:rPr>
        <w:t xml:space="preserve">, Charles Hindley (ed.) (1873), on pp. 1 &amp; 11; and Simpson, </w:t>
      </w:r>
      <w:r w:rsidRPr="00DA7BE7">
        <w:rPr>
          <w:i/>
          <w:sz w:val="16"/>
          <w:szCs w:val="16"/>
        </w:rPr>
        <w:t>op. cit.</w:t>
      </w:r>
      <w:r w:rsidRPr="00DA7BE7">
        <w:rPr>
          <w:sz w:val="16"/>
          <w:szCs w:val="16"/>
        </w:rPr>
        <w:t xml:space="preserve">, pp. 177, 498, 570–5, 581, sources include Ballet, p. 26, </w:t>
      </w:r>
      <w:r w:rsidRPr="00DA7BE7">
        <w:rPr>
          <w:i/>
          <w:sz w:val="16"/>
          <w:szCs w:val="16"/>
        </w:rPr>
        <w:t>peg a ramsey</w:t>
      </w:r>
      <w:r w:rsidRPr="00DA7BE7">
        <w:rPr>
          <w:sz w:val="16"/>
          <w:szCs w:val="16"/>
        </w:rPr>
        <w:t>.</w:t>
      </w:r>
    </w:p>
  </w:footnote>
  <w:footnote w:id="11">
    <w:p w14:paraId="301BC211" w14:textId="77777777" w:rsidR="00420EBF" w:rsidRPr="00DA7BE7" w:rsidRDefault="00420EBF" w:rsidP="004A2D23">
      <w:pPr>
        <w:pStyle w:val="FootnoteText"/>
        <w:ind w:left="180" w:hanging="180"/>
        <w:rPr>
          <w:sz w:val="16"/>
          <w:szCs w:val="16"/>
        </w:rPr>
      </w:pPr>
      <w:r w:rsidRPr="00DA7BE7">
        <w:rPr>
          <w:rStyle w:val="FootnoteReference"/>
          <w:sz w:val="16"/>
          <w:szCs w:val="16"/>
        </w:rPr>
        <w:footnoteRef/>
      </w:r>
      <w:r w:rsidRPr="00DA7BE7">
        <w:rPr>
          <w:sz w:val="16"/>
          <w:szCs w:val="16"/>
        </w:rPr>
        <w:t xml:space="preserve"> Which was included in </w:t>
      </w:r>
      <w:r w:rsidRPr="00DA7BE7">
        <w:rPr>
          <w:i/>
          <w:sz w:val="16"/>
          <w:szCs w:val="16"/>
        </w:rPr>
        <w:t>Musicke with Her Silver Sound ... being the finest of musicke for solo lute from Renaissance England</w:t>
      </w:r>
      <w:r w:rsidRPr="00DA7BE7">
        <w:rPr>
          <w:sz w:val="16"/>
          <w:szCs w:val="16"/>
        </w:rPr>
        <w:t xml:space="preserve">, Richard Darsie and John Robinson (ed.) (Silver Sound, 1999). </w:t>
      </w:r>
    </w:p>
  </w:footnote>
  <w:footnote w:id="12">
    <w:p w14:paraId="33F0C38B" w14:textId="77777777" w:rsidR="00420EBF" w:rsidRPr="00DA7BE7" w:rsidRDefault="00420EBF" w:rsidP="004A2D23">
      <w:pPr>
        <w:pStyle w:val="FootnoteText"/>
        <w:ind w:left="180" w:hanging="180"/>
        <w:rPr>
          <w:sz w:val="16"/>
          <w:szCs w:val="16"/>
        </w:rPr>
      </w:pPr>
      <w:r w:rsidRPr="00DA7BE7">
        <w:rPr>
          <w:rStyle w:val="FootnoteReference"/>
          <w:sz w:val="16"/>
          <w:szCs w:val="16"/>
        </w:rPr>
        <w:footnoteRef/>
      </w:r>
      <w:r w:rsidRPr="00DA7BE7">
        <w:rPr>
          <w:sz w:val="16"/>
          <w:szCs w:val="16"/>
        </w:rPr>
        <w:t xml:space="preserve"> Concordances in the Lute Society facsimile edition of </w:t>
      </w:r>
      <w:r w:rsidRPr="00DA7BE7">
        <w:rPr>
          <w:i/>
          <w:sz w:val="16"/>
          <w:szCs w:val="16"/>
        </w:rPr>
        <w:t>The Welde Lute Book</w:t>
      </w:r>
      <w:r w:rsidRPr="00DA7BE7">
        <w:rPr>
          <w:sz w:val="16"/>
          <w:szCs w:val="16"/>
        </w:rPr>
        <w:t xml:space="preserve"> (Guildford, 2004).</w:t>
      </w:r>
    </w:p>
  </w:footnote>
  <w:footnote w:id="13">
    <w:p w14:paraId="368A7C45" w14:textId="77777777" w:rsidR="00420EBF" w:rsidRPr="00DA7BE7" w:rsidRDefault="00420EBF" w:rsidP="004A2D23">
      <w:pPr>
        <w:pStyle w:val="FootnoteText"/>
        <w:ind w:left="180" w:hanging="180"/>
        <w:rPr>
          <w:sz w:val="16"/>
          <w:szCs w:val="16"/>
        </w:rPr>
      </w:pPr>
      <w:r w:rsidRPr="00DA7BE7">
        <w:rPr>
          <w:rStyle w:val="FootnoteReference"/>
          <w:sz w:val="16"/>
          <w:szCs w:val="16"/>
        </w:rPr>
        <w:footnoteRef/>
      </w:r>
      <w:r w:rsidRPr="00DA7BE7">
        <w:rPr>
          <w:sz w:val="16"/>
          <w:szCs w:val="16"/>
        </w:rPr>
        <w:t xml:space="preserve"> Simpson, </w:t>
      </w:r>
      <w:r w:rsidRPr="00DA7BE7">
        <w:rPr>
          <w:i/>
          <w:sz w:val="16"/>
          <w:szCs w:val="16"/>
        </w:rPr>
        <w:t xml:space="preserve">op. cit., </w:t>
      </w:r>
      <w:r w:rsidRPr="00DA7BE7">
        <w:rPr>
          <w:sz w:val="16"/>
          <w:szCs w:val="16"/>
        </w:rPr>
        <w:t>pp. 495-496.</w:t>
      </w:r>
    </w:p>
  </w:footnote>
  <w:footnote w:id="14">
    <w:p w14:paraId="79CE358F" w14:textId="77777777" w:rsidR="00420EBF" w:rsidRPr="00DA7BE7" w:rsidRDefault="00420EBF" w:rsidP="004A2D23">
      <w:pPr>
        <w:pStyle w:val="FootnoteText"/>
        <w:ind w:left="180" w:hanging="180"/>
        <w:rPr>
          <w:sz w:val="16"/>
          <w:szCs w:val="16"/>
        </w:rPr>
      </w:pPr>
      <w:r w:rsidRPr="00DA7BE7">
        <w:rPr>
          <w:rStyle w:val="FootnoteReference"/>
          <w:sz w:val="16"/>
          <w:szCs w:val="16"/>
        </w:rPr>
        <w:footnoteRef/>
      </w:r>
      <w:r w:rsidRPr="00DA7BE7">
        <w:rPr>
          <w:sz w:val="16"/>
          <w:szCs w:val="16"/>
        </w:rPr>
        <w:t xml:space="preserve"> Simpson, </w:t>
      </w:r>
      <w:r w:rsidRPr="00DA7BE7">
        <w:rPr>
          <w:i/>
          <w:sz w:val="16"/>
          <w:szCs w:val="16"/>
        </w:rPr>
        <w:t>op. cit.,</w:t>
      </w:r>
      <w:r w:rsidRPr="00DA7BE7">
        <w:rPr>
          <w:sz w:val="16"/>
          <w:szCs w:val="16"/>
        </w:rPr>
        <w:t xml:space="preserve"> pp. 456-457.</w:t>
      </w:r>
    </w:p>
  </w:footnote>
  <w:footnote w:id="15">
    <w:p w14:paraId="76E9AEA0" w14:textId="77777777" w:rsidR="00420EBF" w:rsidRPr="00DA7BE7" w:rsidRDefault="00420EBF" w:rsidP="004A2D23">
      <w:pPr>
        <w:pStyle w:val="FootnoteText"/>
        <w:ind w:left="180" w:hanging="180"/>
        <w:rPr>
          <w:sz w:val="16"/>
          <w:szCs w:val="16"/>
        </w:rPr>
      </w:pPr>
      <w:r w:rsidRPr="00DA7BE7">
        <w:rPr>
          <w:rStyle w:val="FootnoteReference"/>
          <w:sz w:val="16"/>
          <w:szCs w:val="16"/>
        </w:rPr>
        <w:footnoteRef/>
      </w:r>
      <w:r w:rsidRPr="00DA7BE7">
        <w:rPr>
          <w:sz w:val="16"/>
          <w:szCs w:val="16"/>
        </w:rPr>
        <w:t xml:space="preserve"> See tablature supplement to </w:t>
      </w:r>
      <w:r w:rsidRPr="00DA7BE7">
        <w:rPr>
          <w:i/>
          <w:sz w:val="16"/>
          <w:szCs w:val="16"/>
        </w:rPr>
        <w:t>Lute News</w:t>
      </w:r>
      <w:r w:rsidRPr="00DA7BE7">
        <w:rPr>
          <w:sz w:val="16"/>
          <w:szCs w:val="16"/>
        </w:rPr>
        <w:t xml:space="preserve"> 45 (March 1998). </w:t>
      </w:r>
    </w:p>
  </w:footnote>
  <w:footnote w:id="16">
    <w:p w14:paraId="7DDD1DBE" w14:textId="77777777" w:rsidR="00420EBF" w:rsidRPr="00DA7BE7" w:rsidRDefault="00420EBF" w:rsidP="004A2D23">
      <w:pPr>
        <w:pStyle w:val="FootnoteText"/>
        <w:ind w:left="180" w:hanging="180"/>
        <w:rPr>
          <w:sz w:val="16"/>
          <w:szCs w:val="16"/>
        </w:rPr>
      </w:pPr>
      <w:r w:rsidRPr="00DA7BE7">
        <w:rPr>
          <w:rStyle w:val="FootnoteReference"/>
          <w:sz w:val="16"/>
          <w:szCs w:val="16"/>
        </w:rPr>
        <w:footnoteRef/>
      </w:r>
      <w:r w:rsidRPr="00DA7BE7">
        <w:rPr>
          <w:sz w:val="16"/>
          <w:szCs w:val="16"/>
        </w:rPr>
        <w:t xml:space="preserve"> Simpson, </w:t>
      </w:r>
      <w:r w:rsidRPr="00DA7BE7">
        <w:rPr>
          <w:i/>
          <w:sz w:val="16"/>
          <w:szCs w:val="16"/>
        </w:rPr>
        <w:t>op. cit.</w:t>
      </w:r>
      <w:r w:rsidRPr="00DA7BE7">
        <w:rPr>
          <w:sz w:val="16"/>
          <w:szCs w:val="16"/>
        </w:rPr>
        <w:t>, pp. 74.</w:t>
      </w:r>
    </w:p>
  </w:footnote>
  <w:footnote w:id="17">
    <w:p w14:paraId="26CAF856" w14:textId="77777777" w:rsidR="00420EBF" w:rsidRPr="00DA7BE7" w:rsidRDefault="00420EBF" w:rsidP="004A2D23">
      <w:pPr>
        <w:pStyle w:val="FootnoteText"/>
        <w:ind w:left="180" w:hanging="180"/>
        <w:rPr>
          <w:sz w:val="16"/>
          <w:szCs w:val="16"/>
        </w:rPr>
      </w:pPr>
      <w:r w:rsidRPr="00DA7BE7">
        <w:rPr>
          <w:rStyle w:val="FootnoteReference"/>
          <w:sz w:val="16"/>
          <w:szCs w:val="16"/>
        </w:rPr>
        <w:footnoteRef/>
      </w:r>
      <w:r w:rsidRPr="00DA7BE7">
        <w:rPr>
          <w:sz w:val="16"/>
          <w:szCs w:val="16"/>
        </w:rPr>
        <w:t xml:space="preserve"> Simpson, </w:t>
      </w:r>
      <w:r w:rsidRPr="00DA7BE7">
        <w:rPr>
          <w:i/>
          <w:sz w:val="16"/>
          <w:szCs w:val="16"/>
        </w:rPr>
        <w:t>op. cit.</w:t>
      </w:r>
      <w:r w:rsidRPr="00DA7BE7">
        <w:rPr>
          <w:sz w:val="16"/>
          <w:szCs w:val="16"/>
        </w:rPr>
        <w:t>, pp. 37-39 266.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4EEEA" w14:textId="77777777" w:rsidR="00C574F5" w:rsidRDefault="00C574F5" w:rsidP="00285195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AE73F5" w14:textId="77777777" w:rsidR="00C574F5" w:rsidRDefault="00C574F5" w:rsidP="00285195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9465F" w14:textId="77777777" w:rsidR="00C574F5" w:rsidRPr="00A82E56" w:rsidRDefault="00C574F5" w:rsidP="00285195">
    <w:pPr>
      <w:pStyle w:val="Header"/>
      <w:framePr w:wrap="around" w:vAnchor="text" w:hAnchor="margin" w:xAlign="outside" w:y="1"/>
      <w:rPr>
        <w:rStyle w:val="PageNumber"/>
        <w:szCs w:val="20"/>
      </w:rPr>
    </w:pPr>
    <w:r w:rsidRPr="00A82E56">
      <w:rPr>
        <w:rStyle w:val="PageNumber"/>
        <w:szCs w:val="20"/>
      </w:rPr>
      <w:fldChar w:fldCharType="begin"/>
    </w:r>
    <w:r w:rsidRPr="00A82E56">
      <w:rPr>
        <w:rStyle w:val="PageNumber"/>
        <w:szCs w:val="20"/>
      </w:rPr>
      <w:instrText xml:space="preserve">PAGE  </w:instrText>
    </w:r>
    <w:r w:rsidRPr="00A82E56">
      <w:rPr>
        <w:rStyle w:val="PageNumber"/>
        <w:szCs w:val="20"/>
      </w:rPr>
      <w:fldChar w:fldCharType="separate"/>
    </w:r>
    <w:r w:rsidR="000A30ED" w:rsidRPr="00A82E56">
      <w:rPr>
        <w:rStyle w:val="PageNumber"/>
        <w:noProof/>
        <w:szCs w:val="20"/>
      </w:rPr>
      <w:t>1</w:t>
    </w:r>
    <w:r w:rsidRPr="00A82E56">
      <w:rPr>
        <w:rStyle w:val="PageNumber"/>
        <w:szCs w:val="20"/>
      </w:rPr>
      <w:fldChar w:fldCharType="end"/>
    </w:r>
  </w:p>
  <w:p w14:paraId="1B1D8B8C" w14:textId="77777777" w:rsidR="00C574F5" w:rsidRDefault="00C574F5" w:rsidP="00285195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54C81"/>
    <w:rsid w:val="000A30ED"/>
    <w:rsid w:val="00125F72"/>
    <w:rsid w:val="001A1DC0"/>
    <w:rsid w:val="001F3394"/>
    <w:rsid w:val="00220E8F"/>
    <w:rsid w:val="00285195"/>
    <w:rsid w:val="002C6DDB"/>
    <w:rsid w:val="002E298C"/>
    <w:rsid w:val="003D56DC"/>
    <w:rsid w:val="00420EBF"/>
    <w:rsid w:val="004A2D23"/>
    <w:rsid w:val="00671FA4"/>
    <w:rsid w:val="00687E82"/>
    <w:rsid w:val="007C3239"/>
    <w:rsid w:val="007F4264"/>
    <w:rsid w:val="008500B1"/>
    <w:rsid w:val="00862649"/>
    <w:rsid w:val="00A82E56"/>
    <w:rsid w:val="00AC1EC2"/>
    <w:rsid w:val="00B46DF3"/>
    <w:rsid w:val="00B9724E"/>
    <w:rsid w:val="00C54EF3"/>
    <w:rsid w:val="00C574F5"/>
    <w:rsid w:val="00D46A07"/>
    <w:rsid w:val="00DA34A5"/>
    <w:rsid w:val="00DA4C5C"/>
    <w:rsid w:val="00DA7BE7"/>
    <w:rsid w:val="00ED7747"/>
    <w:rsid w:val="00F6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B7B1FAC"/>
  <w14:defaultImageDpi w14:val="300"/>
  <w15:chartTrackingRefBased/>
  <w15:docId w15:val="{B6F2142A-B242-0C41-AF26-89B66301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semiHidden/>
    <w:rsid w:val="00DD3AF8"/>
    <w:rPr>
      <w:vertAlign w:val="superscript"/>
    </w:rPr>
  </w:style>
  <w:style w:type="paragraph" w:styleId="EndnoteText">
    <w:name w:val="endnote text"/>
    <w:basedOn w:val="Normal"/>
    <w:rsid w:val="00DD3AF8"/>
    <w:rPr>
      <w:sz w:val="18"/>
    </w:rPr>
  </w:style>
  <w:style w:type="character" w:styleId="EndnoteReference">
    <w:name w:val="endnote reference"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9628</CharactersWithSpaces>
  <SharedDoc>false</SharedDoc>
  <HLinks>
    <vt:vector size="12" baseType="variant">
      <vt:variant>
        <vt:i4>2555934</vt:i4>
      </vt:variant>
      <vt:variant>
        <vt:i4>13815</vt:i4>
      </vt:variant>
      <vt:variant>
        <vt:i4>1025</vt:i4>
      </vt:variant>
      <vt:variant>
        <vt:i4>1</vt:i4>
      </vt:variant>
      <vt:variant>
        <vt:lpwstr>Roxburgh006</vt:lpwstr>
      </vt:variant>
      <vt:variant>
        <vt:lpwstr/>
      </vt:variant>
      <vt:variant>
        <vt:i4>1507370</vt:i4>
      </vt:variant>
      <vt:variant>
        <vt:i4>13818</vt:i4>
      </vt:variant>
      <vt:variant>
        <vt:i4>1026</vt:i4>
      </vt:variant>
      <vt:variant>
        <vt:i4>1</vt:i4>
      </vt:variant>
      <vt:variant>
        <vt:lpwstr>Roxburgh2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7</cp:revision>
  <cp:lastPrinted>2009-11-30T00:16:00Z</cp:lastPrinted>
  <dcterms:created xsi:type="dcterms:W3CDTF">2019-07-12T19:05:00Z</dcterms:created>
  <dcterms:modified xsi:type="dcterms:W3CDTF">2022-02-14T14:35:00Z</dcterms:modified>
</cp:coreProperties>
</file>