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891F" w14:textId="77777777" w:rsidR="00BA0C0A" w:rsidRPr="000E5EEF" w:rsidRDefault="00022F12" w:rsidP="00BA0C0A">
      <w:pPr>
        <w:spacing w:after="120"/>
        <w:jc w:val="center"/>
        <w:rPr>
          <w:sz w:val="22"/>
        </w:rPr>
        <w:sectPr w:rsidR="00BA0C0A" w:rsidRPr="000E5EEF">
          <w:headerReference w:type="even" r:id="rId6"/>
          <w:headerReference w:type="default" r:id="rId7"/>
          <w:footerReference w:type="even" r:id="rId8"/>
          <w:pgSz w:w="11905" w:h="16837"/>
          <w:pgMar w:top="851" w:right="992" w:bottom="992" w:left="992" w:header="709" w:footer="709" w:gutter="0"/>
          <w:cols w:space="708"/>
        </w:sectPr>
      </w:pPr>
      <w:r w:rsidRPr="000E5EEF">
        <w:rPr>
          <w:b/>
          <w:smallCaps/>
          <w:sz w:val="22"/>
        </w:rPr>
        <w:t>Music supplement to Lute News 93 (April 2010): Anonymous English Pavans and Galliards</w:t>
      </w:r>
    </w:p>
    <w:p w14:paraId="19F066A5" w14:textId="77777777" w:rsidR="00BA0C0A" w:rsidRPr="0001098A" w:rsidRDefault="00022F12" w:rsidP="00BA0C0A">
      <w:pPr>
        <w:ind w:firstLine="426"/>
        <w:rPr>
          <w:szCs w:val="14"/>
        </w:rPr>
      </w:pPr>
      <w:r w:rsidRPr="00480461">
        <w:t>A lot of English lute music is unascribed in the surviving sources leading to it being overlooked in favour of music by named composers, most of whom have now been served well by modern editions. However, some of the anonymous music is of a very high standard and this tablature supplement brings together eight pavans, five galliards, and other music that falls into this category of neglected lute solos lacking ascriptions. Some of these bear similarities to the music of known composers such as Anthony Holborne [see n</w:t>
      </w:r>
      <w:r w:rsidRPr="000E5EEF">
        <w:rPr>
          <w:vertAlign w:val="superscript"/>
        </w:rPr>
        <w:t>o</w:t>
      </w:r>
      <w:r w:rsidRPr="00480461">
        <w:t xml:space="preserve"> 4, 12 and 16], Francis Cutting [see n</w:t>
      </w:r>
      <w:r w:rsidRPr="000E5EEF">
        <w:rPr>
          <w:vertAlign w:val="superscript"/>
        </w:rPr>
        <w:t>o</w:t>
      </w:r>
      <w:r w:rsidRPr="00480461">
        <w:t xml:space="preserve"> 6] and John Dowland [see n</w:t>
      </w:r>
      <w:r w:rsidRPr="000E5EEF">
        <w:rPr>
          <w:vertAlign w:val="superscript"/>
        </w:rPr>
        <w:t>o</w:t>
      </w:r>
      <w:r w:rsidRPr="00480461">
        <w:t xml:space="preserve"> 9, 19 and 21], although it is equally likely that these great composers would have influenced the music of other composers who then imitated their style and traits, so it would be hazardous to attempt to assign any attributions here. </w:t>
      </w:r>
    </w:p>
    <w:p w14:paraId="369E8F80" w14:textId="77777777" w:rsidR="00BA0C0A" w:rsidRPr="00480461" w:rsidRDefault="00022F12" w:rsidP="00BA0C0A">
      <w:pPr>
        <w:ind w:firstLine="426"/>
      </w:pPr>
      <w:r w:rsidRPr="00480461">
        <w:t xml:space="preserve">The eight pavans are found in seven different manuscript sources including three of </w:t>
      </w:r>
      <w:r w:rsidRPr="000E5EEF">
        <w:rPr>
          <w:szCs w:val="14"/>
        </w:rPr>
        <w:t xml:space="preserve">Mathew Holmes’ manuscripts of lute solos, in chronological order </w:t>
      </w:r>
      <w:r w:rsidRPr="00480461">
        <w:t xml:space="preserve">Dd.2.11 (8 items), Dd.5.78.3 (7 items) and Dd.9.33 (2 items), mainly copied in the 1590s. </w:t>
      </w:r>
      <w:r w:rsidRPr="0001098A">
        <w:rPr>
          <w:szCs w:val="14"/>
        </w:rPr>
        <w:t>Six of the</w:t>
      </w:r>
      <w:r w:rsidRPr="00480461">
        <w:t xml:space="preserve"> pavans [n</w:t>
      </w:r>
      <w:r w:rsidRPr="000E5EEF">
        <w:rPr>
          <w:vertAlign w:val="superscript"/>
        </w:rPr>
        <w:t>o</w:t>
      </w:r>
      <w:r w:rsidRPr="00480461">
        <w:t xml:space="preserve"> 1, 5, 7, 9, 11 and 21] are for 6-course lute, and the remaining two [n</w:t>
      </w:r>
      <w:r w:rsidRPr="000E5EEF">
        <w:rPr>
          <w:vertAlign w:val="superscript"/>
        </w:rPr>
        <w:t>o</w:t>
      </w:r>
      <w:r w:rsidRPr="00480461">
        <w:t xml:space="preserve"> 3 and 13] require a 7th-course tuned in D (assuming a lute in G pitch). N</w:t>
      </w:r>
      <w:r w:rsidRPr="000E5EEF">
        <w:rPr>
          <w:vertAlign w:val="superscript"/>
        </w:rPr>
        <w:t>o</w:t>
      </w:r>
      <w:r w:rsidRPr="00480461">
        <w:t xml:space="preserve"> 1 and 11 (the latter not in Holmes’ manuscripts but concordant versions are found in three other sources from the 1590s) seem to belong to the earlier generation of composers contemporary with John Johnson, the rest typical of the English Golden age. </w:t>
      </w:r>
    </w:p>
    <w:p w14:paraId="7BF3E6E1" w14:textId="77777777" w:rsidR="00BA0C0A" w:rsidRPr="000E5EEF" w:rsidRDefault="00022F12" w:rsidP="00BA0C0A">
      <w:pPr>
        <w:ind w:firstLine="426"/>
      </w:pPr>
      <w:r w:rsidRPr="00480461">
        <w:t>The five galliards [n</w:t>
      </w:r>
      <w:r w:rsidRPr="000E5EEF">
        <w:rPr>
          <w:vertAlign w:val="superscript"/>
        </w:rPr>
        <w:t>o</w:t>
      </w:r>
      <w:r w:rsidRPr="00480461">
        <w:t xml:space="preserve"> 4, 6, 12, 15 and 20] are all for 6-course lute. N</w:t>
      </w:r>
      <w:r w:rsidRPr="000E5EEF">
        <w:rPr>
          <w:vertAlign w:val="superscript"/>
        </w:rPr>
        <w:t>o</w:t>
      </w:r>
      <w:r w:rsidRPr="00480461">
        <w:t xml:space="preserve"> 20 is probably the earliest based on style and the fact that the source is </w:t>
      </w:r>
      <w:r w:rsidRPr="000E5EEF">
        <w:t>dated 1583. The third strain of n</w:t>
      </w:r>
      <w:r w:rsidRPr="000E5EEF">
        <w:rPr>
          <w:vertAlign w:val="superscript"/>
        </w:rPr>
        <w:t>o</w:t>
      </w:r>
      <w:r w:rsidRPr="000E5EEF">
        <w:t xml:space="preserve"> 6 quotes the ballad tune known as the woods so wild,</w:t>
      </w:r>
      <w:r w:rsidRPr="000E5EEF">
        <w:rPr>
          <w:rStyle w:val="EndnoteReference"/>
        </w:rPr>
        <w:endnoteReference w:id="1"/>
      </w:r>
      <w:r w:rsidRPr="000E5EEF">
        <w:t xml:space="preserve"> and n</w:t>
      </w:r>
      <w:r w:rsidRPr="000E5EEF">
        <w:rPr>
          <w:vertAlign w:val="superscript"/>
        </w:rPr>
        <w:t>o</w:t>
      </w:r>
      <w:r w:rsidRPr="000E5EEF">
        <w:t xml:space="preserve"> 4 is from the Thysius lute book, a continental manuscript that contains English music. </w:t>
      </w:r>
    </w:p>
    <w:p w14:paraId="56ED4D95" w14:textId="77777777" w:rsidR="00BA0C0A" w:rsidRPr="00480461" w:rsidRDefault="00022F12" w:rsidP="00BA0C0A">
      <w:pPr>
        <w:ind w:firstLine="426"/>
      </w:pPr>
      <w:r w:rsidRPr="000E5EEF">
        <w:rPr>
          <w:szCs w:val="14"/>
        </w:rPr>
        <w:t xml:space="preserve">The Russell dedications of </w:t>
      </w:r>
      <w:r w:rsidRPr="000E5EEF">
        <w:t>n</w:t>
      </w:r>
      <w:r w:rsidRPr="000E5EEF">
        <w:rPr>
          <w:vertAlign w:val="superscript"/>
        </w:rPr>
        <w:t>o</w:t>
      </w:r>
      <w:r w:rsidRPr="000E5EEF">
        <w:rPr>
          <w:szCs w:val="14"/>
        </w:rPr>
        <w:t xml:space="preserve"> 15 and 21 are not very legible in Dd.2.11 probably explaining why they were not included in inventories of Dd.2.11.</w:t>
      </w:r>
      <w:r w:rsidRPr="000E5EEF">
        <w:rPr>
          <w:rStyle w:val="EndnoteReference"/>
          <w:szCs w:val="14"/>
        </w:rPr>
        <w:endnoteReference w:id="2"/>
      </w:r>
      <w:r w:rsidRPr="000E5EEF">
        <w:rPr>
          <w:szCs w:val="14"/>
        </w:rPr>
        <w:t xml:space="preserve"> The dedicatee of the galliard n</w:t>
      </w:r>
      <w:r w:rsidRPr="000E5EEF">
        <w:rPr>
          <w:vertAlign w:val="superscript"/>
        </w:rPr>
        <w:t>o</w:t>
      </w:r>
      <w:r w:rsidRPr="000E5EEF">
        <w:rPr>
          <w:szCs w:val="14"/>
        </w:rPr>
        <w:t xml:space="preserve"> 15 is </w:t>
      </w:r>
      <w:r w:rsidRPr="000E5EEF">
        <w:t>p</w:t>
      </w:r>
      <w:r w:rsidRPr="000E5EEF">
        <w:rPr>
          <w:szCs w:val="14"/>
        </w:rPr>
        <w:t>robably John Lord Russell (</w:t>
      </w:r>
      <w:r w:rsidRPr="000E5EEF">
        <w:rPr>
          <w:i/>
          <w:szCs w:val="14"/>
        </w:rPr>
        <w:t>d.</w:t>
      </w:r>
      <w:r w:rsidRPr="000E5EEF">
        <w:rPr>
          <w:szCs w:val="14"/>
        </w:rPr>
        <w:t xml:space="preserve">1584), son and heir of Francis Russell, second Earl of Bedford (1527-1585); as he predeceased his father he did not accede to the earldom. In 1574 he married Elizabeth, daughter of Sir Anthony Cooke of Gidea Hall, Essex, and she is therefore Lady Russell and likely dedicatee of the pavan </w:t>
      </w:r>
      <w:r w:rsidRPr="00480461">
        <w:t>n</w:t>
      </w:r>
      <w:r w:rsidRPr="000E5EEF">
        <w:rPr>
          <w:vertAlign w:val="superscript"/>
        </w:rPr>
        <w:t>o</w:t>
      </w:r>
      <w:r w:rsidRPr="000E5EEF">
        <w:rPr>
          <w:szCs w:val="14"/>
        </w:rPr>
        <w:t xml:space="preserve"> 21 here, and of John Dowland’s Lady Russell’s pavan.</w:t>
      </w:r>
      <w:r w:rsidRPr="000E5EEF">
        <w:rPr>
          <w:rStyle w:val="EndnoteReference"/>
          <w:szCs w:val="14"/>
        </w:rPr>
        <w:endnoteReference w:id="3"/>
      </w:r>
    </w:p>
    <w:p w14:paraId="68C6331B" w14:textId="77777777" w:rsidR="00BA0C0A" w:rsidRPr="00480461" w:rsidRDefault="00022F12" w:rsidP="00BA0C0A">
      <w:pPr>
        <w:ind w:firstLine="426"/>
      </w:pPr>
      <w:r w:rsidRPr="00480461">
        <w:t>The fancy [n</w:t>
      </w:r>
      <w:r w:rsidRPr="000E5EEF">
        <w:rPr>
          <w:vertAlign w:val="superscript"/>
        </w:rPr>
        <w:t>o</w:t>
      </w:r>
      <w:r w:rsidRPr="00480461">
        <w:t xml:space="preserve"> 19] is like a pastiche of features reminiscent of fantasias of John Dowland and n</w:t>
      </w:r>
      <w:r w:rsidRPr="000E5EEF">
        <w:rPr>
          <w:vertAlign w:val="superscript"/>
        </w:rPr>
        <w:t>o</w:t>
      </w:r>
      <w:r w:rsidRPr="00480461">
        <w:t xml:space="preserve"> 17 is a fine set of five 16-bar variations over a ground or tune in the bass with the chord sequence F-C F A-Bb-C F / G-A Bb-C-D G G / Bb Bb F F / C-A-Bb-C D-C F F. </w:t>
      </w:r>
    </w:p>
    <w:p w14:paraId="16A374D1" w14:textId="77777777" w:rsidR="00BA0C0A" w:rsidRPr="00A9056F" w:rsidRDefault="00022F12" w:rsidP="00BA0C0A">
      <w:pPr>
        <w:ind w:firstLine="426"/>
      </w:pPr>
      <w:r w:rsidRPr="00480461">
        <w:t>The spaces on the pages have been filled with shorter anonymous pieces including two jigs [n</w:t>
      </w:r>
      <w:r w:rsidRPr="000E5EEF">
        <w:rPr>
          <w:vertAlign w:val="superscript"/>
        </w:rPr>
        <w:t>o</w:t>
      </w:r>
      <w:r w:rsidRPr="00480461">
        <w:t xml:space="preserve"> 10 &amp; 18], two </w:t>
      </w:r>
      <w:r w:rsidRPr="00480461">
        <w:t>versions of a farewell [n</w:t>
      </w:r>
      <w:r w:rsidRPr="000E5EEF">
        <w:rPr>
          <w:vertAlign w:val="superscript"/>
        </w:rPr>
        <w:t>o</w:t>
      </w:r>
      <w:r w:rsidRPr="00480461">
        <w:t xml:space="preserve"> 2 &amp; 14], an almaine [n</w:t>
      </w:r>
      <w:r w:rsidRPr="001D3469">
        <w:rPr>
          <w:vertAlign w:val="superscript"/>
        </w:rPr>
        <w:t>o</w:t>
      </w:r>
      <w:r w:rsidRPr="00480461">
        <w:t xml:space="preserve"> 16], a piece called </w:t>
      </w:r>
      <w:r w:rsidRPr="00AD7779">
        <w:rPr>
          <w:i/>
          <w:szCs w:val="14"/>
        </w:rPr>
        <w:t>Rose</w:t>
      </w:r>
      <w:r w:rsidRPr="0001098A">
        <w:rPr>
          <w:szCs w:val="14"/>
        </w:rPr>
        <w:t xml:space="preserve"> [</w:t>
      </w:r>
      <w:r w:rsidRPr="00480461">
        <w:t>n</w:t>
      </w:r>
      <w:r w:rsidRPr="000E5EEF">
        <w:rPr>
          <w:vertAlign w:val="superscript"/>
        </w:rPr>
        <w:t>o</w:t>
      </w:r>
      <w:r w:rsidRPr="0001098A">
        <w:rPr>
          <w:szCs w:val="14"/>
        </w:rPr>
        <w:t xml:space="preserve"> 8] </w:t>
      </w:r>
      <w:r w:rsidRPr="00480461">
        <w:t>and an un</w:t>
      </w:r>
      <w:r w:rsidRPr="0001098A">
        <w:t>titled</w:t>
      </w:r>
      <w:r w:rsidRPr="00480461">
        <w:t xml:space="preserve"> piece [n</w:t>
      </w:r>
      <w:r w:rsidRPr="000E5EEF">
        <w:rPr>
          <w:vertAlign w:val="superscript"/>
        </w:rPr>
        <w:t>o</w:t>
      </w:r>
      <w:r w:rsidRPr="00480461">
        <w:t xml:space="preserve"> </w:t>
      </w:r>
      <w:r w:rsidRPr="0001098A">
        <w:t>22]</w:t>
      </w:r>
      <w:r w:rsidRPr="00480461">
        <w:t xml:space="preserve">. </w:t>
      </w:r>
      <w:r w:rsidRPr="0001098A">
        <w:rPr>
          <w:szCs w:val="14"/>
        </w:rPr>
        <w:t>The farewell [</w:t>
      </w:r>
      <w:r w:rsidRPr="00480461">
        <w:t>n</w:t>
      </w:r>
      <w:r w:rsidRPr="000E5EEF">
        <w:rPr>
          <w:vertAlign w:val="superscript"/>
        </w:rPr>
        <w:t>o</w:t>
      </w:r>
      <w:r w:rsidRPr="0001098A">
        <w:rPr>
          <w:szCs w:val="14"/>
        </w:rPr>
        <w:t xml:space="preserve"> 2 &amp; 14] may have been written on the death of John Chidley or his wife (one dedication seems to be to him and the other to her?), or to celebrate his departure with Andrew Meyrick from Plymouth with three ships in 1589, a disastrous voyage that probably ruined the Chidley family.</w:t>
      </w:r>
      <w:r w:rsidRPr="0001098A">
        <w:rPr>
          <w:rStyle w:val="EndnoteReference"/>
          <w:szCs w:val="14"/>
        </w:rPr>
        <w:endnoteReference w:id="4"/>
      </w:r>
      <w:r w:rsidRPr="0001098A">
        <w:rPr>
          <w:szCs w:val="14"/>
        </w:rPr>
        <w:t xml:space="preserve"> It is not known to what </w:t>
      </w:r>
      <w:r w:rsidRPr="00AD7779">
        <w:rPr>
          <w:i/>
          <w:szCs w:val="14"/>
        </w:rPr>
        <w:t>Rose</w:t>
      </w:r>
      <w:r w:rsidRPr="0001098A">
        <w:rPr>
          <w:szCs w:val="14"/>
        </w:rPr>
        <w:t xml:space="preserve"> refers, but it seems to have the characteristics of a maske or music for a theatrical performance, and could refer to the theatre called</w:t>
      </w:r>
      <w:r w:rsidRPr="00A9056F">
        <w:rPr>
          <w:szCs w:val="14"/>
        </w:rPr>
        <w:t xml:space="preserve"> </w:t>
      </w:r>
      <w:r w:rsidRPr="00BA0C0A">
        <w:rPr>
          <w:szCs w:val="14"/>
        </w:rPr>
        <w:t>The Rose,</w:t>
      </w:r>
      <w:r w:rsidRPr="00A9056F">
        <w:rPr>
          <w:szCs w:val="14"/>
        </w:rPr>
        <w:t xml:space="preserve"> built in 1587 by Philip Henslowe and a grocer named John Cholmleyor. Alternatively, it could be a reference to a ship, such as the famous </w:t>
      </w:r>
      <w:r w:rsidRPr="00BA0C0A">
        <w:rPr>
          <w:szCs w:val="14"/>
        </w:rPr>
        <w:t>Mary Rose</w:t>
      </w:r>
      <w:r w:rsidRPr="00A9056F">
        <w:rPr>
          <w:szCs w:val="14"/>
        </w:rPr>
        <w:t xml:space="preserve"> named after Henry VIII’s sister, launched at Woolwich in 1515 and sunk by a French galley in 1545, but predating </w:t>
      </w:r>
      <w:r w:rsidRPr="00A9056F">
        <w:rPr>
          <w:rFonts w:cs="Verdana"/>
          <w:lang w:val="en-US" w:bidi="en-US"/>
        </w:rPr>
        <w:t xml:space="preserve">another famous ship, H.M.S. </w:t>
      </w:r>
      <w:r w:rsidRPr="00A9056F">
        <w:rPr>
          <w:rFonts w:cs="Verdana"/>
          <w:iCs/>
          <w:lang w:val="en-US" w:bidi="en-US"/>
        </w:rPr>
        <w:t>Rose</w:t>
      </w:r>
      <w:r w:rsidRPr="00A9056F">
        <w:rPr>
          <w:rFonts w:cs="Verdana"/>
          <w:lang w:val="en-US" w:bidi="en-US"/>
        </w:rPr>
        <w:t xml:space="preserve"> built in Hull in 1757. However, if this were true, the definite article would be expected to precede the title.</w:t>
      </w:r>
    </w:p>
    <w:p w14:paraId="17C53FE2" w14:textId="77777777" w:rsidR="00BA0C0A" w:rsidRPr="00A9056F" w:rsidRDefault="00022F12" w:rsidP="00BA0C0A">
      <w:pPr>
        <w:ind w:firstLine="426"/>
      </w:pPr>
      <w:r w:rsidRPr="00A9056F">
        <w:t>The similarity of bar 55 in n</w:t>
      </w:r>
      <w:r w:rsidRPr="00A9056F">
        <w:rPr>
          <w:vertAlign w:val="superscript"/>
        </w:rPr>
        <w:t>o</w:t>
      </w:r>
      <w:r w:rsidRPr="00A9056F">
        <w:t xml:space="preserve"> 17 [variations] and bar 12 of n</w:t>
      </w:r>
      <w:r w:rsidRPr="00A9056F">
        <w:rPr>
          <w:vertAlign w:val="superscript"/>
        </w:rPr>
        <w:t>o</w:t>
      </w:r>
      <w:r w:rsidRPr="00A9056F">
        <w:t xml:space="preserve"> 5 [pavan] probably reflects the use of a common devise of lute figuration but may also point to the same composer.</w:t>
      </w:r>
    </w:p>
    <w:p w14:paraId="05307F4C" w14:textId="77777777" w:rsidR="00BA0C0A" w:rsidRPr="00A9056F" w:rsidRDefault="00022F12" w:rsidP="00BA0C0A">
      <w:pPr>
        <w:tabs>
          <w:tab w:val="left" w:pos="567"/>
        </w:tabs>
        <w:spacing w:before="60" w:after="60"/>
        <w:ind w:left="142" w:hanging="142"/>
      </w:pPr>
      <w:r w:rsidRPr="00A9056F">
        <w:rPr>
          <w:b/>
        </w:rPr>
        <w:t>Worklist</w:t>
      </w:r>
      <w:r w:rsidRPr="00A9056F">
        <w:t xml:space="preserve"> minor editorial changes made without comment</w:t>
      </w:r>
    </w:p>
    <w:p w14:paraId="309030F2" w14:textId="77777777" w:rsidR="00BA0C0A" w:rsidRPr="00A9056F" w:rsidRDefault="00022F12" w:rsidP="00BA0C0A">
      <w:pPr>
        <w:tabs>
          <w:tab w:val="left" w:pos="426"/>
        </w:tabs>
        <w:ind w:left="284" w:hanging="284"/>
        <w:rPr>
          <w:sz w:val="18"/>
        </w:rPr>
      </w:pPr>
      <w:r w:rsidRPr="00A9056F">
        <w:rPr>
          <w:sz w:val="18"/>
        </w:rPr>
        <w:t xml:space="preserve">1. </w:t>
      </w:r>
      <w:r w:rsidRPr="00A9056F">
        <w:rPr>
          <w:sz w:val="18"/>
        </w:rPr>
        <w:tab/>
        <w:t xml:space="preserve">GB-Cu Dd.2.11, f. 48v </w:t>
      </w:r>
      <w:r w:rsidRPr="00A9056F">
        <w:rPr>
          <w:i/>
          <w:sz w:val="18"/>
        </w:rPr>
        <w:t>Pauen</w:t>
      </w:r>
      <w:r w:rsidRPr="00A9056F">
        <w:rPr>
          <w:sz w:val="18"/>
        </w:rPr>
        <w:t xml:space="preserve"> [F minor, for 6-course lute]</w:t>
      </w:r>
    </w:p>
    <w:p w14:paraId="26B27F72" w14:textId="77777777" w:rsidR="00BA0C0A" w:rsidRPr="00A9056F" w:rsidRDefault="00022F12" w:rsidP="00BA0C0A">
      <w:pPr>
        <w:tabs>
          <w:tab w:val="left" w:pos="426"/>
        </w:tabs>
        <w:ind w:left="284" w:hanging="284"/>
        <w:rPr>
          <w:sz w:val="18"/>
        </w:rPr>
      </w:pPr>
      <w:r w:rsidRPr="00A9056F">
        <w:rPr>
          <w:sz w:val="18"/>
        </w:rPr>
        <w:t xml:space="preserve">2. </w:t>
      </w:r>
      <w:r w:rsidRPr="00A9056F">
        <w:rPr>
          <w:sz w:val="18"/>
        </w:rPr>
        <w:tab/>
        <w:t xml:space="preserve">GB-Cu Dd.2.11, f. 44r </w:t>
      </w:r>
      <w:r w:rsidRPr="00A9056F">
        <w:rPr>
          <w:i/>
          <w:sz w:val="18"/>
        </w:rPr>
        <w:t>Mr Chidleys Farewell</w:t>
      </w:r>
      <w:r w:rsidRPr="00A9056F">
        <w:rPr>
          <w:sz w:val="18"/>
        </w:rPr>
        <w:t xml:space="preserve"> [6-course]</w:t>
      </w:r>
    </w:p>
    <w:p w14:paraId="28CFEF7D" w14:textId="77777777" w:rsidR="00BA0C0A" w:rsidRPr="00A9056F" w:rsidRDefault="00022F12" w:rsidP="00BA0C0A">
      <w:pPr>
        <w:tabs>
          <w:tab w:val="left" w:pos="426"/>
        </w:tabs>
        <w:ind w:left="284" w:hanging="284"/>
        <w:rPr>
          <w:sz w:val="18"/>
        </w:rPr>
      </w:pPr>
      <w:r w:rsidRPr="00A9056F">
        <w:rPr>
          <w:sz w:val="18"/>
        </w:rPr>
        <w:t xml:space="preserve">3. </w:t>
      </w:r>
      <w:r w:rsidRPr="00A9056F">
        <w:rPr>
          <w:sz w:val="18"/>
        </w:rPr>
        <w:tab/>
        <w:t xml:space="preserve">GB-Cu Dd.5.78.3, ff. 59v-60r </w:t>
      </w:r>
      <w:r w:rsidRPr="00A9056F">
        <w:rPr>
          <w:i/>
          <w:sz w:val="18"/>
        </w:rPr>
        <w:t>Pavan</w:t>
      </w:r>
      <w:r w:rsidRPr="00A9056F">
        <w:rPr>
          <w:sz w:val="18"/>
        </w:rPr>
        <w:t xml:space="preserve"> [A minor, 7th-course D]</w:t>
      </w:r>
    </w:p>
    <w:p w14:paraId="4C23554B" w14:textId="77777777" w:rsidR="00BA0C0A" w:rsidRPr="00A9056F" w:rsidRDefault="00022F12" w:rsidP="00BA0C0A">
      <w:pPr>
        <w:tabs>
          <w:tab w:val="left" w:pos="426"/>
        </w:tabs>
        <w:ind w:left="284" w:hanging="284"/>
        <w:rPr>
          <w:sz w:val="18"/>
        </w:rPr>
      </w:pPr>
      <w:r w:rsidRPr="00A9056F">
        <w:rPr>
          <w:sz w:val="18"/>
        </w:rPr>
        <w:t xml:space="preserve">4. </w:t>
      </w:r>
      <w:r w:rsidRPr="00A9056F">
        <w:rPr>
          <w:sz w:val="18"/>
        </w:rPr>
        <w:tab/>
        <w:t xml:space="preserve">NL-Lu 1666, f. 27r </w:t>
      </w:r>
      <w:r w:rsidRPr="00A9056F">
        <w:rPr>
          <w:i/>
          <w:sz w:val="18"/>
        </w:rPr>
        <w:t>Gailliarde</w:t>
      </w:r>
      <w:r w:rsidRPr="00A9056F">
        <w:rPr>
          <w:sz w:val="18"/>
        </w:rPr>
        <w:t xml:space="preserve"> [C minor, 6-course]</w:t>
      </w:r>
    </w:p>
    <w:p w14:paraId="028BF1A5" w14:textId="77777777" w:rsidR="00BA0C0A" w:rsidRPr="00A9056F" w:rsidRDefault="00022F12" w:rsidP="00BA0C0A">
      <w:pPr>
        <w:tabs>
          <w:tab w:val="left" w:pos="426"/>
        </w:tabs>
        <w:ind w:left="284" w:hanging="284"/>
        <w:rPr>
          <w:sz w:val="18"/>
        </w:rPr>
      </w:pPr>
      <w:r w:rsidRPr="00A9056F">
        <w:rPr>
          <w:sz w:val="18"/>
        </w:rPr>
        <w:t xml:space="preserve">5. </w:t>
      </w:r>
      <w:r w:rsidRPr="00A9056F">
        <w:rPr>
          <w:sz w:val="18"/>
        </w:rPr>
        <w:tab/>
        <w:t xml:space="preserve">GB-Cu Dd.5.78.3, ff. 1v-2r </w:t>
      </w:r>
      <w:r w:rsidRPr="00A9056F">
        <w:rPr>
          <w:i/>
          <w:sz w:val="18"/>
        </w:rPr>
        <w:t>Pavan</w:t>
      </w:r>
      <w:r w:rsidRPr="00A9056F">
        <w:rPr>
          <w:sz w:val="18"/>
        </w:rPr>
        <w:t xml:space="preserve"> [G major, 6-course]</w:t>
      </w:r>
    </w:p>
    <w:p w14:paraId="4DC200C9" w14:textId="77777777" w:rsidR="00BA0C0A" w:rsidRPr="00A9056F" w:rsidRDefault="00022F12" w:rsidP="00BA0C0A">
      <w:pPr>
        <w:tabs>
          <w:tab w:val="left" w:pos="426"/>
        </w:tabs>
        <w:ind w:left="284" w:hanging="284"/>
        <w:rPr>
          <w:sz w:val="18"/>
        </w:rPr>
      </w:pPr>
      <w:r w:rsidRPr="00A9056F">
        <w:rPr>
          <w:sz w:val="18"/>
        </w:rPr>
        <w:tab/>
      </w:r>
      <w:r w:rsidRPr="00A9056F">
        <w:rPr>
          <w:sz w:val="18"/>
        </w:rPr>
        <w:tab/>
        <w:t>GB-Gu Euing 25, ff. 44v-45r untitled [6-course]</w:t>
      </w:r>
    </w:p>
    <w:p w14:paraId="26A5018E" w14:textId="77777777" w:rsidR="00BA0C0A" w:rsidRPr="00A9056F" w:rsidRDefault="00022F12" w:rsidP="00BA0C0A">
      <w:pPr>
        <w:tabs>
          <w:tab w:val="left" w:pos="426"/>
        </w:tabs>
        <w:ind w:left="284" w:hanging="284"/>
        <w:rPr>
          <w:sz w:val="18"/>
        </w:rPr>
      </w:pPr>
      <w:r w:rsidRPr="00A9056F">
        <w:rPr>
          <w:sz w:val="18"/>
        </w:rPr>
        <w:t xml:space="preserve">6. </w:t>
      </w:r>
      <w:r w:rsidRPr="00A9056F">
        <w:rPr>
          <w:sz w:val="18"/>
        </w:rPr>
        <w:tab/>
        <w:t xml:space="preserve">GB-Gu Euing 25, f. 44v </w:t>
      </w:r>
      <w:r w:rsidRPr="00A9056F">
        <w:rPr>
          <w:i/>
          <w:sz w:val="18"/>
        </w:rPr>
        <w:t>Galliard</w:t>
      </w:r>
      <w:r w:rsidRPr="00A9056F">
        <w:rPr>
          <w:sz w:val="18"/>
        </w:rPr>
        <w:t xml:space="preserve"> [F major, 6-course]</w:t>
      </w:r>
    </w:p>
    <w:p w14:paraId="23396999" w14:textId="77777777" w:rsidR="00BA0C0A" w:rsidRPr="00A9056F" w:rsidRDefault="00022F12" w:rsidP="00BA0C0A">
      <w:pPr>
        <w:tabs>
          <w:tab w:val="left" w:pos="426"/>
        </w:tabs>
        <w:ind w:left="284" w:hanging="284"/>
        <w:rPr>
          <w:sz w:val="18"/>
        </w:rPr>
      </w:pPr>
      <w:r w:rsidRPr="00A9056F">
        <w:rPr>
          <w:sz w:val="18"/>
        </w:rPr>
        <w:t xml:space="preserve">7. </w:t>
      </w:r>
      <w:r w:rsidRPr="00A9056F">
        <w:rPr>
          <w:sz w:val="18"/>
        </w:rPr>
        <w:tab/>
        <w:t xml:space="preserve">GB-Cu Dd.5.78.3, f. 66r </w:t>
      </w:r>
      <w:r w:rsidRPr="00A9056F">
        <w:rPr>
          <w:i/>
          <w:sz w:val="18"/>
        </w:rPr>
        <w:t>Pavan</w:t>
      </w:r>
      <w:r w:rsidRPr="00A9056F">
        <w:rPr>
          <w:sz w:val="18"/>
        </w:rPr>
        <w:t xml:space="preserve"> [strains in C, E, A major, 6-course]</w:t>
      </w:r>
    </w:p>
    <w:p w14:paraId="6C94D138" w14:textId="77777777" w:rsidR="00BA0C0A" w:rsidRPr="00A9056F" w:rsidRDefault="00022F12" w:rsidP="00BA0C0A">
      <w:pPr>
        <w:tabs>
          <w:tab w:val="left" w:pos="426"/>
        </w:tabs>
        <w:ind w:left="284" w:hanging="284"/>
        <w:rPr>
          <w:sz w:val="18"/>
        </w:rPr>
      </w:pPr>
      <w:r w:rsidRPr="00A9056F">
        <w:rPr>
          <w:sz w:val="18"/>
        </w:rPr>
        <w:t xml:space="preserve">8. </w:t>
      </w:r>
      <w:r w:rsidRPr="00A9056F">
        <w:rPr>
          <w:sz w:val="18"/>
        </w:rPr>
        <w:tab/>
        <w:t xml:space="preserve">GB-Cu Dd.2.11, f. 54v </w:t>
      </w:r>
      <w:r w:rsidRPr="00A9056F">
        <w:rPr>
          <w:i/>
          <w:sz w:val="18"/>
        </w:rPr>
        <w:t>Rose</w:t>
      </w:r>
      <w:r w:rsidRPr="00A9056F">
        <w:rPr>
          <w:sz w:val="18"/>
        </w:rPr>
        <w:t xml:space="preserve"> [6-course]</w:t>
      </w:r>
    </w:p>
    <w:p w14:paraId="242B4BDB" w14:textId="77777777" w:rsidR="00BA0C0A" w:rsidRPr="00A9056F" w:rsidRDefault="00022F12" w:rsidP="00BA0C0A">
      <w:pPr>
        <w:tabs>
          <w:tab w:val="left" w:pos="426"/>
        </w:tabs>
        <w:ind w:left="284" w:hanging="284"/>
        <w:rPr>
          <w:i/>
          <w:sz w:val="18"/>
        </w:rPr>
      </w:pPr>
      <w:r w:rsidRPr="00A9056F">
        <w:rPr>
          <w:sz w:val="18"/>
        </w:rPr>
        <w:t xml:space="preserve">9. </w:t>
      </w:r>
      <w:r w:rsidRPr="00A9056F">
        <w:rPr>
          <w:sz w:val="18"/>
        </w:rPr>
        <w:tab/>
        <w:t xml:space="preserve">GB-Cu Dd.5.78.3, f. 50r </w:t>
      </w:r>
      <w:r w:rsidRPr="00A9056F">
        <w:rPr>
          <w:i/>
          <w:sz w:val="18"/>
        </w:rPr>
        <w:t>Pavan</w:t>
      </w:r>
      <w:r w:rsidRPr="00A9056F">
        <w:rPr>
          <w:sz w:val="18"/>
        </w:rPr>
        <w:t xml:space="preserve"> [A minor, 6-course]</w:t>
      </w:r>
    </w:p>
    <w:p w14:paraId="2C09C370" w14:textId="77777777" w:rsidR="00BA0C0A" w:rsidRPr="00A9056F" w:rsidRDefault="00022F12" w:rsidP="00BA0C0A">
      <w:pPr>
        <w:tabs>
          <w:tab w:val="left" w:pos="426"/>
        </w:tabs>
        <w:ind w:left="284" w:hanging="284"/>
        <w:rPr>
          <w:i/>
          <w:sz w:val="18"/>
        </w:rPr>
      </w:pPr>
      <w:r w:rsidRPr="00A9056F">
        <w:rPr>
          <w:sz w:val="18"/>
        </w:rPr>
        <w:t>10.</w:t>
      </w:r>
      <w:r w:rsidRPr="00A9056F">
        <w:rPr>
          <w:sz w:val="18"/>
        </w:rPr>
        <w:tab/>
        <w:t xml:space="preserve">GB-Cu Dd.5.78.3, f. 59r </w:t>
      </w:r>
      <w:r w:rsidRPr="00A9056F">
        <w:rPr>
          <w:i/>
          <w:sz w:val="18"/>
        </w:rPr>
        <w:t>Jigg</w:t>
      </w:r>
      <w:r w:rsidRPr="00A9056F">
        <w:rPr>
          <w:sz w:val="18"/>
        </w:rPr>
        <w:t xml:space="preserve"> [6-course]</w:t>
      </w:r>
    </w:p>
    <w:p w14:paraId="0D9B5FFB" w14:textId="77777777" w:rsidR="00BA0C0A" w:rsidRPr="00A9056F" w:rsidRDefault="00022F12" w:rsidP="00BA0C0A">
      <w:pPr>
        <w:tabs>
          <w:tab w:val="left" w:pos="426"/>
        </w:tabs>
        <w:ind w:left="284" w:hanging="284"/>
        <w:rPr>
          <w:sz w:val="18"/>
        </w:rPr>
      </w:pPr>
      <w:r w:rsidRPr="00A9056F">
        <w:rPr>
          <w:sz w:val="18"/>
        </w:rPr>
        <w:t xml:space="preserve">11. </w:t>
      </w:r>
      <w:r w:rsidRPr="00A9056F">
        <w:rPr>
          <w:sz w:val="18"/>
        </w:rPr>
        <w:tab/>
        <w:t xml:space="preserve">IRL-Dm Z.3.2.13 (Marsh), pp. 82-83 </w:t>
      </w:r>
      <w:r w:rsidRPr="00A9056F">
        <w:rPr>
          <w:i/>
          <w:sz w:val="18"/>
        </w:rPr>
        <w:t>Pavan</w:t>
      </w:r>
    </w:p>
    <w:p w14:paraId="1CBDCDD1" w14:textId="77777777" w:rsidR="00BA0C0A" w:rsidRPr="00A9056F" w:rsidRDefault="00022F12" w:rsidP="00BA0C0A">
      <w:pPr>
        <w:tabs>
          <w:tab w:val="left" w:pos="426"/>
        </w:tabs>
        <w:ind w:left="426" w:hanging="426"/>
        <w:rPr>
          <w:sz w:val="18"/>
        </w:rPr>
      </w:pPr>
      <w:r w:rsidRPr="00A9056F">
        <w:rPr>
          <w:sz w:val="18"/>
        </w:rPr>
        <w:t xml:space="preserve"> </w:t>
      </w:r>
      <w:r w:rsidRPr="00A9056F">
        <w:rPr>
          <w:sz w:val="18"/>
        </w:rPr>
        <w:tab/>
        <w:t xml:space="preserve">GB-Eu Dc.5.125 (Thistlethwaite), ff. 8v-9v </w:t>
      </w:r>
      <w:r w:rsidRPr="00A9056F">
        <w:rPr>
          <w:i/>
          <w:sz w:val="18"/>
        </w:rPr>
        <w:t>A pavan</w:t>
      </w:r>
    </w:p>
    <w:p w14:paraId="388D9628" w14:textId="77777777" w:rsidR="00BA0C0A" w:rsidRPr="00A9056F" w:rsidRDefault="00022F12" w:rsidP="00BA0C0A">
      <w:pPr>
        <w:tabs>
          <w:tab w:val="left" w:pos="426"/>
        </w:tabs>
        <w:ind w:left="426" w:hanging="426"/>
        <w:rPr>
          <w:i/>
          <w:sz w:val="18"/>
        </w:rPr>
      </w:pPr>
      <w:r w:rsidRPr="00A9056F">
        <w:rPr>
          <w:sz w:val="18"/>
        </w:rPr>
        <w:tab/>
        <w:t xml:space="preserve">IRL-Dtc 408/I, pp. 107-108 </w:t>
      </w:r>
      <w:r w:rsidRPr="00A9056F">
        <w:rPr>
          <w:i/>
          <w:sz w:val="18"/>
        </w:rPr>
        <w:t>A pauin</w:t>
      </w:r>
      <w:r w:rsidRPr="00A9056F">
        <w:rPr>
          <w:sz w:val="18"/>
        </w:rPr>
        <w:t xml:space="preserve"> [all three C minor and 6-course]</w:t>
      </w:r>
    </w:p>
    <w:p w14:paraId="2AC63E18" w14:textId="77777777" w:rsidR="00BA0C0A" w:rsidRPr="00A9056F" w:rsidRDefault="00022F12" w:rsidP="00BA0C0A">
      <w:pPr>
        <w:tabs>
          <w:tab w:val="left" w:pos="426"/>
        </w:tabs>
        <w:ind w:left="284" w:hanging="284"/>
        <w:rPr>
          <w:i/>
          <w:sz w:val="18"/>
        </w:rPr>
      </w:pPr>
      <w:r w:rsidRPr="00A9056F">
        <w:rPr>
          <w:sz w:val="18"/>
        </w:rPr>
        <w:t xml:space="preserve">12. </w:t>
      </w:r>
      <w:r w:rsidRPr="00A9056F">
        <w:rPr>
          <w:sz w:val="18"/>
        </w:rPr>
        <w:tab/>
        <w:t xml:space="preserve">GB-Cu Dd.2.11, f. 41r </w:t>
      </w:r>
      <w:r w:rsidRPr="00A9056F">
        <w:rPr>
          <w:i/>
          <w:sz w:val="18"/>
        </w:rPr>
        <w:t>Galliard</w:t>
      </w:r>
      <w:r w:rsidRPr="00A9056F">
        <w:rPr>
          <w:sz w:val="18"/>
        </w:rPr>
        <w:t xml:space="preserve"> [F minor, 6-course]</w:t>
      </w:r>
    </w:p>
    <w:p w14:paraId="1248F617" w14:textId="77777777" w:rsidR="00BA0C0A" w:rsidRPr="00A9056F" w:rsidRDefault="00022F12" w:rsidP="00BA0C0A">
      <w:pPr>
        <w:tabs>
          <w:tab w:val="left" w:pos="426"/>
        </w:tabs>
        <w:ind w:left="284" w:hanging="284"/>
        <w:rPr>
          <w:sz w:val="18"/>
        </w:rPr>
      </w:pPr>
      <w:r w:rsidRPr="00A9056F">
        <w:rPr>
          <w:sz w:val="18"/>
        </w:rPr>
        <w:t xml:space="preserve">13. </w:t>
      </w:r>
      <w:r w:rsidRPr="00A9056F">
        <w:rPr>
          <w:sz w:val="18"/>
        </w:rPr>
        <w:tab/>
        <w:t xml:space="preserve">GB-Cu Dd.9.33, ff. 24v-25r </w:t>
      </w:r>
      <w:r w:rsidRPr="00A9056F">
        <w:rPr>
          <w:i/>
          <w:sz w:val="18"/>
        </w:rPr>
        <w:t>Pavan</w:t>
      </w:r>
      <w:r w:rsidRPr="00A9056F">
        <w:rPr>
          <w:sz w:val="18"/>
        </w:rPr>
        <w:t xml:space="preserve"> [G minor, 7th-course D]</w:t>
      </w:r>
    </w:p>
    <w:p w14:paraId="14157BE4" w14:textId="77777777" w:rsidR="00BA0C0A" w:rsidRPr="00A9056F" w:rsidRDefault="00022F12" w:rsidP="00BA0C0A">
      <w:pPr>
        <w:tabs>
          <w:tab w:val="left" w:pos="284"/>
          <w:tab w:val="left" w:pos="426"/>
        </w:tabs>
        <w:ind w:left="284" w:hanging="284"/>
        <w:rPr>
          <w:sz w:val="18"/>
        </w:rPr>
      </w:pPr>
      <w:r w:rsidRPr="00A9056F">
        <w:rPr>
          <w:sz w:val="18"/>
        </w:rPr>
        <w:t xml:space="preserve">14. </w:t>
      </w:r>
      <w:r w:rsidRPr="00A9056F">
        <w:rPr>
          <w:sz w:val="18"/>
        </w:rPr>
        <w:tab/>
        <w:t xml:space="preserve">GB-Lam 601 (Mynshall), f. 7v </w:t>
      </w:r>
      <w:r w:rsidRPr="00A9056F">
        <w:rPr>
          <w:i/>
          <w:sz w:val="18"/>
        </w:rPr>
        <w:t>Mistris Chidleais Farewell / mrs Chidles farewell</w:t>
      </w:r>
    </w:p>
    <w:p w14:paraId="173EA1C3" w14:textId="77777777" w:rsidR="00BA0C0A" w:rsidRPr="00A9056F" w:rsidRDefault="00022F12" w:rsidP="00BA0C0A">
      <w:pPr>
        <w:tabs>
          <w:tab w:val="left" w:pos="426"/>
        </w:tabs>
        <w:ind w:left="284" w:hanging="284"/>
        <w:rPr>
          <w:sz w:val="18"/>
        </w:rPr>
      </w:pPr>
      <w:r w:rsidRPr="00A9056F">
        <w:rPr>
          <w:sz w:val="18"/>
        </w:rPr>
        <w:t xml:space="preserve">15. </w:t>
      </w:r>
      <w:r w:rsidRPr="00A9056F">
        <w:rPr>
          <w:sz w:val="18"/>
        </w:rPr>
        <w:tab/>
        <w:t xml:space="preserve">GB-Cu Dd.2.11, f. 49r </w:t>
      </w:r>
      <w:r w:rsidRPr="00A9056F">
        <w:rPr>
          <w:i/>
          <w:sz w:val="18"/>
        </w:rPr>
        <w:t>Lord Russell Galliard</w:t>
      </w:r>
      <w:r w:rsidRPr="00A9056F">
        <w:rPr>
          <w:sz w:val="18"/>
        </w:rPr>
        <w:t xml:space="preserve"> [G major, 6-course]</w:t>
      </w:r>
    </w:p>
    <w:p w14:paraId="58D077B3" w14:textId="77777777" w:rsidR="00BA0C0A" w:rsidRPr="00A9056F" w:rsidRDefault="00022F12" w:rsidP="00BA0C0A">
      <w:pPr>
        <w:tabs>
          <w:tab w:val="left" w:pos="426"/>
        </w:tabs>
        <w:ind w:left="284" w:hanging="284"/>
        <w:rPr>
          <w:sz w:val="18"/>
        </w:rPr>
      </w:pPr>
      <w:r w:rsidRPr="00A9056F">
        <w:rPr>
          <w:sz w:val="18"/>
        </w:rPr>
        <w:t xml:space="preserve">16. </w:t>
      </w:r>
      <w:r w:rsidRPr="00A9056F">
        <w:rPr>
          <w:sz w:val="18"/>
        </w:rPr>
        <w:tab/>
        <w:t xml:space="preserve">GB-Cu Dd.5.78.3, f. 67r </w:t>
      </w:r>
      <w:r w:rsidRPr="00A9056F">
        <w:rPr>
          <w:i/>
          <w:sz w:val="18"/>
        </w:rPr>
        <w:t>Almaine</w:t>
      </w:r>
      <w:r w:rsidRPr="00A9056F">
        <w:rPr>
          <w:sz w:val="18"/>
        </w:rPr>
        <w:t xml:space="preserve"> [7th-course to D]</w:t>
      </w:r>
    </w:p>
    <w:p w14:paraId="508D0144" w14:textId="77777777" w:rsidR="00BA0C0A" w:rsidRPr="00A9056F" w:rsidRDefault="00022F12" w:rsidP="00BA0C0A">
      <w:pPr>
        <w:tabs>
          <w:tab w:val="left" w:pos="426"/>
        </w:tabs>
        <w:ind w:left="284" w:hanging="284"/>
        <w:rPr>
          <w:sz w:val="18"/>
        </w:rPr>
      </w:pPr>
      <w:r w:rsidRPr="00A9056F">
        <w:rPr>
          <w:sz w:val="18"/>
        </w:rPr>
        <w:t xml:space="preserve"> </w:t>
      </w:r>
      <w:r w:rsidRPr="00A9056F">
        <w:rPr>
          <w:sz w:val="18"/>
        </w:rPr>
        <w:tab/>
      </w:r>
      <w:r w:rsidRPr="00A9056F">
        <w:rPr>
          <w:sz w:val="18"/>
        </w:rPr>
        <w:tab/>
        <w:t>GB-Gu Euing 25, f. 44r untitled [7th-course to D]</w:t>
      </w:r>
    </w:p>
    <w:p w14:paraId="4C76757A" w14:textId="77777777" w:rsidR="00BA0C0A" w:rsidRPr="00A9056F" w:rsidRDefault="00022F12" w:rsidP="00BA0C0A">
      <w:pPr>
        <w:tabs>
          <w:tab w:val="left" w:pos="426"/>
        </w:tabs>
        <w:ind w:left="284" w:hanging="284"/>
        <w:rPr>
          <w:sz w:val="18"/>
        </w:rPr>
      </w:pPr>
      <w:r w:rsidRPr="00A9056F">
        <w:rPr>
          <w:sz w:val="18"/>
        </w:rPr>
        <w:t xml:space="preserve">17. </w:t>
      </w:r>
      <w:r w:rsidRPr="00A9056F">
        <w:rPr>
          <w:sz w:val="18"/>
        </w:rPr>
        <w:tab/>
        <w:t>GB-Cu Dd.2.11, f. 54r untitled variations [7th-course to F]</w:t>
      </w:r>
    </w:p>
    <w:p w14:paraId="7785B91C" w14:textId="77777777" w:rsidR="00BA0C0A" w:rsidRPr="00A9056F" w:rsidRDefault="00022F12" w:rsidP="00BA0C0A">
      <w:pPr>
        <w:tabs>
          <w:tab w:val="left" w:pos="426"/>
        </w:tabs>
        <w:ind w:left="284" w:hanging="284"/>
        <w:rPr>
          <w:sz w:val="18"/>
        </w:rPr>
      </w:pPr>
      <w:r w:rsidRPr="00A9056F">
        <w:rPr>
          <w:sz w:val="18"/>
        </w:rPr>
        <w:t>18.</w:t>
      </w:r>
      <w:r w:rsidRPr="00A9056F">
        <w:rPr>
          <w:sz w:val="18"/>
        </w:rPr>
        <w:tab/>
        <w:t xml:space="preserve">GB-Cu Dd.5.78.3, f. 59r </w:t>
      </w:r>
      <w:r w:rsidRPr="00A9056F">
        <w:rPr>
          <w:i/>
          <w:sz w:val="18"/>
        </w:rPr>
        <w:t>Jigge</w:t>
      </w:r>
      <w:r w:rsidRPr="00A9056F">
        <w:rPr>
          <w:sz w:val="18"/>
        </w:rPr>
        <w:t xml:space="preserve"> [6-course]</w:t>
      </w:r>
    </w:p>
    <w:p w14:paraId="601B67AC" w14:textId="77777777" w:rsidR="00BA0C0A" w:rsidRPr="00A9056F" w:rsidRDefault="00022F12" w:rsidP="00BA0C0A">
      <w:pPr>
        <w:tabs>
          <w:tab w:val="left" w:pos="426"/>
        </w:tabs>
        <w:ind w:left="284" w:hanging="284"/>
        <w:rPr>
          <w:i/>
          <w:sz w:val="18"/>
        </w:rPr>
      </w:pPr>
      <w:r w:rsidRPr="00A9056F">
        <w:rPr>
          <w:sz w:val="18"/>
        </w:rPr>
        <w:t xml:space="preserve">19. </w:t>
      </w:r>
      <w:r w:rsidRPr="00A9056F">
        <w:rPr>
          <w:sz w:val="18"/>
        </w:rPr>
        <w:tab/>
        <w:t xml:space="preserve">GB-Cu Dd.2.11, f. 94v </w:t>
      </w:r>
      <w:r w:rsidRPr="00A9056F">
        <w:rPr>
          <w:i/>
          <w:sz w:val="18"/>
        </w:rPr>
        <w:t>A Fansie</w:t>
      </w:r>
      <w:r w:rsidRPr="00A9056F">
        <w:rPr>
          <w:sz w:val="18"/>
        </w:rPr>
        <w:t xml:space="preserve"> [6-course]</w:t>
      </w:r>
    </w:p>
    <w:p w14:paraId="16651F1B" w14:textId="77777777" w:rsidR="00BA0C0A" w:rsidRPr="00A9056F" w:rsidRDefault="00022F12" w:rsidP="00BA0C0A">
      <w:pPr>
        <w:tabs>
          <w:tab w:val="left" w:pos="426"/>
        </w:tabs>
        <w:ind w:left="284" w:hanging="284"/>
        <w:rPr>
          <w:sz w:val="18"/>
        </w:rPr>
      </w:pPr>
      <w:r w:rsidRPr="00A9056F">
        <w:rPr>
          <w:sz w:val="18"/>
        </w:rPr>
        <w:t xml:space="preserve">20. </w:t>
      </w:r>
      <w:r w:rsidRPr="00A9056F">
        <w:rPr>
          <w:sz w:val="18"/>
        </w:rPr>
        <w:tab/>
        <w:t xml:space="preserve">IRL-Dtc 410/I (Dallis), p. 42 </w:t>
      </w:r>
      <w:r w:rsidRPr="00A9056F">
        <w:rPr>
          <w:i/>
          <w:sz w:val="18"/>
        </w:rPr>
        <w:t>A Gagliarde</w:t>
      </w:r>
      <w:r w:rsidRPr="00A9056F">
        <w:rPr>
          <w:sz w:val="18"/>
        </w:rPr>
        <w:t xml:space="preserve"> [D minor, 6-course]</w:t>
      </w:r>
    </w:p>
    <w:p w14:paraId="40671EAF" w14:textId="569AF112" w:rsidR="00BA0C0A" w:rsidRDefault="00022F12" w:rsidP="00BA0C0A">
      <w:pPr>
        <w:tabs>
          <w:tab w:val="left" w:pos="426"/>
        </w:tabs>
        <w:ind w:left="284" w:hanging="284"/>
        <w:rPr>
          <w:sz w:val="18"/>
        </w:rPr>
      </w:pPr>
      <w:r w:rsidRPr="00A9056F">
        <w:rPr>
          <w:sz w:val="18"/>
        </w:rPr>
        <w:t xml:space="preserve">21. </w:t>
      </w:r>
      <w:r w:rsidRPr="00A9056F">
        <w:rPr>
          <w:sz w:val="18"/>
        </w:rPr>
        <w:tab/>
        <w:t xml:space="preserve">GB-Cu Dd.2.11, f. 38v </w:t>
      </w:r>
      <w:r w:rsidRPr="00A9056F">
        <w:rPr>
          <w:i/>
          <w:sz w:val="18"/>
        </w:rPr>
        <w:t>Lady Russell Pavan</w:t>
      </w:r>
      <w:r w:rsidRPr="00A9056F">
        <w:rPr>
          <w:sz w:val="18"/>
        </w:rPr>
        <w:t xml:space="preserve"> [G minor, 6-course]</w:t>
      </w:r>
    </w:p>
    <w:p w14:paraId="111F2598" w14:textId="09D8BFA2" w:rsidR="00F12451" w:rsidRPr="00F12451" w:rsidRDefault="00F12451" w:rsidP="00BA0C0A">
      <w:pPr>
        <w:tabs>
          <w:tab w:val="left" w:pos="426"/>
        </w:tabs>
        <w:ind w:left="284" w:hanging="284"/>
        <w:rPr>
          <w:i/>
          <w:sz w:val="16"/>
          <w:szCs w:val="16"/>
        </w:rPr>
      </w:pPr>
      <w:r>
        <w:rPr>
          <w:sz w:val="18"/>
        </w:rPr>
        <w:tab/>
      </w:r>
      <w:r w:rsidRPr="00594771">
        <w:rPr>
          <w:sz w:val="16"/>
          <w:szCs w:val="16"/>
        </w:rPr>
        <w:t>GB-Cu Dd.2.11, f. 57r Untitled - bandora] [Nordstrom 50]</w:t>
      </w:r>
    </w:p>
    <w:p w14:paraId="4F10EB2D" w14:textId="77777777" w:rsidR="00BA0C0A" w:rsidRPr="00A9056F" w:rsidRDefault="00022F12" w:rsidP="00BA0C0A">
      <w:pPr>
        <w:tabs>
          <w:tab w:val="left" w:pos="426"/>
        </w:tabs>
        <w:ind w:left="284" w:hanging="284"/>
        <w:rPr>
          <w:i/>
        </w:rPr>
      </w:pPr>
      <w:r w:rsidRPr="00A9056F">
        <w:rPr>
          <w:sz w:val="18"/>
        </w:rPr>
        <w:t xml:space="preserve">22. </w:t>
      </w:r>
      <w:r w:rsidRPr="00A9056F">
        <w:rPr>
          <w:sz w:val="18"/>
        </w:rPr>
        <w:tab/>
        <w:t>GB-Cu Dd.9.33, f. 92v untitled [6-course]</w:t>
      </w:r>
    </w:p>
    <w:p w14:paraId="571B01C0" w14:textId="77777777" w:rsidR="00BA0C0A" w:rsidRPr="00A9056F" w:rsidRDefault="00022F12" w:rsidP="00BA0C0A">
      <w:pPr>
        <w:tabs>
          <w:tab w:val="right" w:pos="4536"/>
        </w:tabs>
        <w:spacing w:before="60"/>
        <w:jc w:val="left"/>
        <w:sectPr w:rsidR="00BA0C0A" w:rsidRPr="00A9056F">
          <w:type w:val="continuous"/>
          <w:pgSz w:w="11905" w:h="16837"/>
          <w:pgMar w:top="851" w:right="992" w:bottom="992" w:left="992" w:header="709" w:footer="709" w:gutter="0"/>
          <w:cols w:num="2" w:space="431"/>
        </w:sectPr>
      </w:pPr>
      <w:r w:rsidRPr="00A9056F">
        <w:tab/>
        <w:t>John H Robinson, March 2010, Newcastle University</w:t>
      </w:r>
    </w:p>
    <w:p w14:paraId="421F0BE0" w14:textId="77777777" w:rsidR="00BA0C0A" w:rsidRPr="00A9056F" w:rsidRDefault="007D2F8D" w:rsidP="00BA0C0A"/>
    <w:sectPr w:rsidR="00BA0C0A" w:rsidRPr="00A9056F" w:rsidSect="00BA0C0A">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437C" w14:textId="77777777" w:rsidR="007D2F8D" w:rsidRDefault="007D2F8D">
      <w:r>
        <w:separator/>
      </w:r>
    </w:p>
  </w:endnote>
  <w:endnote w:type="continuationSeparator" w:id="0">
    <w:p w14:paraId="0FA7F684" w14:textId="77777777" w:rsidR="007D2F8D" w:rsidRDefault="007D2F8D">
      <w:r>
        <w:continuationSeparator/>
      </w:r>
    </w:p>
  </w:endnote>
  <w:endnote w:id="1">
    <w:p w14:paraId="58721FF8" w14:textId="77777777" w:rsidR="00BA0C0A" w:rsidRDefault="00022F12" w:rsidP="00BA0C0A">
      <w:pPr>
        <w:pStyle w:val="EndnoteText"/>
        <w:ind w:left="142" w:hanging="142"/>
      </w:pPr>
      <w:r>
        <w:rPr>
          <w:rStyle w:val="EndnoteReference"/>
        </w:rPr>
        <w:endnoteRef/>
      </w:r>
      <w:r>
        <w:t xml:space="preserve"> </w:t>
      </w:r>
      <w:r w:rsidRPr="000E5EEF">
        <w:t xml:space="preserve">A setting of the tune is found in </w:t>
      </w:r>
      <w:r w:rsidRPr="000E5EEF">
        <w:rPr>
          <w:szCs w:val="16"/>
        </w:rPr>
        <w:t xml:space="preserve">US-Ws V.a.159 (Giles Lodge, </w:t>
      </w:r>
      <w:r w:rsidRPr="000E5EEF">
        <w:rPr>
          <w:i/>
          <w:szCs w:val="16"/>
        </w:rPr>
        <w:t>c.</w:t>
      </w:r>
      <w:r w:rsidRPr="000E5EEF">
        <w:rPr>
          <w:szCs w:val="16"/>
        </w:rPr>
        <w:t>1560s), f. 3r</w:t>
      </w:r>
      <w:r w:rsidRPr="000E5EEF">
        <w:rPr>
          <w:i/>
          <w:szCs w:val="16"/>
        </w:rPr>
        <w:t xml:space="preserve"> Will ye go walke the woode so wilde Cha: Jackson</w:t>
      </w:r>
      <w:r w:rsidRPr="000E5EEF">
        <w:rPr>
          <w:szCs w:val="16"/>
        </w:rPr>
        <w:t xml:space="preserve">, and IRL-Dtc 408/II (bound with William Ballet lute book, 408/I), p. 84 </w:t>
      </w:r>
      <w:r w:rsidRPr="000E5EEF">
        <w:rPr>
          <w:i/>
          <w:szCs w:val="16"/>
        </w:rPr>
        <w:t>the wo</w:t>
      </w:r>
      <w:r w:rsidRPr="000E5EEF">
        <w:rPr>
          <w:szCs w:val="16"/>
        </w:rPr>
        <w:t>[ods]</w:t>
      </w:r>
      <w:r w:rsidRPr="000E5EEF">
        <w:rPr>
          <w:i/>
          <w:szCs w:val="16"/>
        </w:rPr>
        <w:t xml:space="preserve"> so wi</w:t>
      </w:r>
      <w:r w:rsidRPr="000E5EEF">
        <w:rPr>
          <w:szCs w:val="16"/>
        </w:rPr>
        <w:t xml:space="preserve">[ld], and is quoted in the 2nd strain of IRL-Dtc 408/II, p. 83 </w:t>
      </w:r>
      <w:r w:rsidRPr="000E5EEF">
        <w:rPr>
          <w:i/>
          <w:szCs w:val="16"/>
        </w:rPr>
        <w:t>farle become</w:t>
      </w:r>
      <w:r w:rsidRPr="000E5EEF">
        <w:rPr>
          <w:szCs w:val="16"/>
        </w:rPr>
        <w:t>, and more famously in the 3rd strain of John Dowland’s Earl of Essex/Can she excuse Galliard (</w:t>
      </w:r>
      <w:r w:rsidRPr="000A35B3">
        <w:rPr>
          <w:szCs w:val="16"/>
        </w:rPr>
        <w:t xml:space="preserve">Diana Poulton &amp; Basil Lam, </w:t>
      </w:r>
      <w:r w:rsidRPr="000A35B3">
        <w:rPr>
          <w:i/>
          <w:szCs w:val="16"/>
        </w:rPr>
        <w:t>The Collected Lute Music of John Dowland</w:t>
      </w:r>
      <w:r w:rsidRPr="000A35B3">
        <w:rPr>
          <w:szCs w:val="16"/>
        </w:rPr>
        <w:t xml:space="preserve"> (London, Faber, 1974/1978/1981, </w:t>
      </w:r>
      <w:r w:rsidRPr="000E5EEF">
        <w:rPr>
          <w:szCs w:val="16"/>
        </w:rPr>
        <w:t>n</w:t>
      </w:r>
      <w:r w:rsidRPr="000E5EEF">
        <w:rPr>
          <w:szCs w:val="16"/>
          <w:vertAlign w:val="superscript"/>
        </w:rPr>
        <w:t>o</w:t>
      </w:r>
      <w:r w:rsidRPr="000E5EEF">
        <w:rPr>
          <w:szCs w:val="16"/>
        </w:rPr>
        <w:t xml:space="preserve"> 42/42a). </w:t>
      </w:r>
      <w:r w:rsidRPr="000E5EEF">
        <w:t xml:space="preserve">GB-Gu Euing 25, ff. 33v-34r untitled, is a lute intabulation probably by Francis Cutting of William Byrd’s fourteen variations for keyboard in GB-Cfm 168 (Fitzwilliam virginal book), pp. 127-128 </w:t>
      </w:r>
      <w:r w:rsidRPr="000E5EEF">
        <w:rPr>
          <w:i/>
        </w:rPr>
        <w:t>The woods so wild William Byrd 1590</w:t>
      </w:r>
      <w:r w:rsidRPr="000E5EEF">
        <w:t xml:space="preserve">; GB-Lbl Add.30485 (Wray), ff. 67r-68v </w:t>
      </w:r>
      <w:r w:rsidRPr="000E5EEF">
        <w:rPr>
          <w:i/>
        </w:rPr>
        <w:t>walk the woods so wide / mr birds wandringe the woods</w:t>
      </w:r>
      <w:r w:rsidRPr="000E5EEF">
        <w:t xml:space="preserve">; GB-Lbl Add.31403, f. 23v </w:t>
      </w:r>
      <w:r w:rsidRPr="000E5EEF">
        <w:rPr>
          <w:i/>
        </w:rPr>
        <w:t>The woods so wylde Mr William Byrd</w:t>
      </w:r>
      <w:r w:rsidRPr="000E5EEF">
        <w:t xml:space="preserve">; GB-Lbl RM24.d.3 (Forster), ff. 61v-65r </w:t>
      </w:r>
      <w:r w:rsidRPr="000E5EEF">
        <w:rPr>
          <w:i/>
        </w:rPr>
        <w:t>The wood soe wylde:</w:t>
      </w:r>
      <w:r w:rsidRPr="000E5EEF">
        <w:t xml:space="preserve">; GB-Lbl Mus.1591 (Nevell), f. 109r </w:t>
      </w:r>
      <w:r w:rsidRPr="000E5EEF">
        <w:rPr>
          <w:i/>
        </w:rPr>
        <w:t>will yow walke the woodes soe wylde: mr: w: birde: anno: 1591</w:t>
      </w:r>
      <w:r w:rsidRPr="000E5EEF">
        <w:t xml:space="preserve">; and F-Pc Rés 1186, f. 117 (copied into US-NYp Drexel 5609, p. 90 </w:t>
      </w:r>
      <w:r w:rsidRPr="000E5EEF">
        <w:rPr>
          <w:i/>
        </w:rPr>
        <w:t>Woode so wilde</w:t>
      </w:r>
      <w:r w:rsidRPr="000E5EEF">
        <w:t xml:space="preserve">), and see Jan Burgers, </w:t>
      </w:r>
      <w:r w:rsidRPr="000E5EEF">
        <w:rPr>
          <w:i/>
        </w:rPr>
        <w:t>Francis Cutting Collected Lute Music</w:t>
      </w:r>
      <w:r w:rsidRPr="000E5EEF">
        <w:t xml:space="preserve"> (Lübeck, Tree Edition, 2002), no 55.</w:t>
      </w:r>
    </w:p>
  </w:endnote>
  <w:endnote w:id="2">
    <w:p w14:paraId="2D414F8D" w14:textId="77777777" w:rsidR="00BA0C0A" w:rsidRDefault="00022F12" w:rsidP="00BA0C0A">
      <w:pPr>
        <w:pStyle w:val="EndnoteText"/>
        <w:ind w:left="142" w:hanging="142"/>
      </w:pPr>
      <w:r>
        <w:rPr>
          <w:rStyle w:val="EndnoteReference"/>
        </w:rPr>
        <w:endnoteRef/>
      </w:r>
      <w:r>
        <w:t xml:space="preserve"> </w:t>
      </w:r>
      <w:r w:rsidRPr="000A35B3">
        <w:rPr>
          <w:szCs w:val="16"/>
        </w:rPr>
        <w:t xml:space="preserve">David Lumsden, </w:t>
      </w:r>
      <w:r w:rsidRPr="000C6AD5">
        <w:rPr>
          <w:i/>
        </w:rPr>
        <w:t>The Sources of English Lute Music (1540-1620), doctoral thesis, Cambridge University,</w:t>
      </w:r>
      <w:r w:rsidRPr="000C6AD5">
        <w:t xml:space="preserve"> September 1955)</w:t>
      </w:r>
      <w:r w:rsidRPr="00D21C89">
        <w:rPr>
          <w:szCs w:val="16"/>
        </w:rPr>
        <w:t xml:space="preserve">, vol. 2, pp. 181-195; </w:t>
      </w:r>
      <w:r w:rsidRPr="00D21C89">
        <w:rPr>
          <w:rFonts w:cs="LucidaGrande"/>
          <w:lang w:val="en-US" w:bidi="en-US"/>
        </w:rPr>
        <w:t>Julia Craig-McFeely, ‘</w:t>
      </w:r>
      <w:r w:rsidRPr="00D21C89">
        <w:rPr>
          <w:rFonts w:cs="LucidaGrande"/>
          <w:bCs/>
          <w:szCs w:val="36"/>
          <w:lang w:val="en-US" w:bidi="en-US"/>
        </w:rPr>
        <w:t>English Lute Manuscripts and Scribes 1530-1630’, d</w:t>
      </w:r>
      <w:r w:rsidRPr="00D21C89">
        <w:rPr>
          <w:rFonts w:cs="LucidaGrande"/>
          <w:lang w:val="en-US" w:bidi="en-US"/>
        </w:rPr>
        <w:t xml:space="preserve">octoral dissertation, Oxford University, 1993; Monique Rollin, see Christian Meyer, </w:t>
      </w:r>
      <w:r>
        <w:t>Sources Manuscrites en Tablature, Vol. IV. Grande-Bretagne, in preparation:</w:t>
      </w:r>
    </w:p>
    <w:p w14:paraId="3D95A1A0" w14:textId="77777777" w:rsidR="00BA0C0A" w:rsidRPr="00D21C89" w:rsidRDefault="00022F12" w:rsidP="00BA0C0A">
      <w:pPr>
        <w:pStyle w:val="EndnoteText"/>
        <w:ind w:left="142" w:hanging="142"/>
        <w:rPr>
          <w:rFonts w:cs="LucidaGrande"/>
          <w:lang w:val="en-US" w:bidi="en-US"/>
        </w:rPr>
      </w:pPr>
      <w:r>
        <w:tab/>
      </w:r>
      <w:r w:rsidRPr="00D21C89">
        <w:rPr>
          <w:rFonts w:cs="LucidaGrande"/>
          <w:lang w:val="en-US" w:bidi="en-US"/>
        </w:rPr>
        <w:t>http://www-bnus.u-strasbg.fr/Smt/0185.htm</w:t>
      </w:r>
    </w:p>
  </w:endnote>
  <w:endnote w:id="3">
    <w:p w14:paraId="306642F4" w14:textId="77777777" w:rsidR="00BA0C0A" w:rsidRPr="00D21C89" w:rsidRDefault="00022F12" w:rsidP="00BA0C0A">
      <w:pPr>
        <w:pStyle w:val="EndnoteText"/>
        <w:ind w:left="142" w:hanging="142"/>
      </w:pPr>
      <w:r w:rsidRPr="00D21C89">
        <w:rPr>
          <w:rStyle w:val="EndnoteReference"/>
        </w:rPr>
        <w:endnoteRef/>
      </w:r>
      <w:r w:rsidRPr="00D21C89">
        <w:t xml:space="preserve"> </w:t>
      </w:r>
      <w:r w:rsidRPr="00D21C89">
        <w:rPr>
          <w:szCs w:val="16"/>
        </w:rPr>
        <w:t xml:space="preserve">Diana Poulton, </w:t>
      </w:r>
      <w:r w:rsidRPr="00D21C89">
        <w:rPr>
          <w:i/>
          <w:szCs w:val="16"/>
        </w:rPr>
        <w:t>John Dowland</w:t>
      </w:r>
      <w:r w:rsidRPr="00D21C89">
        <w:rPr>
          <w:szCs w:val="16"/>
        </w:rPr>
        <w:t xml:space="preserve"> (London, Faber and Faber, 1972/1982)</w:t>
      </w:r>
      <w:r w:rsidRPr="00D21C89">
        <w:rPr>
          <w:szCs w:val="14"/>
        </w:rPr>
        <w:t xml:space="preserve">, pp. 425-427, and </w:t>
      </w:r>
      <w:r w:rsidRPr="00D21C89">
        <w:rPr>
          <w:szCs w:val="16"/>
        </w:rPr>
        <w:t xml:space="preserve">Poulton &amp; Lam, </w:t>
      </w:r>
      <w:r w:rsidRPr="00D21C89">
        <w:t>n</w:t>
      </w:r>
      <w:r w:rsidRPr="00D21C89">
        <w:rPr>
          <w:vertAlign w:val="superscript"/>
        </w:rPr>
        <w:t>o</w:t>
      </w:r>
      <w:r w:rsidRPr="00D21C89">
        <w:rPr>
          <w:szCs w:val="16"/>
        </w:rPr>
        <w:t xml:space="preserve"> </w:t>
      </w:r>
      <w:r w:rsidRPr="00D21C89">
        <w:rPr>
          <w:szCs w:val="14"/>
        </w:rPr>
        <w:t>17.</w:t>
      </w:r>
    </w:p>
  </w:endnote>
  <w:endnote w:id="4">
    <w:p w14:paraId="5E235D96" w14:textId="77777777" w:rsidR="00BA0C0A" w:rsidRDefault="00022F12" w:rsidP="00BA0C0A">
      <w:pPr>
        <w:pStyle w:val="EndnoteText"/>
        <w:ind w:left="142" w:hanging="142"/>
      </w:pPr>
      <w:r w:rsidRPr="00D21C89">
        <w:rPr>
          <w:rStyle w:val="EndnoteReference"/>
        </w:rPr>
        <w:endnoteRef/>
      </w:r>
      <w:r w:rsidRPr="00D21C89">
        <w:t xml:space="preserve"> </w:t>
      </w:r>
      <w:r w:rsidRPr="00D21C89">
        <w:rPr>
          <w:szCs w:val="14"/>
        </w:rPr>
        <w:t xml:space="preserve">A. L. Rowse, </w:t>
      </w:r>
      <w:r w:rsidRPr="00D21C89">
        <w:rPr>
          <w:i/>
          <w:szCs w:val="14"/>
        </w:rPr>
        <w:t>The Ex</w:t>
      </w:r>
      <w:r w:rsidRPr="0001098A">
        <w:rPr>
          <w:i/>
          <w:szCs w:val="14"/>
        </w:rPr>
        <w:t>pansion of Elizabethan England</w:t>
      </w:r>
      <w:r w:rsidRPr="0001098A">
        <w:rPr>
          <w:szCs w:val="14"/>
        </w:rPr>
        <w:t xml:space="preserve"> (Madison, University of Wisconsin Press, 2003), p. 189.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Lucida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CEB7D" w14:textId="77777777" w:rsidR="00BA0C0A" w:rsidRDefault="00022F12" w:rsidP="00BA0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52D4C8" w14:textId="77777777" w:rsidR="00BA0C0A" w:rsidRDefault="007D2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70C9" w14:textId="77777777" w:rsidR="007D2F8D" w:rsidRDefault="007D2F8D">
      <w:r>
        <w:separator/>
      </w:r>
    </w:p>
  </w:footnote>
  <w:footnote w:type="continuationSeparator" w:id="0">
    <w:p w14:paraId="6F0A893E" w14:textId="77777777" w:rsidR="007D2F8D" w:rsidRDefault="007D2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4364" w14:textId="77777777" w:rsidR="00BA0C0A" w:rsidRDefault="00022F12" w:rsidP="00BA0C0A">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AF2707" w14:textId="77777777" w:rsidR="00BA0C0A" w:rsidRDefault="007D2F8D" w:rsidP="00BA0C0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D79A" w14:textId="77777777" w:rsidR="00BA0C0A" w:rsidRPr="00AD7779" w:rsidRDefault="00022F12" w:rsidP="00BA0C0A">
    <w:pPr>
      <w:pStyle w:val="Header"/>
      <w:framePr w:wrap="around" w:vAnchor="text" w:hAnchor="page" w:x="10882" w:y="12"/>
      <w:rPr>
        <w:rStyle w:val="PageNumber"/>
        <w:sz w:val="24"/>
      </w:rPr>
    </w:pPr>
    <w:r w:rsidRPr="00AD7779">
      <w:rPr>
        <w:rStyle w:val="PageNumber"/>
        <w:sz w:val="24"/>
      </w:rPr>
      <w:fldChar w:fldCharType="begin"/>
    </w:r>
    <w:r w:rsidRPr="00AD7779">
      <w:rPr>
        <w:rStyle w:val="PageNumber"/>
        <w:sz w:val="24"/>
      </w:rPr>
      <w:instrText xml:space="preserve">PAGE  </w:instrText>
    </w:r>
    <w:r w:rsidRPr="00AD7779">
      <w:rPr>
        <w:rStyle w:val="PageNumber"/>
        <w:sz w:val="24"/>
      </w:rPr>
      <w:fldChar w:fldCharType="separate"/>
    </w:r>
    <w:r w:rsidRPr="00AD7779">
      <w:rPr>
        <w:rStyle w:val="PageNumber"/>
        <w:noProof/>
        <w:sz w:val="24"/>
      </w:rPr>
      <w:t>1</w:t>
    </w:r>
    <w:r w:rsidRPr="00AD7779">
      <w:rPr>
        <w:rStyle w:val="PageNumber"/>
        <w:sz w:val="24"/>
      </w:rPr>
      <w:fldChar w:fldCharType="end"/>
    </w:r>
  </w:p>
  <w:p w14:paraId="20E204D1" w14:textId="77777777" w:rsidR="00BA0C0A" w:rsidRDefault="007D2F8D" w:rsidP="00BA0C0A">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22F12"/>
    <w:rsid w:val="00594771"/>
    <w:rsid w:val="005C5408"/>
    <w:rsid w:val="007D2F8D"/>
    <w:rsid w:val="00D46A07"/>
    <w:rsid w:val="00D85022"/>
    <w:rsid w:val="00F12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B5DBA0D"/>
  <w15:chartTrackingRefBased/>
  <w15:docId w15:val="{3F397A82-0665-A349-BCC5-7FDFF2B2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cp:revision>
  <dcterms:created xsi:type="dcterms:W3CDTF">2022-01-27T22:58:00Z</dcterms:created>
  <dcterms:modified xsi:type="dcterms:W3CDTF">2022-01-27T22:59:00Z</dcterms:modified>
</cp:coreProperties>
</file>