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rguments-and-parameters-guide"/>
      <w:r>
        <w:t xml:space="preserve">Arguments and Parameters Guide</w:t>
      </w:r>
      <w:bookmarkEnd w:id="20"/>
    </w:p>
    <w:p>
      <w:pPr>
        <w:pStyle w:val="FirstParagraph"/>
      </w:pPr>
      <w:r>
        <w:t xml:space="preserve">openCOSMO-RS Pipeline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contents"/>
      <w:r>
        <w:t xml:space="preserve">Contents</w:t>
      </w:r>
      <w:bookmarkEnd w:id="21"/>
    </w:p>
    <w:p>
      <w:pPr>
        <w:numPr>
          <w:ilvl w:val="0"/>
          <w:numId w:val="1001"/>
        </w:numPr>
        <w:pStyle w:val="Compact"/>
      </w:pPr>
      <w:hyperlink w:anchor="Xd900a20a5251c7215d908fbcbe6e732b06f4d3b">
        <w:r>
          <w:rPr>
            <w:rStyle w:val="Hyperlink"/>
          </w:rPr>
          <w:t xml:space="preserve">Pipeline spec (</w:t>
        </w:r>
        <w:r>
          <w:rPr>
            <w:rStyle w:val="VerbatimChar"/>
          </w:rPr>
          <w:t xml:space="preserve">request.json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3ec46987f00160d96d23221f14fd3a53c2fa4c1">
        <w:r>
          <w:rPr>
            <w:rStyle w:val="Hyperlink"/>
          </w:rPr>
          <w:t xml:space="preserve">Parameter hierarchy</w:t>
        </w:r>
      </w:hyperlink>
    </w:p>
    <w:p>
      <w:pPr>
        <w:numPr>
          <w:ilvl w:val="0"/>
          <w:numId w:val="1001"/>
        </w:numPr>
        <w:pStyle w:val="Compact"/>
      </w:pPr>
      <w:hyperlink w:anchor="X509ed961b196bcc1d382536805b74c96150cd86">
        <w:r>
          <w:rPr>
            <w:rStyle w:val="Hyperlink"/>
          </w:rPr>
          <w:t xml:space="preserve">Global parameters</w:t>
        </w:r>
      </w:hyperlink>
    </w:p>
    <w:p>
      <w:pPr>
        <w:numPr>
          <w:ilvl w:val="0"/>
          <w:numId w:val="1001"/>
        </w:numPr>
        <w:pStyle w:val="Compact"/>
      </w:pPr>
      <w:hyperlink w:anchor="X22bf64bc5d5801e2b794f4ef0d32cfed5d376f1">
        <w:r>
          <w:rPr>
            <w:rStyle w:val="Hyperlink"/>
          </w:rPr>
          <w:t xml:space="preserve">Cleaning stage parameters</w:t>
        </w:r>
      </w:hyperlink>
    </w:p>
    <w:p>
      <w:pPr>
        <w:numPr>
          <w:ilvl w:val="0"/>
          <w:numId w:val="1001"/>
        </w:numPr>
        <w:pStyle w:val="Compact"/>
      </w:pPr>
      <w:hyperlink w:anchor="X456e07ce21a419fceff6cadd4000f41161271e1">
        <w:r>
          <w:rPr>
            <w:rStyle w:val="Hyperlink"/>
          </w:rPr>
          <w:t xml:space="preserve">Generation stage parameters</w:t>
        </w:r>
      </w:hyperlink>
    </w:p>
    <w:p>
      <w:pPr>
        <w:numPr>
          <w:ilvl w:val="0"/>
          <w:numId w:val="1001"/>
        </w:numPr>
        <w:pStyle w:val="Compact"/>
      </w:pPr>
      <w:hyperlink w:anchor="Xfe2521056f749cceade0230cbf2a4dac15347e5">
        <w:r>
          <w:rPr>
            <w:rStyle w:val="Hyperlink"/>
          </w:rPr>
          <w:t xml:space="preserve">Pruning stage parameters</w:t>
        </w:r>
      </w:hyperlink>
    </w:p>
    <w:p>
      <w:pPr>
        <w:numPr>
          <w:ilvl w:val="0"/>
          <w:numId w:val="1001"/>
        </w:numPr>
        <w:pStyle w:val="Compact"/>
      </w:pPr>
      <w:hyperlink w:anchor="X8cbcd8a113c79aebfa7fd5d4080b2be3cdcd0bf">
        <w:r>
          <w:rPr>
            <w:rStyle w:val="Hyperlink"/>
          </w:rPr>
          <w:t xml:space="preserve">Optimisation stage parameters</w:t>
        </w:r>
      </w:hyperlink>
    </w:p>
    <w:p>
      <w:pPr>
        <w:numPr>
          <w:ilvl w:val="0"/>
          <w:numId w:val="1001"/>
        </w:numPr>
        <w:pStyle w:val="Compact"/>
      </w:pPr>
      <w:hyperlink w:anchor="X7eab532da1b2295edd4cca1f493fd3cbc7788d0">
        <w:r>
          <w:rPr>
            <w:rStyle w:val="Hyperlink"/>
          </w:rPr>
          <w:t xml:space="preserve">OrcaCOSMO stage parameters</w:t>
        </w:r>
      </w:hyperlink>
    </w:p>
    <w:p>
      <w:pPr>
        <w:numPr>
          <w:ilvl w:val="0"/>
          <w:numId w:val="1001"/>
        </w:numPr>
        <w:pStyle w:val="Compact"/>
      </w:pPr>
      <w:hyperlink w:anchor="X639309d9cd9d275a737b5b1d755b3ded28347e3">
        <w:r>
          <w:rPr>
            <w:rStyle w:val="Hyperlink"/>
          </w:rPr>
          <w:t xml:space="preserve">Solubility stage parameters</w:t>
        </w:r>
      </w:hyperlink>
    </w:p>
    <w:p>
      <w:pPr>
        <w:numPr>
          <w:ilvl w:val="0"/>
          <w:numId w:val="1001"/>
        </w:numPr>
        <w:pStyle w:val="Compact"/>
      </w:pPr>
      <w:hyperlink w:anchor="X94b9ce8b88f4549ba13535c037bee3e61e0be72">
        <w:r>
          <w:rPr>
            <w:rStyle w:val="Hyperlink"/>
          </w:rPr>
          <w:t xml:space="preserve">Resource parameters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ipeline-spec-request.json"/>
      <w:r>
        <w:t xml:space="preserve">1. Pipeline spec (</w:t>
      </w:r>
      <w:r>
        <w:rPr>
          <w:rStyle w:val="VerbatimChar"/>
        </w:rPr>
        <w:t xml:space="preserve">request.json</w:t>
      </w:r>
      <w:r>
        <w:t xml:space="preserve">)</w:t>
      </w:r>
      <w:bookmarkEnd w:id="22"/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request.json</w:t>
      </w:r>
      <w:r>
        <w:t xml:space="preserve"> </w:t>
      </w:r>
      <w:r>
        <w:t xml:space="preserve">defines a complete pipeline run. The top-level fields are: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"my_run"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"input_csv"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"/path/to/molecules.csv"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"pipeline_sequence"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"cleaning"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"optimisation"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"orcacosmo"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"solubility"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"stage_args"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"engine"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"rdkit"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"num_confs"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"engine"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"gxtb_opt_normal"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"default_basis"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"TZVP"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Heading3"/>
      </w:pPr>
      <w:bookmarkStart w:id="23" w:name="top-level-fields"/>
      <w:r>
        <w:t xml:space="preserve">Top-level fields</w:t>
      </w:r>
      <w:bookmarkEnd w:id="23"/>
    </w:p>
    <w:tbl>
      <w:tblPr>
        <w:tblStyle w:val="Table"/>
        <w:tblW w:type="pct" w:w="5000.0"/>
        <w:tblLook w:firstRow="1"/>
      </w:tblPr>
      <w:tblGrid>
        <w:gridCol w:w="1540"/>
        <w:gridCol w:w="1320"/>
        <w:gridCol w:w="2200"/>
        <w:gridCol w:w="28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request_name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Human-readable label. Defaults to timestamp.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input_csv</w:t>
            </w:r>
          </w:p>
        </w:tc>
        <w:tc>
          <w:p>
            <w:pPr>
              <w:pStyle w:val="Compact"/>
              <w:jc w:val="left"/>
            </w:pPr>
            <w:r>
              <w:t xml:space="preserve">string or list</w:t>
            </w:r>
          </w:p>
        </w:tc>
        <w:tc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p>
            <w:pPr>
              <w:pStyle w:val="Compact"/>
              <w:jc w:val="left"/>
            </w:pPr>
            <w:r>
              <w:t xml:space="preserve">Path(s) to input CSV file(s). Also accepts</w:t>
            </w:r>
            <w:r>
              <w:t xml:space="preserve"> </w:t>
            </w:r>
            <w:r>
              <w:rPr>
                <w:rStyle w:val="VerbatimChar"/>
              </w:rPr>
              <w:t xml:space="preserve">input_csvs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input_folders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pipeline_sequence</w:t>
            </w:r>
          </w:p>
        </w:tc>
        <w:tc>
          <w:p>
            <w:pPr>
              <w:pStyle w:val="Compact"/>
              <w:jc w:val="left"/>
            </w:pPr>
            <w:r>
              <w:t xml:space="preserve">list of strings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Ordered list of stage names to run.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stage_args</w:t>
            </w:r>
          </w:p>
        </w:tc>
        <w:tc>
          <w:p>
            <w:pPr>
              <w:pStyle w:val="Compact"/>
              <w:jc w:val="left"/>
            </w:pPr>
            <w:r>
              <w:t xml:space="preserve">list of objects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Per-stage parameter overrides.</w:t>
            </w:r>
            <w:r>
              <w:t xml:space="preserve"> </w:t>
            </w:r>
            <w:r>
              <w:rPr>
                <w:b/>
              </w:rPr>
              <w:t xml:space="preserve">Must be the same length as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pipeline_sequence</w:t>
            </w:r>
            <w:r>
              <w:t xml:space="preserve"> </w:t>
            </w:r>
            <w:r>
              <w:t xml:space="preserve">and aligned by index.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Global strict mode — propagates to all stages unless overridden per-stage.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resources</w:t>
            </w:r>
          </w:p>
        </w:tc>
        <w:tc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Runtime resource override (see</w:t>
            </w:r>
            <w:r>
              <w:t xml:space="preserve"> </w:t>
            </w:r>
            <w:hyperlink w:anchor="X94b9ce8b88f4549ba13535c037bee3e61e0be72">
              <w:r>
                <w:rPr>
                  <w:rStyle w:val="Hyperlink"/>
                </w:rPr>
                <w:t xml:space="preserve">Resource parameters</w:t>
              </w:r>
            </w:hyperlink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p>
            <w:pPr>
              <w:pStyle w:val="Compact"/>
              <w:jc w:val="left"/>
            </w:pPr>
            <w:r>
              <w:t xml:space="preserve">list of strings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Metadata tags for organising requests.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Free-text note attached to the request.</w:t>
            </w:r>
          </w:p>
        </w:tc>
      </w:tr>
    </w:tbl>
    <w:p>
      <w:pPr>
        <w:pStyle w:val="BodyText"/>
      </w:pPr>
      <w:r>
        <w:t xml:space="preserve">*</w:t>
      </w:r>
      <w:r>
        <w:rPr>
          <w:rStyle w:val="VerbatimChar"/>
        </w:rPr>
        <w:t xml:space="preserve">input_csv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input_csvs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input_folder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input_folders</w:t>
      </w:r>
      <w:r>
        <w:t xml:space="preserve"> </w:t>
      </w:r>
      <w:r>
        <w:t xml:space="preserve">are passed through to the cleaning stage.</w:t>
      </w:r>
    </w:p>
    <w:p>
      <w:pPr>
        <w:pStyle w:val="Heading3"/>
      </w:pPr>
      <w:bookmarkStart w:id="24" w:name="pipeline_sequence-and-stage_args"/>
      <w:r>
        <w:rPr>
          <w:rStyle w:val="VerbatimChar"/>
        </w:rPr>
        <w:t xml:space="preserve">pipeline_sequence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stage_args</w:t>
      </w:r>
      <w:bookmarkEnd w:id="24"/>
    </w:p>
    <w:p>
      <w:pPr>
        <w:pStyle w:val="FirstParagraph"/>
      </w:pPr>
      <w:r>
        <w:rPr>
          <w:rStyle w:val="VerbatimChar"/>
        </w:rPr>
        <w:t xml:space="preserve">pipeline_sequence</w:t>
      </w:r>
      <w:r>
        <w:t xml:space="preserve"> </w:t>
      </w:r>
      <w:r>
        <w:t xml:space="preserve">is an ordered list of stage names.</w:t>
      </w:r>
      <w:r>
        <w:t xml:space="preserve"> </w:t>
      </w:r>
      <w:r>
        <w:rPr>
          <w:rStyle w:val="VerbatimChar"/>
        </w:rPr>
        <w:t xml:space="preserve">stage_args</w:t>
      </w:r>
      <w:r>
        <w:t xml:space="preserve"> </w:t>
      </w:r>
      <w:r>
        <w:t xml:space="preserve">is a parallel list —</w:t>
      </w:r>
      <w:r>
        <w:t xml:space="preserve"> </w:t>
      </w:r>
      <w:r>
        <w:rPr>
          <w:rStyle w:val="VerbatimChar"/>
        </w:rPr>
        <w:t xml:space="preserve">stage_args[0]</w:t>
      </w:r>
      <w:r>
        <w:t xml:space="preserve"> </w:t>
      </w:r>
      <w:r>
        <w:t xml:space="preserve">applies to</w:t>
      </w:r>
      <w:r>
        <w:t xml:space="preserve"> </w:t>
      </w:r>
      <w:r>
        <w:rPr>
          <w:rStyle w:val="VerbatimChar"/>
        </w:rPr>
        <w:t xml:space="preserve">pipeline_sequence[0]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stage_args[1]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pipeline_sequence[1]</w:t>
      </w:r>
      <w:r>
        <w:t xml:space="preserve">, and so on.</w:t>
      </w:r>
    </w:p>
    <w:p>
      <w:pPr>
        <w:pStyle w:val="BodyText"/>
      </w:pPr>
      <w:r>
        <w:t xml:space="preserve">Each element of</w:t>
      </w:r>
      <w:r>
        <w:t xml:space="preserve"> </w:t>
      </w:r>
      <w:r>
        <w:rPr>
          <w:rStyle w:val="VerbatimChar"/>
        </w:rPr>
        <w:t xml:space="preserve">stage_args</w:t>
      </w:r>
      <w:r>
        <w:t xml:space="preserve"> </w:t>
      </w:r>
      <w:r>
        <w:t xml:space="preserve">is a dict of parameter overrides for that stage. Empty dicts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are valid and use all defaults.</w:t>
      </w:r>
    </w:p>
    <w:p>
      <w:pPr>
        <w:pStyle w:val="BodyText"/>
      </w:pPr>
      <w:r>
        <w:rPr>
          <w:b/>
        </w:rPr>
        <w:t xml:space="preserve">Valid stage names:</w:t>
      </w:r>
      <w:r>
        <w:t xml:space="preserve"> </w:t>
      </w:r>
      <w:r>
        <w:rPr>
          <w:rStyle w:val="VerbatimChar"/>
        </w:rPr>
        <w:t xml:space="preserve">cleaning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pruning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optimisation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orcacosmo</w:t>
      </w:r>
      <w:r>
        <w:t xml:space="preserve">,</w:t>
      </w:r>
      <w:r>
        <w:t xml:space="preserve"> </w:t>
      </w:r>
      <w:r>
        <w:rPr>
          <w:rStyle w:val="VerbatimChar"/>
        </w:rPr>
        <w:t xml:space="preserve">solubility</w:t>
      </w:r>
    </w:p>
    <w:p>
      <w:pPr>
        <w:pStyle w:val="BodyText"/>
      </w:pPr>
      <w:r>
        <w:rPr>
          <w:b/>
        </w:rPr>
        <w:t xml:space="preserve">Common sequences: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"cleaning"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"optimisation"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"orcacosmo"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"solubility"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StringTok"/>
        </w:rPr>
        <w:t xml:space="preserve">"cleaning"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"pruning"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"optimisation"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"orcacosmo"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"solubility"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StringTok"/>
        </w:rPr>
        <w:t xml:space="preserve">"cleaning"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"generation"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StringTok"/>
        </w:rPr>
        <w:t xml:space="preserve">"orcacosmo"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"solubility"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You can run partial pipelines by starting mid-sequence. The first stage must receive appropriate input (or</w:t>
      </w:r>
      <w:r>
        <w:t xml:space="preserve"> </w:t>
      </w:r>
      <w:r>
        <w:rPr>
          <w:rStyle w:val="VerbatimChar"/>
        </w:rPr>
        <w:t xml:space="preserve">stage_input</w:t>
      </w:r>
      <w:r>
        <w:t xml:space="preserve"> </w:t>
      </w:r>
      <w:r>
        <w:t xml:space="preserve">must be provided manually).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ameter-hierarchy"/>
      <w:r>
        <w:t xml:space="preserve">2. Parameter hierarchy</w:t>
      </w:r>
      <w:bookmarkEnd w:id="25"/>
    </w:p>
    <w:p>
      <w:pPr>
        <w:pStyle w:val="FirstParagraph"/>
      </w:pPr>
      <w:r>
        <w:t xml:space="preserve">Each stage resolves its parameters in order of precedence (highest wins):</w:t>
      </w:r>
    </w:p>
    <w:p>
      <w:pPr>
        <w:pStyle w:val="SourceCode"/>
      </w:pPr>
      <w:r>
        <w:rPr>
          <w:rStyle w:val="VerbatimChar"/>
        </w:rPr>
        <w:t xml:space="preserve">1. stage_args entry in request.json          (runtime override)</w:t>
      </w:r>
      <w:r>
        <w:br/>
      </w:r>
      <w:r>
        <w:rPr>
          <w:rStyle w:val="VerbatimChar"/>
        </w:rPr>
        <w:t xml:space="preserve">2. request-level "strict" / "resources"      (cross-stage overrides)</w:t>
      </w:r>
      <w:r>
        <w:br/>
      </w:r>
      <w:r>
        <w:rPr>
          <w:rStyle w:val="VerbatimChar"/>
        </w:rPr>
        <w:t xml:space="preserve">3. stage defaults JSON  (e.g. optimisation_defaults.json)</w:t>
      </w:r>
      <w:r>
        <w:br/>
      </w:r>
      <w:r>
        <w:rPr>
          <w:rStyle w:val="VerbatimChar"/>
        </w:rPr>
        <w:t xml:space="preserve">4. BaseStage / hard-coded fallback</w:t>
      </w:r>
    </w:p>
    <w:p>
      <w:pPr>
        <w:pStyle w:val="FirstParagraph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optimisation_defaults.json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"engine": "gxtb_opt_normal"</w:t>
      </w:r>
      <w:r>
        <w:t xml:space="preserve"> </w:t>
      </w:r>
      <w:r>
        <w:t xml:space="preserve">and the request’s</w:t>
      </w:r>
      <w:r>
        <w:t xml:space="preserve"> </w:t>
      </w:r>
      <w:r>
        <w:rPr>
          <w:rStyle w:val="VerbatimChar"/>
        </w:rPr>
        <w:t xml:space="preserve">stage_args</w:t>
      </w:r>
      <w:r>
        <w:t xml:space="preserve"> </w:t>
      </w:r>
      <w:r>
        <w:t xml:space="preserve">entry has</w:t>
      </w:r>
      <w:r>
        <w:t xml:space="preserve"> </w:t>
      </w:r>
      <w:r>
        <w:rPr>
          <w:rStyle w:val="VerbatimChar"/>
        </w:rPr>
        <w:t xml:space="preserve">"engine": "orca_opt_fast"</w:t>
      </w:r>
      <w:r>
        <w:t xml:space="preserve">, the request-level value wins.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global-parameters"/>
      <w:r>
        <w:t xml:space="preserve">3. Global parameters</w:t>
      </w:r>
      <w:bookmarkEnd w:id="26"/>
    </w:p>
    <w:p>
      <w:pPr>
        <w:pStyle w:val="FirstParagraph"/>
      </w:pPr>
      <w:r>
        <w:t xml:space="preserve">These can be set at the top level of</w:t>
      </w:r>
      <w:r>
        <w:t xml:space="preserve"> </w:t>
      </w:r>
      <w:r>
        <w:rPr>
          <w:rStyle w:val="VerbatimChar"/>
        </w:rPr>
        <w:t xml:space="preserve">request.json</w:t>
      </w:r>
      <w:r>
        <w:t xml:space="preserve"> </w:t>
      </w:r>
      <w:r>
        <w:t xml:space="preserve">and apply across stages.</w:t>
      </w:r>
    </w:p>
    <w:tbl>
      <w:tblPr>
        <w:tblStyle w:val="Table"/>
        <w:tblW w:type="pct" w:w="5000.0"/>
        <w:tblLook w:firstRow="1"/>
      </w:tblPr>
      <w:tblGrid>
        <w:gridCol w:w="2233"/>
        <w:gridCol w:w="1218"/>
        <w:gridCol w:w="1827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any per-item failure aborts the entire pool. Each stage can also override this individually.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cleaning-stage-parameters"/>
      <w:r>
        <w:t xml:space="preserve">4. Cleaning stage parameters</w:t>
      </w:r>
      <w:bookmarkEnd w:id="27"/>
    </w:p>
    <w:p>
      <w:pPr>
        <w:pStyle w:val="FirstParagraph"/>
      </w:pPr>
      <w:r>
        <w:t xml:space="preserve">The cleaning stage accepts raw CSV(s), canonicalises SMILES, generates InChIKeys, resolves charge/multiplicity/melting point, and writes</w:t>
      </w:r>
      <w:r>
        <w:t xml:space="preserve"> </w:t>
      </w:r>
      <w:r>
        <w:rPr>
          <w:rStyle w:val="VerbatimChar"/>
        </w:rPr>
        <w:t xml:space="preserve">cleaned.csv</w:t>
      </w:r>
      <w:r>
        <w:t xml:space="preserve"> </w:t>
      </w:r>
      <w:r>
        <w:t xml:space="preserve">and per-molecule metadata.</w:t>
      </w:r>
    </w:p>
    <w:p>
      <w:pPr>
        <w:pStyle w:val="Heading3"/>
      </w:pPr>
      <w:bookmarkStart w:id="28" w:name="input-source-parameters"/>
      <w:r>
        <w:t xml:space="preserve">Input source parameters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input_csv</w:t>
            </w:r>
          </w:p>
        </w:tc>
        <w:tc>
          <w:p>
            <w:pPr>
              <w:pStyle w:val="Compact"/>
              <w:jc w:val="left"/>
            </w:pPr>
            <w:r>
              <w:t xml:space="preserve">string or list</w:t>
            </w:r>
          </w:p>
        </w:tc>
        <w:tc>
          <w:p>
            <w:pPr>
              <w:pStyle w:val="Compact"/>
              <w:jc w:val="left"/>
            </w:pPr>
            <w:r>
              <w:t xml:space="preserve">Path to a single CSV or list of CSV paths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input_csvs</w:t>
            </w:r>
          </w:p>
        </w:tc>
        <w:tc>
          <w:p>
            <w:pPr>
              <w:pStyle w:val="Compact"/>
              <w:jc w:val="left"/>
            </w:pPr>
            <w:r>
              <w:t xml:space="preserve">string or list</w:t>
            </w:r>
          </w:p>
        </w:tc>
        <w:tc>
          <w:p>
            <w:pPr>
              <w:pStyle w:val="Compact"/>
              <w:jc w:val="left"/>
            </w:pPr>
            <w:r>
              <w:t xml:space="preserve">Alias for</w:t>
            </w:r>
            <w:r>
              <w:t xml:space="preserve"> </w:t>
            </w:r>
            <w:r>
              <w:rPr>
                <w:rStyle w:val="VerbatimChar"/>
              </w:rPr>
              <w:t xml:space="preserve">input_csv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input_folder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Path to a directory — all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files within are loaded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input_folders</w:t>
            </w:r>
          </w:p>
        </w:tc>
        <w:tc>
          <w:p>
            <w:pPr>
              <w:pStyle w:val="Compact"/>
              <w:jc w:val="left"/>
            </w:pPr>
            <w:r>
              <w:t xml:space="preserve">string or list</w:t>
            </w:r>
          </w:p>
        </w:tc>
        <w:tc>
          <w:p>
            <w:pPr>
              <w:pStyle w:val="Compact"/>
              <w:jc w:val="left"/>
            </w:pPr>
            <w:r>
              <w:t xml:space="preserve">List of directories</w:t>
            </w:r>
          </w:p>
        </w:tc>
      </w:tr>
    </w:tbl>
    <w:p>
      <w:pPr>
        <w:pStyle w:val="BodyText"/>
      </w:pPr>
      <w:r>
        <w:t xml:space="preserve">At least one of the above is required.</w:t>
      </w:r>
    </w:p>
    <w:p>
      <w:pPr>
        <w:pStyle w:val="Heading3"/>
      </w:pPr>
      <w:bookmarkStart w:id="29" w:name="behaviour-parameters"/>
      <w:r>
        <w:t xml:space="preserve">Behaviour parameters</w:t>
      </w:r>
      <w:bookmarkEnd w:id="29"/>
    </w:p>
    <w:tbl>
      <w:tblPr>
        <w:tblStyle w:val="Table"/>
        <w:tblW w:type="pct" w:w="5000.0"/>
        <w:tblLook w:firstRow="1"/>
      </w:tblPr>
      <w:tblGrid>
        <w:gridCol w:w="2233"/>
        <w:gridCol w:w="1218"/>
        <w:gridCol w:w="1827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any row that fails validation causes the stage to abort</w:t>
            </w:r>
          </w:p>
        </w:tc>
      </w:tr>
    </w:tbl>
    <w:p>
      <w:pPr>
        <w:pStyle w:val="Heading3"/>
      </w:pPr>
      <w:bookmarkStart w:id="30" w:name="input-csv-columns"/>
      <w:r>
        <w:t xml:space="preserve">Input CSV columns</w:t>
      </w:r>
      <w:bookmarkEnd w:id="30"/>
    </w:p>
    <w:tbl>
      <w:tblPr>
        <w:tblStyle w:val="Table"/>
        <w:tblW w:type="pct" w:w="5000.0"/>
        <w:tblLook w:firstRow="1"/>
      </w:tblPr>
      <w:tblGrid>
        <w:gridCol w:w="2043"/>
        <w:gridCol w:w="2554"/>
        <w:gridCol w:w="332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smiles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SMILES string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mol_name</w:t>
            </w:r>
          </w:p>
        </w:tc>
        <w:tc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p>
            <w:pPr>
              <w:pStyle w:val="Compact"/>
              <w:jc w:val="left"/>
            </w:pPr>
            <w:r>
              <w:t xml:space="preserve">Human-readable molecule 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charge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Formal charge (integer). If absent, RDKit or default (0) used per molecule.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multiplicity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Spin multiplicity. If absent, RDKit (closed-shell) or default (1) used.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melting_temp_c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Melting point in Celsius. Used for solubility saturation correction.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melting_temp_source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Source label for the melting point (e.g. </w:t>
            </w:r>
            <w:r>
              <w:rPr>
                <w:rStyle w:val="VerbatimChar"/>
              </w:rPr>
              <w:t xml:space="preserve">"ChemBook"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"user_input"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multiplicity</w:t>
      </w:r>
      <w:r>
        <w:t xml:space="preserve"> </w:t>
      </w:r>
      <w:r>
        <w:t xml:space="preserve">columns are absent, a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is emitted in the log with a per-file breakdown of how many molecules received RDKit-computed vs default values.</w:t>
      </w:r>
    </w:p>
    <w:p>
      <w:pPr>
        <w:pStyle w:val="Heading3"/>
      </w:pPr>
      <w:bookmarkStart w:id="31" w:name="outputs"/>
      <w:r>
        <w:t xml:space="preserve">Outputs</w:t>
      </w:r>
      <w:bookmarkEnd w:id="31"/>
    </w:p>
    <w:tbl>
      <w:tblPr>
        <w:tblStyle w:val="Table"/>
        <w:tblW w:type="pct" w:w="5000.0"/>
        <w:tblLook w:firstRow="1"/>
      </w:tblPr>
      <w:tblGrid>
        <w:gridCol w:w="2501"/>
        <w:gridCol w:w="541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outputs/cleaned.csv</w:t>
            </w:r>
          </w:p>
        </w:tc>
        <w:tc>
          <w:p>
            <w:pPr>
              <w:pStyle w:val="Compact"/>
              <w:jc w:val="left"/>
            </w:pPr>
            <w:r>
              <w:t xml:space="preserve">Unified, canonicalised dataset for downstream stages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outputs/molecule_metadata/&lt;inchi_key&gt;.json</w:t>
            </w:r>
          </w:p>
        </w:tc>
        <w:tc>
          <w:p>
            <w:pPr>
              <w:pStyle w:val="Compact"/>
              <w:jc w:val="left"/>
            </w:pPr>
            <w:r>
              <w:t xml:space="preserve">Per-molecule physchem descriptors, charge, multiplicity, melting point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generation-stage-parameters"/>
      <w:r>
        <w:t xml:space="preserve">5. Generation stage parameters</w:t>
      </w:r>
      <w:bookmarkEnd w:id="32"/>
    </w:p>
    <w:p>
      <w:pPr>
        <w:pStyle w:val="FirstParagraph"/>
      </w:pPr>
      <w:r>
        <w:t xml:space="preserve">Generates 3D conformers for each unique molecule in</w:t>
      </w:r>
      <w:r>
        <w:t xml:space="preserve"> </w:t>
      </w:r>
      <w:r>
        <w:rPr>
          <w:rStyle w:val="VerbatimChar"/>
        </w:rPr>
        <w:t xml:space="preserve">cleaned.csv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2233"/>
        <w:gridCol w:w="1218"/>
        <w:gridCol w:w="1827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"rdkit"</w:t>
            </w:r>
          </w:p>
        </w:tc>
        <w:tc>
          <w:p>
            <w:pPr>
              <w:pStyle w:val="Compact"/>
              <w:jc w:val="left"/>
            </w:pPr>
            <w:r>
              <w:t xml:space="preserve">Conformer generation backend:</w:t>
            </w:r>
            <w:r>
              <w:t xml:space="preserve"> </w:t>
            </w:r>
            <w:r>
              <w:rPr>
                <w:rStyle w:val="VerbatimChar"/>
              </w:rPr>
              <w:t xml:space="preserve">"rdkit"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"crest"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"openbabel"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num_confs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engine-dependent</w:t>
            </w:r>
          </w:p>
        </w:tc>
        <w:tc>
          <w:p>
            <w:pPr>
              <w:pStyle w:val="Compact"/>
              <w:jc w:val="left"/>
            </w:pPr>
            <w:r>
              <w:t xml:space="preserve">Maximum number of conformers to generate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Random seed for reproducibility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"gfn2"</w:t>
            </w:r>
          </w:p>
        </w:tc>
        <w:tc>
          <w:p>
            <w:pPr>
              <w:pStyle w:val="Compact"/>
              <w:jc w:val="left"/>
            </w:pPr>
            <w:r>
              <w:t xml:space="preserve">GFN version for CREST (e.g. </w:t>
            </w:r>
            <w:r>
              <w:rPr>
                <w:rStyle w:val="VerbatimChar"/>
              </w:rPr>
              <w:t xml:space="preserve">"gfn2"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Abort on first per-molecule failure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global_fail_threshold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0.8</w:t>
            </w:r>
          </w:p>
        </w:tc>
        <w:tc>
          <w:p>
            <w:pPr>
              <w:pStyle w:val="Compact"/>
              <w:jc w:val="left"/>
            </w:pPr>
            <w:r>
              <w:t xml:space="preserve">If the fraction of failures exceeds this, the stage raises an error</w:t>
            </w:r>
          </w:p>
        </w:tc>
      </w:tr>
    </w:tbl>
    <w:p>
      <w:pPr>
        <w:pStyle w:val="Heading3"/>
      </w:pPr>
      <w:bookmarkStart w:id="33" w:name="engine-comparison"/>
      <w:r>
        <w:t xml:space="preserve">Engine comparison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Parallelism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rdkit</w:t>
            </w:r>
          </w:p>
        </w:tc>
        <w:tc>
          <w:p>
            <w:pPr>
              <w:pStyle w:val="Compact"/>
              <w:jc w:val="left"/>
            </w:pPr>
            <w:r>
              <w:t xml:space="preserve">Fast</w:t>
            </w:r>
          </w:p>
        </w:tc>
        <w:tc>
          <w:p>
            <w:pPr>
              <w:pStyle w:val="Compact"/>
              <w:jc w:val="left"/>
            </w:pPr>
            <w:r>
              <w:t xml:space="preserve">Medium (ETKDGv3 + MMFF energy)</w:t>
            </w:r>
          </w:p>
        </w:tc>
        <w:tc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p>
            <w:pPr>
              <w:pStyle w:val="Compact"/>
              <w:jc w:val="left"/>
            </w:pPr>
            <w:r>
              <w:t xml:space="preserve">RDKit only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crest</w:t>
            </w:r>
          </w:p>
        </w:tc>
        <w:tc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p>
            <w:pPr>
              <w:pStyle w:val="Compact"/>
              <w:jc w:val="left"/>
            </w:pPr>
            <w:r>
              <w:t xml:space="preserve">High (iMTD-GC conformer search)</w:t>
            </w:r>
          </w:p>
        </w:tc>
        <w:tc>
          <w:p>
            <w:pPr>
              <w:pStyle w:val="Compact"/>
              <w:jc w:val="left"/>
            </w:pPr>
            <w:r>
              <w:t xml:space="preserve">Parallel</w:t>
            </w:r>
          </w:p>
        </w:tc>
        <w:tc>
          <w:p>
            <w:pPr>
              <w:pStyle w:val="Compact"/>
              <w:jc w:val="left"/>
            </w:pPr>
            <w:r>
              <w:t xml:space="preserve">CREST binary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openbabel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 (genetic algorithm)</w:t>
            </w:r>
          </w:p>
        </w:tc>
        <w:tc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obabel</w:t>
            </w:r>
            <w:r>
              <w:t xml:space="preserve"> </w:t>
            </w:r>
            <w:r>
              <w:t xml:space="preserve">on PATH</w:t>
            </w:r>
          </w:p>
        </w:tc>
      </w:tr>
    </w:tbl>
    <w:p>
      <w:pPr>
        <w:pStyle w:val="Heading3"/>
      </w:pPr>
      <w:bookmarkStart w:id="34" w:name="outputs-1"/>
      <w:r>
        <w:t xml:space="preserve">Outputs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outputs/energies.json</w:t>
            </w:r>
          </w:p>
        </w:tc>
        <w:tc>
          <w:p>
            <w:pPr>
              <w:pStyle w:val="Compact"/>
              <w:jc w:val="left"/>
            </w:pPr>
            <w:r>
              <w:t xml:space="preserve">ConformerSet JSON — one entry per conformer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outputs/xyz/&lt;inchi_key&gt;_conf&lt;NNN&gt;.xyz</w:t>
            </w:r>
          </w:p>
        </w:tc>
        <w:tc>
          <w:p>
            <w:pPr>
              <w:pStyle w:val="Compact"/>
              <w:jc w:val="left"/>
            </w:pPr>
            <w:r>
              <w:t xml:space="preserve">3D coordinates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outputs/summary.csv</w:t>
            </w:r>
          </w:p>
        </w:tc>
        <w:tc>
          <w:p>
            <w:pPr>
              <w:pStyle w:val="Compact"/>
              <w:jc w:val="left"/>
            </w:pPr>
            <w:r>
              <w:t xml:space="preserve">Per-molecule summary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pruning-stage-parameters"/>
      <w:r>
        <w:t xml:space="preserve">6. Pruning stage parameters</w:t>
      </w:r>
      <w:bookmarkEnd w:id="35"/>
    </w:p>
    <w:p>
      <w:pPr>
        <w:pStyle w:val="FirstParagraph"/>
      </w:pPr>
      <w:r>
        <w:t xml:space="preserve">Reduces the conformer set by energy window and/or RMSD deduplication. Takes</w:t>
      </w:r>
      <w:r>
        <w:t xml:space="preserve"> </w:t>
      </w:r>
      <w:r>
        <w:rPr>
          <w:rStyle w:val="VerbatimChar"/>
        </w:rPr>
        <w:t xml:space="preserve">energies.json</w:t>
      </w:r>
      <w:r>
        <w:t xml:space="preserve"> </w:t>
      </w:r>
      <w:r>
        <w:t xml:space="preserve">from generation and outputs a filtered</w:t>
      </w:r>
      <w:r>
        <w:t xml:space="preserve"> </w:t>
      </w:r>
      <w:r>
        <w:rPr>
          <w:rStyle w:val="VerbatimChar"/>
        </w:rPr>
        <w:t xml:space="preserve">energies.json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2233"/>
        <w:gridCol w:w="1218"/>
        <w:gridCol w:w="1827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energy_window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5.0</w:t>
            </w:r>
          </w:p>
        </w:tc>
        <w:tc>
          <w:p>
            <w:pPr>
              <w:pStyle w:val="Compact"/>
              <w:jc w:val="left"/>
            </w:pPr>
            <w:r>
              <w:t xml:space="preserve">Keep conformers within this energy window of the minimum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energy_window_units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"kcal"</w:t>
            </w:r>
          </w:p>
        </w:tc>
        <w:tc>
          <w:p>
            <w:pPr>
              <w:pStyle w:val="Compact"/>
              <w:jc w:val="left"/>
            </w:pPr>
            <w:r>
              <w:t xml:space="preserve">Units for</w:t>
            </w:r>
            <w:r>
              <w:t xml:space="preserve"> </w:t>
            </w:r>
            <w:r>
              <w:rPr>
                <w:rStyle w:val="VerbatimChar"/>
              </w:rPr>
              <w:t xml:space="preserve">energy_window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"kcal"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"kj"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rmsd_threshold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0.5</w:t>
            </w:r>
          </w:p>
        </w:tc>
        <w:tc>
          <w:p>
            <w:pPr>
              <w:pStyle w:val="Compact"/>
              <w:jc w:val="left"/>
            </w:pPr>
            <w:r>
              <w:t xml:space="preserve">RMSD threshold (Angstrom) for deduplication. Conformers more similar than this are merged (lowest energy kept).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keep_all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skip pruning and pass all conformers through unchanged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max_energy</w:t>
            </w:r>
          </w:p>
        </w:tc>
        <w:tc>
          <w:p>
            <w:pPr>
              <w:pStyle w:val="Compact"/>
              <w:jc w:val="left"/>
            </w:pPr>
            <w:r>
              <w:t xml:space="preserve">float or null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p>
            <w:pPr>
              <w:pStyle w:val="Compact"/>
              <w:jc w:val="left"/>
            </w:pPr>
            <w:r>
              <w:t xml:space="preserve">Absolute energy ceiling (in native units). Conformers above this are discarded.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percentile</w:t>
            </w:r>
          </w:p>
        </w:tc>
        <w:tc>
          <w:p>
            <w:pPr>
              <w:pStyle w:val="Compact"/>
              <w:jc w:val="left"/>
            </w:pPr>
            <w:r>
              <w:t xml:space="preserve">float or null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p>
            <w:pPr>
              <w:pStyle w:val="Compact"/>
              <w:jc w:val="left"/>
            </w:pPr>
            <w:r>
              <w:t xml:space="preserve">Keep only conformers in the lowest N-th percentile by energy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int or null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p>
            <w:pPr>
              <w:pStyle w:val="Compact"/>
              <w:jc w:val="left"/>
            </w:pPr>
            <w:r>
              <w:t xml:space="preserve">Keep at most N conformers per molecule (lowest energy)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n_high</w:t>
            </w:r>
          </w:p>
        </w:tc>
        <w:tc>
          <w:p>
            <w:pPr>
              <w:pStyle w:val="Compact"/>
              <w:jc w:val="left"/>
            </w:pPr>
            <w:r>
              <w:t xml:space="preserve">int or null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p>
            <w:pPr>
              <w:pStyle w:val="Compact"/>
              <w:jc w:val="left"/>
            </w:pPr>
            <w:r>
              <w:t xml:space="preserve">Additionally keep at most N conformers from the high-energy tail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n_start</w:t>
            </w:r>
          </w:p>
        </w:tc>
        <w:tc>
          <w:p>
            <w:pPr>
              <w:pStyle w:val="Compact"/>
              <w:jc w:val="left"/>
            </w:pPr>
            <w:r>
              <w:t xml:space="preserve">int or null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p>
            <w:pPr>
              <w:pStyle w:val="Compact"/>
              <w:jc w:val="left"/>
            </w:pPr>
            <w:r>
              <w:t xml:space="preserve">Keep at most N conformers from the start of the sorted list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Abort on first failure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optimisation-stage-parameters"/>
      <w:r>
        <w:t xml:space="preserve">7. Optimisation stage parameters</w:t>
      </w:r>
      <w:bookmarkEnd w:id="36"/>
    </w:p>
    <w:p>
      <w:pPr>
        <w:pStyle w:val="FirstParagraph"/>
      </w:pPr>
      <w:r>
        <w:t xml:space="preserve">Geometry-optimises each conformer using the selected engine. Takes</w:t>
      </w:r>
      <w:r>
        <w:t xml:space="preserve"> </w:t>
      </w:r>
      <w:r>
        <w:rPr>
          <w:rStyle w:val="VerbatimChar"/>
        </w:rPr>
        <w:t xml:space="preserve">energies.json</w:t>
      </w:r>
      <w:r>
        <w:t xml:space="preserve"> </w:t>
      </w:r>
      <w:r>
        <w:t xml:space="preserve">and outputs a new</w:t>
      </w:r>
      <w:r>
        <w:t xml:space="preserve"> </w:t>
      </w:r>
      <w:r>
        <w:rPr>
          <w:rStyle w:val="VerbatimChar"/>
        </w:rPr>
        <w:t xml:space="preserve">energies.json</w:t>
      </w:r>
      <w:r>
        <w:t xml:space="preserve"> </w:t>
      </w:r>
      <w:r>
        <w:t xml:space="preserve">with updated geometries and energies.</w:t>
      </w:r>
    </w:p>
    <w:tbl>
      <w:tblPr>
        <w:tblStyle w:val="Table"/>
        <w:tblW w:type="pct" w:w="5000.0"/>
        <w:tblLook w:firstRow="1"/>
      </w:tblPr>
      <w:tblGrid>
        <w:gridCol w:w="2233"/>
        <w:gridCol w:w="1218"/>
        <w:gridCol w:w="1827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"gxtb_opt_normal"</w:t>
            </w:r>
          </w:p>
        </w:tc>
        <w:tc>
          <w:p>
            <w:pPr>
              <w:pStyle w:val="Compact"/>
              <w:jc w:val="left"/>
            </w:pPr>
            <w:r>
              <w:t xml:space="preserve">Optimisation engine key — must match a key in</w:t>
            </w:r>
            <w:r>
              <w:t xml:space="preserve"> </w:t>
            </w:r>
            <w:r>
              <w:rPr>
                <w:rStyle w:val="VerbatimChar"/>
              </w:rPr>
              <w:t xml:space="preserve">optimisation_engines.json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max_iter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250</w:t>
            </w:r>
          </w:p>
        </w:tc>
        <w:tc>
          <w:p>
            <w:pPr>
              <w:pStyle w:val="Compact"/>
              <w:jc w:val="left"/>
            </w:pPr>
            <w:r>
              <w:t xml:space="preserve">Maximum optimisation iterations (passed to engine)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keep_scratch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Retain per-conformer scratch directories after completion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Abort pool on first failure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global_fail_threshold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0.8</w:t>
            </w:r>
          </w:p>
        </w:tc>
        <w:tc>
          <w:p>
            <w:pPr>
              <w:pStyle w:val="Compact"/>
              <w:jc w:val="left"/>
            </w:pPr>
            <w:r>
              <w:t xml:space="preserve">Raise error if failure fraction exceeds this</w:t>
            </w:r>
          </w:p>
        </w:tc>
      </w:tr>
    </w:tbl>
    <w:p>
      <w:pPr>
        <w:pStyle w:val="Heading3"/>
      </w:pPr>
      <w:bookmarkStart w:id="37" w:name="available-engines"/>
      <w:r>
        <w:t xml:space="preserve">Available engines</w:t>
      </w:r>
      <w:bookmarkEnd w:id="37"/>
    </w:p>
    <w:p>
      <w:pPr>
        <w:pStyle w:val="Heading4"/>
      </w:pPr>
      <w:bookmarkStart w:id="38" w:name="Xa9a89c188f63a223d0b57d5ec27a25a51ec0647"/>
      <w:r>
        <w:t xml:space="preserve">gXTB engines (recommended for large batches)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Engine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gxtb_opt_loose</w:t>
            </w:r>
          </w:p>
        </w:tc>
        <w:tc>
          <w:p>
            <w:pPr>
              <w:pStyle w:val="Compact"/>
              <w:jc w:val="left"/>
            </w:pPr>
            <w:r>
              <w:t xml:space="preserve">loose</w:t>
            </w:r>
          </w:p>
        </w:tc>
        <w:tc>
          <w:p>
            <w:pPr>
              <w:pStyle w:val="Compact"/>
              <w:jc w:val="left"/>
            </w:pPr>
            <w:r>
              <w:t xml:space="preserve">Fastest, least converged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gxtb_opt_normal</w:t>
            </w:r>
          </w:p>
        </w:tc>
        <w:tc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Default</w:t>
            </w:r>
            <w:r>
              <w:t xml:space="preserve"> </w:t>
            </w:r>
            <w:r>
              <w:t xml:space="preserve">— good balance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gxtb_opt_tight</w:t>
            </w:r>
          </w:p>
        </w:tc>
        <w:tc>
          <w:p>
            <w:pPr>
              <w:pStyle w:val="Compact"/>
              <w:jc w:val="left"/>
            </w:pPr>
            <w:r>
              <w:t xml:space="preserve">tight</w:t>
            </w:r>
          </w:p>
        </w:tc>
        <w:tc>
          <w:p>
            <w:pPr>
              <w:pStyle w:val="Compact"/>
              <w:jc w:val="left"/>
            </w:pPr>
            <w:r>
              <w:t xml:space="preserve">More thorough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gxtb_opt_vtight</w:t>
            </w:r>
          </w:p>
        </w:tc>
        <w:tc>
          <w:p>
            <w:pPr>
              <w:pStyle w:val="Compact"/>
              <w:jc w:val="left"/>
            </w:pPr>
            <w:r>
              <w:t xml:space="preserve">vtight</w:t>
            </w:r>
          </w:p>
        </w:tc>
        <w:tc>
          <w:p>
            <w:pPr>
              <w:pStyle w:val="Compact"/>
              <w:jc w:val="left"/>
            </w:pPr>
            <w:r>
              <w:t xml:space="preserve">Most thorough</w:t>
            </w:r>
          </w:p>
        </w:tc>
      </w:tr>
    </w:tbl>
    <w:p>
      <w:pPr>
        <w:pStyle w:val="Heading4"/>
      </w:pPr>
      <w:bookmarkStart w:id="39" w:name="xtb-engines"/>
      <w:r>
        <w:t xml:space="preserve">XTB engines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Engine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xtb_opt_loose</w:t>
            </w:r>
          </w:p>
        </w:tc>
        <w:tc>
          <w:p>
            <w:pPr>
              <w:pStyle w:val="Compact"/>
              <w:jc w:val="left"/>
            </w:pPr>
            <w:r>
              <w:t xml:space="preserve">loose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xtb_opt_normal</w:t>
            </w:r>
          </w:p>
        </w:tc>
        <w:tc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xtb_opt_tight</w:t>
            </w:r>
          </w:p>
        </w:tc>
        <w:tc>
          <w:p>
            <w:pPr>
              <w:pStyle w:val="Compact"/>
              <w:jc w:val="left"/>
            </w:pPr>
            <w:r>
              <w:t xml:space="preserve">tight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xtb_opt_vtight</w:t>
            </w:r>
          </w:p>
        </w:tc>
        <w:tc>
          <w:p>
            <w:pPr>
              <w:pStyle w:val="Compact"/>
              <w:jc w:val="left"/>
            </w:pPr>
            <w:r>
              <w:t xml:space="preserve">vtight</w:t>
            </w:r>
          </w:p>
        </w:tc>
      </w:tr>
    </w:tbl>
    <w:p>
      <w:pPr>
        <w:pStyle w:val="Heading4"/>
      </w:pPr>
      <w:bookmarkStart w:id="40" w:name="orca-engines"/>
      <w:r>
        <w:t xml:space="preserve">ORCA engines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Engine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orca_opt_fast</w:t>
            </w:r>
          </w:p>
        </w:tc>
        <w:tc>
          <w:p>
            <w:pPr>
              <w:pStyle w:val="Compact"/>
              <w:jc w:val="left"/>
            </w:pPr>
            <w:r>
              <w:t xml:space="preserve">BP86</w:t>
            </w:r>
          </w:p>
        </w:tc>
        <w:tc>
          <w:p>
            <w:pPr>
              <w:pStyle w:val="Compact"/>
              <w:jc w:val="left"/>
            </w:pPr>
            <w:r>
              <w:t xml:space="preserve">def2-TZVP(-f)</w:t>
            </w:r>
          </w:p>
        </w:tc>
        <w:tc>
          <w:p>
            <w:pPr>
              <w:pStyle w:val="Compact"/>
              <w:jc w:val="left"/>
            </w:pPr>
            <w:r>
              <w:t xml:space="preserve">DFT optimisation, no solvation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orca_opt_final</w:t>
            </w:r>
          </w:p>
        </w:tc>
        <w:tc>
          <w:p>
            <w:pPr>
              <w:pStyle w:val="Compact"/>
              <w:jc w:val="left"/>
            </w:pPr>
            <w:r>
              <w:t xml:space="preserve">BP86</w:t>
            </w:r>
          </w:p>
        </w:tc>
        <w:tc>
          <w:p>
            <w:pPr>
              <w:pStyle w:val="Compact"/>
              <w:jc w:val="left"/>
            </w:pPr>
            <w:r>
              <w:t xml:space="preserve">def2-TZVP</w:t>
            </w:r>
          </w:p>
        </w:tc>
        <w:tc>
          <w:p>
            <w:pPr>
              <w:pStyle w:val="Compact"/>
              <w:jc w:val="left"/>
            </w:pPr>
            <w:r>
              <w:t xml:space="preserve">DFT optimisation, no solvation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orca_opt_cpcm_fast</w:t>
            </w:r>
          </w:p>
        </w:tc>
        <w:tc>
          <w:p>
            <w:pPr>
              <w:pStyle w:val="Compact"/>
              <w:jc w:val="left"/>
            </w:pPr>
            <w:r>
              <w:t xml:space="preserve">BP86</w:t>
            </w:r>
          </w:p>
        </w:tc>
        <w:tc>
          <w:p>
            <w:pPr>
              <w:pStyle w:val="Compact"/>
              <w:jc w:val="left"/>
            </w:pPr>
            <w:r>
              <w:t xml:space="preserve">def2-TZVP(-f)</w:t>
            </w:r>
          </w:p>
        </w:tc>
        <w:tc>
          <w:p>
            <w:pPr>
              <w:pStyle w:val="Compact"/>
              <w:jc w:val="left"/>
            </w:pPr>
            <w:r>
              <w:t xml:space="preserve">DFT + CPCM solvation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orca_opt_cpcm_final</w:t>
            </w:r>
          </w:p>
        </w:tc>
        <w:tc>
          <w:p>
            <w:pPr>
              <w:pStyle w:val="Compact"/>
              <w:jc w:val="left"/>
            </w:pPr>
            <w:r>
              <w:t xml:space="preserve">BP86</w:t>
            </w:r>
          </w:p>
        </w:tc>
        <w:tc>
          <w:p>
            <w:pPr>
              <w:pStyle w:val="Compact"/>
              <w:jc w:val="left"/>
            </w:pPr>
            <w:r>
              <w:t xml:space="preserve">def2-TZVP</w:t>
            </w:r>
          </w:p>
        </w:tc>
        <w:tc>
          <w:p>
            <w:pPr>
              <w:pStyle w:val="Compact"/>
              <w:jc w:val="left"/>
            </w:pPr>
            <w:r>
              <w:t xml:space="preserve">DFT + CPCM solvation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orca_sp_fast</w:t>
            </w:r>
          </w:p>
        </w:tc>
        <w:tc>
          <w:p>
            <w:pPr>
              <w:pStyle w:val="Compact"/>
              <w:jc w:val="left"/>
            </w:pPr>
            <w:r>
              <w:t xml:space="preserve">BP86</w:t>
            </w:r>
          </w:p>
        </w:tc>
        <w:tc>
          <w:p>
            <w:pPr>
              <w:pStyle w:val="Compact"/>
              <w:jc w:val="left"/>
            </w:pPr>
            <w:r>
              <w:t xml:space="preserve">def2-TZVP</w:t>
            </w:r>
          </w:p>
        </w:tc>
        <w:tc>
          <w:p>
            <w:pPr>
              <w:pStyle w:val="Compact"/>
              <w:jc w:val="left"/>
            </w:pPr>
            <w:r>
              <w:t xml:space="preserve">Single-point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orca_sp_final</w:t>
            </w:r>
          </w:p>
        </w:tc>
        <w:tc>
          <w:p>
            <w:pPr>
              <w:pStyle w:val="Compact"/>
              <w:jc w:val="left"/>
            </w:pPr>
            <w:r>
              <w:t xml:space="preserve">BP86</w:t>
            </w:r>
          </w:p>
        </w:tc>
        <w:tc>
          <w:p>
            <w:pPr>
              <w:pStyle w:val="Compact"/>
              <w:jc w:val="left"/>
            </w:pPr>
            <w:r>
              <w:t xml:space="preserve">def2-TZVPD</w:t>
            </w:r>
          </w:p>
        </w:tc>
        <w:tc>
          <w:p>
            <w:pPr>
              <w:pStyle w:val="Compact"/>
              <w:jc w:val="left"/>
            </w:pPr>
            <w:r>
              <w:t xml:space="preserve">Single-point with CPCM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orca_xtb2_alpb_opt</w:t>
            </w:r>
          </w:p>
        </w:tc>
        <w:tc>
          <w:p>
            <w:pPr>
              <w:pStyle w:val="Compact"/>
              <w:jc w:val="left"/>
            </w:pPr>
            <w:r>
              <w:t xml:space="preserve">XTB2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ORCA-driven xTB2 with ALPB solvation</w:t>
            </w:r>
          </w:p>
        </w:tc>
      </w:tr>
    </w:tbl>
    <w:p>
      <w:pPr>
        <w:pStyle w:val="Heading4"/>
      </w:pPr>
      <w:bookmarkStart w:id="41" w:name="X9bdd53c90e780f34fa4a0bfad1d8c36926aaa2b"/>
      <w:r>
        <w:t xml:space="preserve">Force field engines (fast pre-optimisation)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Engine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Force field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forcefield_mmff</w:t>
            </w:r>
          </w:p>
        </w:tc>
        <w:tc>
          <w:p>
            <w:pPr>
              <w:pStyle w:val="Compact"/>
              <w:jc w:val="left"/>
            </w:pPr>
            <w:r>
              <w:t xml:space="preserve">MMFF94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forcefield_uff</w:t>
            </w:r>
          </w:p>
        </w:tc>
        <w:tc>
          <w:p>
            <w:pPr>
              <w:pStyle w:val="Compact"/>
              <w:jc w:val="left"/>
            </w:pPr>
            <w:r>
              <w:t xml:space="preserve">UFF</w:t>
            </w:r>
          </w:p>
        </w:tc>
      </w:tr>
    </w:tbl>
    <w:p>
      <w:pPr>
        <w:pStyle w:val="Heading3"/>
      </w:pPr>
      <w:bookmarkStart w:id="42" w:name="outputs-2"/>
      <w:r>
        <w:t xml:space="preserve">Outputs</w:t>
      </w:r>
      <w:bookmarkEnd w:id="42"/>
    </w:p>
    <w:tbl>
      <w:tblPr>
        <w:tblStyle w:val="Table"/>
        <w:tblW w:type="pct" w:w="5000.0"/>
        <w:tblLook w:firstRow="1"/>
      </w:tblPr>
      <w:tblGrid>
        <w:gridCol w:w="2501"/>
        <w:gridCol w:w="541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outputs/energies.json</w:t>
            </w:r>
          </w:p>
        </w:tc>
        <w:tc>
          <w:p>
            <w:pPr>
              <w:pStyle w:val="Compact"/>
              <w:jc w:val="left"/>
            </w:pPr>
            <w:r>
              <w:t xml:space="preserve">Updated ConformerSet with optimisation_history entries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outputs/xyz/&lt;lookup_id&gt;_opt&lt;N&gt;.xyz</w:t>
            </w:r>
          </w:p>
        </w:tc>
        <w:tc>
          <w:p>
            <w:pPr>
              <w:pStyle w:val="Compact"/>
              <w:jc w:val="left"/>
            </w:pPr>
            <w:r>
              <w:t xml:space="preserve">Optimised geometry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outputs/log/&lt;lookup_id&gt;_opt&lt;N&gt;.log</w:t>
            </w:r>
          </w:p>
        </w:tc>
        <w:tc>
          <w:p>
            <w:pPr>
              <w:pStyle w:val="Compact"/>
              <w:jc w:val="left"/>
            </w:pPr>
            <w:r>
              <w:t xml:space="preserve">Engine 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outputs/optimisation_summary.csv</w:t>
            </w:r>
          </w:p>
        </w:tc>
        <w:tc>
          <w:p>
            <w:pPr>
              <w:pStyle w:val="Compact"/>
              <w:jc w:val="left"/>
            </w:pPr>
            <w:r>
              <w:t xml:space="preserve">Per-conformer summary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orcacosmo-stage-parameters"/>
      <w:r>
        <w:t xml:space="preserve">8. OrcaCOSMO stage parameters</w:t>
      </w:r>
      <w:bookmarkEnd w:id="43"/>
    </w:p>
    <w:p>
      <w:pPr>
        <w:pStyle w:val="FirstParagraph"/>
      </w:pPr>
      <w:r>
        <w:t xml:space="preserve">Runs ORCA CPCM COSMO single-point calculations to produce</w:t>
      </w:r>
      <w:r>
        <w:t xml:space="preserve"> </w:t>
      </w:r>
      <w:r>
        <w:rPr>
          <w:rStyle w:val="VerbatimChar"/>
        </w:rPr>
        <w:t xml:space="preserve">.orcacosmo</w:t>
      </w:r>
      <w:r>
        <w:t xml:space="preserve"> </w:t>
      </w:r>
      <w:r>
        <w:t xml:space="preserve">files for openCOSMO-RS.</w:t>
      </w:r>
    </w:p>
    <w:tbl>
      <w:tblPr>
        <w:tblStyle w:val="Table"/>
        <w:tblW w:type="pct" w:w="5000.0"/>
        <w:tblLook w:firstRow="1"/>
      </w:tblPr>
      <w:tblGrid>
        <w:gridCol w:w="2233"/>
        <w:gridCol w:w="1218"/>
        <w:gridCol w:w="1827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default_basis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"TZVP"</w:t>
            </w:r>
          </w:p>
        </w:tc>
        <w:tc>
          <w:p>
            <w:pPr>
              <w:pStyle w:val="Compact"/>
              <w:jc w:val="left"/>
            </w:pPr>
            <w:r>
              <w:t xml:space="preserve">Primary basis set:</w:t>
            </w:r>
            <w:r>
              <w:t xml:space="preserve"> </w:t>
            </w:r>
            <w:r>
              <w:rPr>
                <w:rStyle w:val="VerbatimChar"/>
              </w:rPr>
              <w:t xml:space="preserve">"TZVP"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"TZVPD"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fallback_basis</w:t>
            </w:r>
          </w:p>
        </w:tc>
        <w:tc>
          <w:p>
            <w:pPr>
              <w:pStyle w:val="Compact"/>
              <w:jc w:val="left"/>
            </w:pPr>
            <w:r>
              <w:t xml:space="preserve">string or false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Basis set to try if the primary fails:</w:t>
            </w:r>
            <w:r>
              <w:t xml:space="preserve"> </w:t>
            </w:r>
            <w:r>
              <w:rPr>
                <w:rStyle w:val="VerbatimChar"/>
              </w:rPr>
              <w:t xml:space="preserve">"TZVP"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"TZVPD"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(no fallback — fail immediately)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functional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"BP86"</w:t>
            </w:r>
          </w:p>
        </w:tc>
        <w:tc>
          <w:p>
            <w:pPr>
              <w:pStyle w:val="Compact"/>
              <w:jc w:val="left"/>
            </w:pPr>
            <w:r>
              <w:t xml:space="preserve">DFT functional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solvation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"CPCM"</w:t>
            </w:r>
          </w:p>
        </w:tc>
        <w:tc>
          <w:p>
            <w:pPr>
              <w:pStyle w:val="Compact"/>
              <w:jc w:val="left"/>
            </w:pPr>
            <w:r>
              <w:t xml:space="preserve">Solvation model keyword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maxcore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2000</w:t>
            </w:r>
          </w:p>
        </w:tc>
        <w:tc>
          <w:p>
            <w:pPr>
              <w:pStyle w:val="Compact"/>
              <w:jc w:val="left"/>
            </w:pPr>
            <w:r>
              <w:t xml:space="preserve">ORCA</w:t>
            </w:r>
            <w:r>
              <w:t xml:space="preserve"> </w:t>
            </w:r>
            <w:r>
              <w:rPr>
                <w:rStyle w:val="VerbatimChar"/>
              </w:rPr>
              <w:t xml:space="preserve">%MaxCore</w:t>
            </w:r>
            <w:r>
              <w:t xml:space="preserve"> </w:t>
            </w:r>
            <w:r>
              <w:t xml:space="preserve">in MB per process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Abort pool on first failure</w:t>
            </w:r>
          </w:p>
        </w:tc>
      </w:tr>
    </w:tbl>
    <w:p>
      <w:pPr>
        <w:pStyle w:val="Heading3"/>
      </w:pPr>
      <w:bookmarkStart w:id="44" w:name="outputs-3"/>
      <w:r>
        <w:t xml:space="preserve">Outputs</w:t>
      </w:r>
      <w:bookmarkEnd w:id="44"/>
    </w:p>
    <w:tbl>
      <w:tblPr>
        <w:tblStyle w:val="Table"/>
        <w:tblW w:type="pct" w:w="5000.0"/>
        <w:tblLook w:firstRow="1"/>
      </w:tblPr>
      <w:tblGrid>
        <w:gridCol w:w="2501"/>
        <w:gridCol w:w="541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outputs/orcacosmo_summary.json</w:t>
            </w:r>
          </w:p>
        </w:tc>
        <w:tc>
          <w:p>
            <w:pPr>
              <w:pStyle w:val="Compact"/>
              <w:jc w:val="left"/>
            </w:pPr>
            <w:r>
              <w:t xml:space="preserve">Per-conformer results including COSMO file paths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outputs/orcacosmo_summary.csv</w:t>
            </w:r>
          </w:p>
        </w:tc>
        <w:tc>
          <w:p>
            <w:pPr>
              <w:pStyle w:val="Compact"/>
              <w:jc w:val="left"/>
            </w:pPr>
            <w:r>
              <w:t xml:space="preserve">Tabular summary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outputs/orcacosmo_outputs/&lt;lookup_id&gt;.orcacosmo</w:t>
            </w:r>
          </w:p>
        </w:tc>
        <w:tc>
          <w:p>
            <w:pPr>
              <w:pStyle w:val="Compact"/>
              <w:jc w:val="left"/>
            </w:pPr>
            <w:r>
              <w:t xml:space="preserve">COSMO file for openCOSMO-RS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outputs/raw_outputs/&lt;lookup_id&gt;.{log,cpcm,cpcm_corr}</w:t>
            </w:r>
          </w:p>
        </w:tc>
        <w:tc>
          <w:p>
            <w:pPr>
              <w:pStyle w:val="Compact"/>
              <w:jc w:val="left"/>
            </w:pPr>
            <w:r>
              <w:t xml:space="preserve">Raw ORCA outputs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solubility-stage-parameters"/>
      <w:r>
        <w:t xml:space="preserve">9. Solubility stage parameters</w:t>
      </w:r>
      <w:bookmarkEnd w:id="45"/>
    </w:p>
    <w:p>
      <w:pPr>
        <w:pStyle w:val="FirstParagraph"/>
      </w:pPr>
      <w:r>
        <w:t xml:space="preserve">Runs openCOSMO-RS solubility calculations for each molecule against a list of solvents.</w:t>
      </w:r>
    </w:p>
    <w:tbl>
      <w:tblPr>
        <w:tblStyle w:val="Table"/>
        <w:tblW w:type="pct" w:w="5000.0"/>
        <w:tblLook w:firstRow="1"/>
      </w:tblPr>
      <w:tblGrid>
        <w:gridCol w:w="2233"/>
        <w:gridCol w:w="1218"/>
        <w:gridCol w:w="1827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solvent_list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built-in default</w:t>
            </w:r>
          </w:p>
        </w:tc>
        <w:tc>
          <w:p>
            <w:pPr>
              <w:pStyle w:val="Compact"/>
              <w:jc w:val="left"/>
            </w:pPr>
            <w:r>
              <w:t xml:space="preserve">Name of a solvent list file from</w:t>
            </w:r>
            <w:r>
              <w:t xml:space="preserve"> </w:t>
            </w:r>
            <w:r>
              <w:rPr>
                <w:rStyle w:val="VerbatimChar"/>
              </w:rPr>
              <w:t xml:space="preserve">CONSTANT_FILES/solvent_lists/</w:t>
            </w:r>
            <w:r>
              <w:t xml:space="preserve">, or path to a custom JSON solvent list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temperature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298.15</w:t>
            </w:r>
          </w:p>
        </w:tc>
        <w:tc>
          <w:p>
            <w:pPr>
              <w:pStyle w:val="Compact"/>
              <w:jc w:val="left"/>
            </w:pPr>
            <w:r>
              <w:t xml:space="preserve">Calculation temperature in Kelvin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calculation_type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</w:p>
        </w:tc>
        <w:tc>
          <w:p>
            <w:pPr>
              <w:pStyle w:val="Compact"/>
              <w:jc w:val="left"/>
            </w:pPr>
            <w:r>
              <w:t xml:space="preserve">Type of calculation.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runs all solvents; other values stage-specific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initial_solute_x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Initial mole fraction guess for the solute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saturation.enabled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Apply solubility saturation correction using melting point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saturation.Gfus_mode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"MyrdalYalkowsky"</w:t>
            </w:r>
          </w:p>
        </w:tc>
        <w:tc>
          <w:p>
            <w:pPr>
              <w:pStyle w:val="Compact"/>
              <w:jc w:val="left"/>
            </w:pPr>
            <w:r>
              <w:t xml:space="preserve">Gibbs fusion energy model:</w:t>
            </w:r>
            <w:r>
              <w:t xml:space="preserve"> </w:t>
            </w:r>
            <w:r>
              <w:rPr>
                <w:rStyle w:val="VerbatimChar"/>
              </w:rPr>
              <w:t xml:space="preserve">"MyrdalYalkowsky"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"Hfus"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saturation.Hfus</w:t>
            </w:r>
          </w:p>
        </w:tc>
        <w:tc>
          <w:p>
            <w:pPr>
              <w:pStyle w:val="Compact"/>
              <w:jc w:val="left"/>
            </w:pPr>
            <w:r>
              <w:t xml:space="preserve">string or 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"N/A"</w:t>
            </w:r>
          </w:p>
        </w:tc>
        <w:tc>
          <w:p>
            <w:pPr>
              <w:pStyle w:val="Compact"/>
              <w:jc w:val="left"/>
            </w:pPr>
            <w:r>
              <w:t xml:space="preserve">Enthalpy of fusion (kJ/mol), used when</w:t>
            </w:r>
            <w:r>
              <w:t xml:space="preserve"> </w:t>
            </w:r>
            <w:r>
              <w:rPr>
                <w:rStyle w:val="VerbatimChar"/>
              </w:rPr>
              <w:t xml:space="preserve">Gfus_mode = "Hfus"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saturation.SORcf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Correction factor for the fusion model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Run solvent calculations in parallel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n_workers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Number of parallel workers for solubility calculations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Abort on first failure</w:t>
            </w:r>
          </w:p>
        </w:tc>
      </w:tr>
    </w:tbl>
    <w:p>
      <w:pPr>
        <w:pStyle w:val="Heading3"/>
      </w:pPr>
      <w:bookmarkStart w:id="46" w:name="solvent-list-format"/>
      <w:r>
        <w:t xml:space="preserve">Solvent list format</w:t>
      </w:r>
      <w:bookmarkEnd w:id="46"/>
    </w:p>
    <w:p>
      <w:pPr>
        <w:pStyle w:val="FirstParagraph"/>
      </w:pPr>
      <w:r>
        <w:t xml:space="preserve">A solvent list JSON file is a list of solvent names that must match entries in</w:t>
      </w:r>
      <w:r>
        <w:t xml:space="preserve"> </w:t>
      </w:r>
      <w:r>
        <w:rPr>
          <w:rStyle w:val="VerbatimChar"/>
        </w:rPr>
        <w:t xml:space="preserve">CONSTANT_FILES/solvents/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"water"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"ethanol"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"acetone"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"dmso"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If no solvent list is configured, the pipeline falls back to the default list (a broad set of common solvents). If that is also unavailable, an emergency water-only fallback is used and a warning is emitted.</w:t>
      </w:r>
    </w:p>
    <w:p>
      <w:pPr>
        <w:pStyle w:val="Heading3"/>
      </w:pPr>
      <w:bookmarkStart w:id="47" w:name="outputs-4"/>
      <w:r>
        <w:t xml:space="preserve">Outputs</w:t>
      </w:r>
      <w:bookmarkEnd w:id="47"/>
    </w:p>
    <w:tbl>
      <w:tblPr>
        <w:tblStyle w:val="Table"/>
        <w:tblW w:type="pct" w:w="5000.0"/>
        <w:tblLook w:firstRow="1"/>
      </w:tblPr>
      <w:tblGrid>
        <w:gridCol w:w="2501"/>
        <w:gridCol w:w="541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outputs/solubility_results.json</w:t>
            </w:r>
          </w:p>
        </w:tc>
        <w:tc>
          <w:p>
            <w:pPr>
              <w:pStyle w:val="Compact"/>
              <w:jc w:val="left"/>
            </w:pPr>
            <w:r>
              <w:t xml:space="preserve">Full machine-readable results per molecule/solvent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outputs/solubility_results.csv</w:t>
            </w:r>
          </w:p>
        </w:tc>
        <w:tc>
          <w:p>
            <w:pPr>
              <w:pStyle w:val="Compact"/>
              <w:jc w:val="left"/>
            </w:pPr>
            <w:r>
              <w:t xml:space="preserve">Flat per-molecule/solvent 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outputs/solubility_human_summary.txt</w:t>
            </w:r>
          </w:p>
        </w:tc>
        <w:tc>
          <w:p>
            <w:pPr>
              <w:pStyle w:val="Compact"/>
              <w:jc w:val="left"/>
            </w:pPr>
            <w:r>
              <w:t xml:space="preserve">Aligned human-readable table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resource-parameters"/>
      <w:r>
        <w:t xml:space="preserve">10. Resource parameters</w:t>
      </w:r>
      <w:bookmarkEnd w:id="48"/>
    </w:p>
    <w:p>
      <w:pPr>
        <w:pStyle w:val="FirstParagraph"/>
      </w:pPr>
      <w:r>
        <w:t xml:space="preserve">Resource allocation can be overridden at the request level or per-stage.</w:t>
      </w:r>
    </w:p>
    <w:p>
      <w:pPr>
        <w:pStyle w:val="Heading3"/>
      </w:pPr>
      <w:bookmarkStart w:id="49" w:name="global-resource-override"/>
      <w:r>
        <w:t xml:space="preserve">Global resource override</w:t>
      </w:r>
      <w:bookmarkEnd w:id="49"/>
    </w:p>
    <w:p>
      <w:pPr>
        <w:pStyle w:val="FirstParagraph"/>
      </w:pPr>
      <w:r>
        <w:t xml:space="preserve">Set in the top-level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dict in</w:t>
      </w:r>
      <w:r>
        <w:t xml:space="preserve"> </w:t>
      </w:r>
      <w:r>
        <w:rPr>
          <w:rStyle w:val="VerbatimChar"/>
        </w:rPr>
        <w:t xml:space="preserve">request.json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"cpus"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.0"/>
        <w:tblLook w:firstRow="1"/>
      </w:tblPr>
      <w:tblGrid>
        <w:gridCol w:w="3630"/>
        <w:gridCol w:w="42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cpus</w:t>
            </w:r>
          </w:p>
        </w:tc>
        <w:tc>
          <w:p>
            <w:pPr>
              <w:pStyle w:val="Compact"/>
              <w:jc w:val="left"/>
            </w:pPr>
            <w:r>
              <w:t xml:space="preserve">Total CPU cores available. Overrides</w:t>
            </w:r>
            <w:r>
              <w:t xml:space="preserve"> </w:t>
            </w:r>
            <w:r>
              <w:rPr>
                <w:rStyle w:val="VerbatimChar"/>
              </w:rPr>
              <w:t xml:space="preserve">max_cores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config/resource_allocation.json</w:t>
            </w:r>
            <w:r>
              <w:t xml:space="preserve">.</w:t>
            </w:r>
          </w:p>
        </w:tc>
      </w:tr>
    </w:tbl>
    <w:p>
      <w:pPr>
        <w:pStyle w:val="Heading3"/>
      </w:pPr>
      <w:bookmarkStart w:id="50" w:name="per-stage-resource-override"/>
      <w:r>
        <w:t xml:space="preserve">Per-stage resource override</w:t>
      </w:r>
      <w:bookmarkEnd w:id="50"/>
    </w:p>
    <w:p>
      <w:pPr>
        <w:pStyle w:val="FirstParagraph"/>
      </w:pPr>
      <w:r>
        <w:t xml:space="preserve">Set in the relevant</w:t>
      </w:r>
      <w:r>
        <w:t xml:space="preserve"> </w:t>
      </w:r>
      <w:r>
        <w:rPr>
          <w:rStyle w:val="VerbatimChar"/>
        </w:rPr>
        <w:t xml:space="preserve">stage_args</w:t>
      </w:r>
      <w:r>
        <w:t xml:space="preserve"> </w:t>
      </w:r>
      <w:r>
        <w:t xml:space="preserve">entry: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"cores_per_item"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"n_workers"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.0"/>
        <w:tblLook w:firstRow="1"/>
      </w:tblPr>
      <w:tblGrid>
        <w:gridCol w:w="3630"/>
        <w:gridCol w:w="42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cores_per_item</w:t>
            </w:r>
          </w:p>
        </w:tc>
        <w:tc>
          <w:p>
            <w:pPr>
              <w:pStyle w:val="Compact"/>
              <w:jc w:val="left"/>
            </w:pPr>
            <w:r>
              <w:t xml:space="preserve">CPU cores per item. Overrides the stage default from</w:t>
            </w:r>
            <w:r>
              <w:t xml:space="preserve"> </w:t>
            </w:r>
            <w:r>
              <w:rPr>
                <w:rStyle w:val="VerbatimChar"/>
              </w:rPr>
              <w:t xml:space="preserve">generation_defaults.json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optimisation_defaults.json</w:t>
            </w:r>
            <w:r>
              <w:t xml:space="preserve"> </w:t>
            </w:r>
            <w:r>
              <w:t xml:space="preserve">etc.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n_workers</w:t>
            </w:r>
          </w:p>
        </w:tc>
        <w:tc>
          <w:p>
            <w:pPr>
              <w:pStyle w:val="Compact"/>
              <w:jc w:val="left"/>
            </w:pPr>
            <w:r>
              <w:t xml:space="preserve">Number of parallel workers. If not set, computed as</w:t>
            </w:r>
            <w:r>
              <w:t xml:space="preserve"> </w:t>
            </w:r>
            <w:r>
              <w:rPr>
                <w:rStyle w:val="VerbatimChar"/>
              </w:rPr>
              <w:t xml:space="preserve">floor(max_cores / cores_per_item)</w:t>
            </w:r>
            <w:r>
              <w:t xml:space="preserve">.</w:t>
            </w:r>
          </w:p>
        </w:tc>
      </w:tr>
    </w:tbl>
    <w:p>
      <w:pPr>
        <w:pStyle w:val="Heading3"/>
      </w:pPr>
      <w:bookmarkStart w:id="51" w:name="resource-allocation-hierarchy"/>
      <w:r>
        <w:t xml:space="preserve">Resource allocation hierarchy</w:t>
      </w:r>
      <w:bookmarkEnd w:id="51"/>
    </w:p>
    <w:p>
      <w:pPr>
        <w:pStyle w:val="SourceCode"/>
      </w:pPr>
      <w:r>
        <w:rPr>
          <w:rStyle w:val="VerbatimChar"/>
        </w:rPr>
        <w:t xml:space="preserve">1. stage_args["cores_per_item"]          per-stage runtime override</w:t>
      </w:r>
      <w:r>
        <w:br/>
      </w:r>
      <w:r>
        <w:rPr>
          <w:rStyle w:val="VerbatimChar"/>
        </w:rPr>
        <w:t xml:space="preserve">2. stage_args["n_workers"]               per-stage runtime override</w:t>
      </w:r>
      <w:r>
        <w:br/>
      </w:r>
      <w:r>
        <w:rPr>
          <w:rStyle w:val="VerbatimChar"/>
        </w:rPr>
        <w:t xml:space="preserve">3. resources["cpus"]                     global runtime ceiling</w:t>
      </w:r>
      <w:r>
        <w:br/>
      </w:r>
      <w:r>
        <w:rPr>
          <w:rStyle w:val="VerbatimChar"/>
        </w:rPr>
        <w:t xml:space="preserve">4. config/resource_allocation.json       machine configuration</w:t>
      </w:r>
      <w:r>
        <w:br/>
      </w:r>
      <w:r>
        <w:rPr>
          <w:rStyle w:val="VerbatimChar"/>
        </w:rPr>
        <w:t xml:space="preserve">5. psutil (CPU count)                    automatic fallback</w:t>
      </w:r>
    </w:p>
    <w:p>
      <w:pPr>
        <w:pStyle w:val="FirstParagraph"/>
      </w:pPr>
      <w:r>
        <w:t xml:space="preserve">The allocator always ensures</w:t>
      </w:r>
      <w:r>
        <w:t xml:space="preserve"> </w:t>
      </w:r>
      <w:r>
        <w:rPr>
          <w:rStyle w:val="VerbatimChar"/>
        </w:rPr>
        <w:t xml:space="preserve">n_workers * cores_per_item &lt;= max_cores</w:t>
      </w:r>
      <w:r>
        <w:t xml:space="preserve">. If the configured</w:t>
      </w:r>
      <w:r>
        <w:t xml:space="preserve"> </w:t>
      </w:r>
      <w:r>
        <w:rPr>
          <w:rStyle w:val="VerbatimChar"/>
        </w:rPr>
        <w:t xml:space="preserve">cores_per_item</w:t>
      </w:r>
      <w:r>
        <w:t xml:space="preserve"> </w:t>
      </w:r>
      <w:r>
        <w:t xml:space="preserve">would exceed the budget even for a single worker, it is reduced automatically and a warning is emitted.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2026-03-07T16:42:45Z</dcterms:created>
  <dcterms:modified xsi:type="dcterms:W3CDTF">2026-03-07T16:42:45Z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