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rguments-and-parameters-guide"/>
      <w:r>
        <w:t xml:space="preserve">Arguments and Parameters Guide</w:t>
      </w:r>
      <w:bookmarkEnd w:id="20"/>
    </w:p>
    <w:p>
      <w:pPr>
        <w:pStyle w:val="FirstParagraph"/>
      </w:pPr>
      <w:r>
        <w:t xml:space="preserve">openCOSMO-RS Pipeline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ontents"/>
      <w:r>
        <w:t xml:space="preserve">Contents</w:t>
      </w:r>
      <w:bookmarkEnd w:id="21"/>
    </w:p>
    <w:p>
      <w:pPr>
        <w:numPr>
          <w:ilvl w:val="0"/>
          <w:numId w:val="1001"/>
        </w:numPr>
        <w:pStyle w:val="Compact"/>
      </w:pPr>
      <w:hyperlink w:anchor="Xd900a20a5251c7215d908fbcbe6e732b06f4d3b">
        <w:r>
          <w:rPr>
            <w:rStyle w:val="Hyperlink"/>
          </w:rPr>
          <w:t xml:space="preserve">Pipeline spec (</w:t>
        </w:r>
        <w:r>
          <w:rPr>
            <w:rStyle w:val="VerbatimChar"/>
          </w:rPr>
          <w:t xml:space="preserve">request.json</w:t>
        </w:r>
        <w:r>
          <w:rPr>
            <w:rStyle w:val="Hyperlink"/>
          </w:rPr>
          <w:t xml:space="preserve">)</w:t>
        </w:r>
      </w:hyperlink>
    </w:p>
    <w:p>
      <w:pPr>
        <w:numPr>
          <w:ilvl w:val="0"/>
          <w:numId w:val="1001"/>
        </w:numPr>
        <w:pStyle w:val="Compact"/>
      </w:pPr>
      <w:hyperlink w:anchor="X3ec46987f00160d96d23221f14fd3a53c2fa4c1">
        <w:r>
          <w:rPr>
            <w:rStyle w:val="Hyperlink"/>
          </w:rPr>
          <w:t xml:space="preserve">Parameter hierarchy</w:t>
        </w:r>
      </w:hyperlink>
    </w:p>
    <w:p>
      <w:pPr>
        <w:numPr>
          <w:ilvl w:val="0"/>
          <w:numId w:val="1001"/>
        </w:numPr>
        <w:pStyle w:val="Compact"/>
      </w:pPr>
      <w:hyperlink w:anchor="X509ed961b196bcc1d382536805b74c96150cd86">
        <w:r>
          <w:rPr>
            <w:rStyle w:val="Hyperlink"/>
          </w:rPr>
          <w:t xml:space="preserve">Global parameters</w:t>
        </w:r>
      </w:hyperlink>
    </w:p>
    <w:p>
      <w:pPr>
        <w:numPr>
          <w:ilvl w:val="0"/>
          <w:numId w:val="1001"/>
        </w:numPr>
        <w:pStyle w:val="Compact"/>
      </w:pPr>
      <w:hyperlink w:anchor="X22bf64bc5d5801e2b794f4ef0d32cfed5d376f1">
        <w:r>
          <w:rPr>
            <w:rStyle w:val="Hyperlink"/>
          </w:rPr>
          <w:t xml:space="preserve">Cleaning stage parameters</w:t>
        </w:r>
      </w:hyperlink>
    </w:p>
    <w:p>
      <w:pPr>
        <w:numPr>
          <w:ilvl w:val="0"/>
          <w:numId w:val="1001"/>
        </w:numPr>
        <w:pStyle w:val="Compact"/>
      </w:pPr>
      <w:hyperlink w:anchor="X456e07ce21a419fceff6cadd4000f41161271e1">
        <w:r>
          <w:rPr>
            <w:rStyle w:val="Hyperlink"/>
          </w:rPr>
          <w:t xml:space="preserve">Generation stage parameters</w:t>
        </w:r>
      </w:hyperlink>
    </w:p>
    <w:p>
      <w:pPr>
        <w:numPr>
          <w:ilvl w:val="0"/>
          <w:numId w:val="1001"/>
        </w:numPr>
        <w:pStyle w:val="Compact"/>
      </w:pPr>
      <w:hyperlink w:anchor="Xfe2521056f749cceade0230cbf2a4dac15347e5">
        <w:r>
          <w:rPr>
            <w:rStyle w:val="Hyperlink"/>
          </w:rPr>
          <w:t xml:space="preserve">Pruning stage parameters</w:t>
        </w:r>
      </w:hyperlink>
    </w:p>
    <w:p>
      <w:pPr>
        <w:numPr>
          <w:ilvl w:val="0"/>
          <w:numId w:val="1001"/>
        </w:numPr>
        <w:pStyle w:val="Compact"/>
      </w:pPr>
      <w:hyperlink w:anchor="X8cbcd8a113c79aebfa7fd5d4080b2be3cdcd0bf">
        <w:r>
          <w:rPr>
            <w:rStyle w:val="Hyperlink"/>
          </w:rPr>
          <w:t xml:space="preserve">Optimisation stage parameters</w:t>
        </w:r>
      </w:hyperlink>
    </w:p>
    <w:p>
      <w:pPr>
        <w:numPr>
          <w:ilvl w:val="0"/>
          <w:numId w:val="1001"/>
        </w:numPr>
        <w:pStyle w:val="Compact"/>
      </w:pPr>
      <w:hyperlink w:anchor="X7eab532da1b2295edd4cca1f493fd3cbc7788d0">
        <w:r>
          <w:rPr>
            <w:rStyle w:val="Hyperlink"/>
          </w:rPr>
          <w:t xml:space="preserve">OrcaCOSMO stage parameters</w:t>
        </w:r>
      </w:hyperlink>
    </w:p>
    <w:p>
      <w:pPr>
        <w:numPr>
          <w:ilvl w:val="0"/>
          <w:numId w:val="1001"/>
        </w:numPr>
        <w:pStyle w:val="Compact"/>
      </w:pPr>
      <w:hyperlink w:anchor="X639309d9cd9d275a737b5b1d755b3ded28347e3">
        <w:r>
          <w:rPr>
            <w:rStyle w:val="Hyperlink"/>
          </w:rPr>
          <w:t xml:space="preserve">Solubility stage parameters</w:t>
        </w:r>
      </w:hyperlink>
    </w:p>
    <w:p>
      <w:pPr>
        <w:numPr>
          <w:ilvl w:val="0"/>
          <w:numId w:val="1001"/>
        </w:numPr>
        <w:pStyle w:val="Compact"/>
      </w:pPr>
      <w:hyperlink w:anchor="X94b9ce8b88f4549ba13535c037bee3e61e0be72">
        <w:r>
          <w:rPr>
            <w:rStyle w:val="Hyperlink"/>
          </w:rPr>
          <w:t xml:space="preserve">Resource parameters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ipeline-spec-request.json"/>
      <w:r>
        <w:t xml:space="preserve">1. Pipeline spec (</w:t>
      </w:r>
      <w:r>
        <w:rPr>
          <w:rStyle w:val="VerbatimChar"/>
        </w:rPr>
        <w:t xml:space="preserve">request.json</w:t>
      </w:r>
      <w:r>
        <w:t xml:space="preserve">)</w:t>
      </w:r>
      <w:bookmarkEnd w:id="22"/>
    </w:p>
    <w:p>
      <w:pPr>
        <w:pStyle w:val="FirstParagraph"/>
      </w:pPr>
      <w:r>
        <w:t xml:space="preserve">The pipeline is configured in</w:t>
      </w:r>
      <w:r>
        <w:t xml:space="preserve"> </w:t>
      </w:r>
      <w:r>
        <w:rPr>
          <w:rStyle w:val="VerbatimChar"/>
        </w:rPr>
        <w:t xml:space="preserve">modules/main.py</w:t>
      </w:r>
      <w:r>
        <w:t xml:space="preserve"> </w:t>
      </w:r>
      <w:r>
        <w:t xml:space="preserve">and submitted by running</w:t>
      </w:r>
      <w:r>
        <w:t xml:space="preserve"> </w:t>
      </w:r>
      <w:r>
        <w:rPr>
          <w:rStyle w:val="VerbatimChar"/>
        </w:rPr>
        <w:t xml:space="preserve">python3 -m modules.main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pipeline_spec</w:t>
      </w:r>
      <w:r>
        <w:t xml:space="preserve"> </w:t>
      </w:r>
      <w:r>
        <w:t xml:space="preserve">is a list of stage dicts — each entry specifies a stage name and its arguments:</w:t>
      </w:r>
    </w:p>
    <w:p>
      <w:pPr>
        <w:pStyle w:val="SourceCode"/>
      </w:pPr>
      <w:r>
        <w:rPr>
          <w:rStyle w:val="NormalTok"/>
        </w:rPr>
        <w:t xml:space="preserve">pipeline_spec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"cleaning"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"input_csv"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"/path/to/molecules.csv"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"overwrite_metadata"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"generation"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"engine"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"rdkit"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"pruning"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"optimisation"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"engine"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"xtb_opt_normal"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"orcacosmo"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{}},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"solubility"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{}},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parameters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"my_run"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"resources"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"cpus"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"memory_gb"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: config,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3" w:name="pipeline-spec-fields"/>
      <w:r>
        <w:t xml:space="preserve">Pipeline spec fields</w:t>
      </w:r>
      <w:bookmarkEnd w:id="23"/>
    </w:p>
    <w:tbl>
      <w:tblPr>
        <w:tblStyle w:val="Table"/>
        <w:tblW w:type="pct" w:w="5000.0"/>
        <w:tblLook w:firstRow="1"/>
      </w:tblPr>
      <w:tblGrid>
        <w:gridCol w:w="1540"/>
        <w:gridCol w:w="1320"/>
        <w:gridCol w:w="2200"/>
        <w:gridCol w:w="28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Stage name. Valid values:</w:t>
            </w:r>
            <w:r>
              <w:t xml:space="preserve"> </w:t>
            </w:r>
            <w:r>
              <w:rPr>
                <w:rStyle w:val="VerbatimChar"/>
              </w:rPr>
              <w:t xml:space="preserve">cleaning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pruning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optimisation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orcacosmo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solubility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args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Stage-specific parameters. Empty dict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  <w:r>
              <w:t xml:space="preserve"> </w:t>
            </w:r>
            <w:r>
              <w:t xml:space="preserve">uses all defaults.</w:t>
            </w:r>
          </w:p>
        </w:tc>
      </w:tr>
    </w:tbl>
    <w:p>
      <w:pPr>
        <w:pStyle w:val="Heading3"/>
      </w:pPr>
      <w:bookmarkStart w:id="24" w:name="top-level-parameters"/>
      <w:r>
        <w:t xml:space="preserve">Top-level parameters</w:t>
      </w:r>
      <w:bookmarkEnd w:id="24"/>
    </w:p>
    <w:tbl>
      <w:tblPr>
        <w:tblStyle w:val="Table"/>
        <w:tblW w:type="pct" w:w="5000.0"/>
        <w:tblLook w:firstRow="1"/>
      </w:tblPr>
      <w:tblGrid>
        <w:gridCol w:w="1540"/>
        <w:gridCol w:w="1320"/>
        <w:gridCol w:w="2200"/>
        <w:gridCol w:w="28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label for the run.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Runtime resource override —</w:t>
            </w:r>
            <w:r>
              <w:t xml:space="preserve"> </w:t>
            </w:r>
            <w:r>
              <w:rPr>
                <w:rStyle w:val="VerbatimChar"/>
              </w:rPr>
              <w:t xml:space="preserve">cpus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memory_gb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The loaded</w:t>
            </w:r>
            <w:r>
              <w:t xml:space="preserve"> </w:t>
            </w:r>
            <w:r>
              <w:rPr>
                <w:rStyle w:val="VerbatimChar"/>
              </w:rPr>
              <w:t xml:space="preserve">config/paths.json</w:t>
            </w:r>
            <w:r>
              <w:t xml:space="preserve"> </w:t>
            </w:r>
            <w:r>
              <w:t xml:space="preserve">(injected automatically in</w:t>
            </w:r>
            <w:r>
              <w:t xml:space="preserve"> </w:t>
            </w:r>
            <w:r>
              <w:rPr>
                <w:rStyle w:val="VerbatimChar"/>
              </w:rPr>
              <w:t xml:space="preserve">main.py</w:t>
            </w:r>
            <w:r>
              <w:t xml:space="preserve">).</w:t>
            </w:r>
          </w:p>
        </w:tc>
      </w:tr>
    </w:tbl>
    <w:p>
      <w:pPr>
        <w:pStyle w:val="Heading3"/>
      </w:pPr>
      <w:bookmarkStart w:id="25" w:name="repeating-stages"/>
      <w:r>
        <w:t xml:space="preserve">Repeating stages</w:t>
      </w:r>
      <w:bookmarkEnd w:id="25"/>
    </w:p>
    <w:p>
      <w:pPr>
        <w:pStyle w:val="FirstParagraph"/>
      </w:pPr>
      <w:r>
        <w:t xml:space="preserve">Stages can appear more than once in the spec. This is useful for chained optimisation passes with different engines:</w:t>
      </w:r>
    </w:p>
    <w:p>
      <w:pPr>
        <w:pStyle w:val="SourceCode"/>
      </w:pPr>
      <w:r>
        <w:rPr>
          <w:rStyle w:val="NormalTok"/>
        </w:rPr>
        <w:t xml:space="preserve">pipeline_spec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"cleaning"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"input_csv"</w:t>
      </w:r>
      <w:r>
        <w:rPr>
          <w:rStyle w:val="NormalTok"/>
        </w:rPr>
        <w:t xml:space="preserve">: input_csv}},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"generation"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"engine"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"crest"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"optimisation"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"engine"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"xtb_opt_loose"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"optimisation"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"engine"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"gxtb_opt_normal"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"orcacosmo"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{}},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"solubility"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{}},</w:t>
      </w:r>
      <w:r>
        <w:br/>
      </w:r>
      <w:r>
        <w:rPr>
          <w:rStyle w:val="NormalTok"/>
        </w:rPr>
        <w:t xml:space="preserve">]</w:t>
      </w:r>
    </w:p>
    <w:p>
      <w:pPr>
        <w:pStyle w:val="Heading3"/>
      </w:pPr>
      <w:bookmarkStart w:id="26" w:name="execution-mode"/>
      <w:r>
        <w:t xml:space="preserve">Execution mode</w:t>
      </w:r>
      <w:bookmarkEnd w:id="26"/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USE_QUEUE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USE_QUEUE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Enqueue for background worker (recommended)</w:t>
      </w:r>
      <w:r>
        <w:br/>
      </w:r>
      <w:r>
        <w:rPr>
          <w:rStyle w:val="NormalTok"/>
        </w:rPr>
        <w:t xml:space="preserve">USE_QUEUE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Run directly in the foreground</w:t>
      </w:r>
    </w:p>
    <w:p>
      <w:pPr>
        <w:pStyle w:val="FirstParagraph"/>
      </w:pPr>
      <w:r>
        <w:rPr>
          <w:b/>
        </w:rPr>
        <w:t xml:space="preserve">Valid stage names:</w:t>
      </w:r>
      <w:r>
        <w:t xml:space="preserve"> </w:t>
      </w:r>
      <w:r>
        <w:rPr>
          <w:rStyle w:val="VerbatimChar"/>
        </w:rPr>
        <w:t xml:space="preserve">cleaning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pruning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optimisation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orcacosmo</w:t>
      </w:r>
      <w:r>
        <w:t xml:space="preserve">,</w:t>
      </w:r>
      <w:r>
        <w:t xml:space="preserve"> </w:t>
      </w:r>
      <w:r>
        <w:rPr>
          <w:rStyle w:val="VerbatimChar"/>
        </w:rPr>
        <w:t xml:space="preserve">solubility</w:t>
      </w:r>
    </w:p>
    <w:p>
      <w:pPr>
        <w:pStyle w:val="BodyText"/>
      </w:pPr>
      <w:r>
        <w:t xml:space="preserve">You can run partial pipelines by starting mid-sequence. The first stage must receive appropriate input via its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input_csv</w:t>
      </w:r>
      <w:r>
        <w:t xml:space="preserve"> </w:t>
      </w:r>
      <w:r>
        <w:t xml:space="preserve">for cleaning, or</w:t>
      </w:r>
      <w:r>
        <w:t xml:space="preserve"> </w:t>
      </w:r>
      <w:r>
        <w:rPr>
          <w:rStyle w:val="VerbatimChar"/>
        </w:rPr>
        <w:t xml:space="preserve">stage_input</w:t>
      </w:r>
      <w:r>
        <w:t xml:space="preserve"> </w:t>
      </w:r>
      <w:r>
        <w:t xml:space="preserve">pointing to a prior canonical output).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parameter-hierarchy"/>
      <w:r>
        <w:t xml:space="preserve">2. Parameter hierarchy</w:t>
      </w:r>
      <w:bookmarkEnd w:id="27"/>
    </w:p>
    <w:p>
      <w:pPr>
        <w:pStyle w:val="FirstParagraph"/>
      </w:pPr>
      <w:r>
        <w:t xml:space="preserve">Each stage resolves its parameters in order of precedence (highest wins):</w:t>
      </w:r>
    </w:p>
    <w:p>
      <w:pPr>
        <w:pStyle w:val="SourceCode"/>
      </w:pPr>
      <w:r>
        <w:rPr>
          <w:rStyle w:val="VerbatimChar"/>
        </w:rPr>
        <w:t xml:space="preserve">1. stage_args entry in request.json          (runtime override)</w:t>
      </w:r>
      <w:r>
        <w:br/>
      </w:r>
      <w:r>
        <w:rPr>
          <w:rStyle w:val="VerbatimChar"/>
        </w:rPr>
        <w:t xml:space="preserve">2. request-level "strict" / "resources"      (cross-stage overrides)</w:t>
      </w:r>
      <w:r>
        <w:br/>
      </w:r>
      <w:r>
        <w:rPr>
          <w:rStyle w:val="VerbatimChar"/>
        </w:rPr>
        <w:t xml:space="preserve">3. stage defaults JSON  (e.g. optimisation_defaults.json)</w:t>
      </w:r>
      <w:r>
        <w:br/>
      </w:r>
      <w:r>
        <w:rPr>
          <w:rStyle w:val="VerbatimChar"/>
        </w:rPr>
        <w:t xml:space="preserve">4. BaseStage / hard-coded fallback</w:t>
      </w:r>
    </w:p>
    <w:p>
      <w:pPr>
        <w:pStyle w:val="FirstParagraph"/>
      </w:pPr>
      <w:r>
        <w:t xml:space="preserve">For example, if</w:t>
      </w:r>
      <w:r>
        <w:t xml:space="preserve"> </w:t>
      </w:r>
      <w:r>
        <w:rPr>
          <w:rStyle w:val="VerbatimChar"/>
        </w:rPr>
        <w:t xml:space="preserve">optimisation_defaults.json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"engine": "gxtb_opt_normal"</w:t>
      </w:r>
      <w:r>
        <w:t xml:space="preserve"> </w:t>
      </w:r>
      <w:r>
        <w:t xml:space="preserve">and the request’s</w:t>
      </w:r>
      <w:r>
        <w:t xml:space="preserve"> </w:t>
      </w:r>
      <w:r>
        <w:rPr>
          <w:rStyle w:val="VerbatimChar"/>
        </w:rPr>
        <w:t xml:space="preserve">stage_args</w:t>
      </w:r>
      <w:r>
        <w:t xml:space="preserve"> </w:t>
      </w:r>
      <w:r>
        <w:t xml:space="preserve">entry has</w:t>
      </w:r>
      <w:r>
        <w:t xml:space="preserve"> </w:t>
      </w:r>
      <w:r>
        <w:rPr>
          <w:rStyle w:val="VerbatimChar"/>
        </w:rPr>
        <w:t xml:space="preserve">"engine": "orca_opt_fast"</w:t>
      </w:r>
      <w:r>
        <w:t xml:space="preserve">, the request-level value wins.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global-parameters"/>
      <w:r>
        <w:t xml:space="preserve">3. Global parameters</w:t>
      </w:r>
      <w:bookmarkEnd w:id="28"/>
    </w:p>
    <w:p>
      <w:pPr>
        <w:pStyle w:val="FirstParagraph"/>
      </w:pPr>
      <w:r>
        <w:t xml:space="preserve">These can be set at the top level of</w:t>
      </w:r>
      <w:r>
        <w:t xml:space="preserve"> </w:t>
      </w:r>
      <w:r>
        <w:rPr>
          <w:rStyle w:val="VerbatimChar"/>
        </w:rPr>
        <w:t xml:space="preserve">request.json</w:t>
      </w:r>
      <w:r>
        <w:t xml:space="preserve"> </w:t>
      </w:r>
      <w:r>
        <w:t xml:space="preserve">and apply across stages.</w:t>
      </w:r>
    </w:p>
    <w:tbl>
      <w:tblPr>
        <w:tblStyle w:val="Table"/>
        <w:tblW w:type="pct" w:w="5000.0"/>
        <w:tblLook w:firstRow="1"/>
      </w:tblPr>
      <w:tblGrid>
        <w:gridCol w:w="2233"/>
        <w:gridCol w:w="1218"/>
        <w:gridCol w:w="1827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strict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 any per-item failure aborts the entire pool. Each stage can also override this individually.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cleaning-stage-parameters"/>
      <w:r>
        <w:t xml:space="preserve">4. Cleaning stage parameters</w:t>
      </w:r>
      <w:bookmarkEnd w:id="29"/>
    </w:p>
    <w:p>
      <w:pPr>
        <w:pStyle w:val="FirstParagraph"/>
      </w:pPr>
      <w:r>
        <w:t xml:space="preserve">The cleaning stage accepts raw CSV(s), canonicalises SMILES, generates InChIKeys, resolves charge/multiplicity/melting point, and writes</w:t>
      </w:r>
      <w:r>
        <w:t xml:space="preserve"> </w:t>
      </w:r>
      <w:r>
        <w:rPr>
          <w:rStyle w:val="VerbatimChar"/>
        </w:rPr>
        <w:t xml:space="preserve">cleaned.csv</w:t>
      </w:r>
      <w:r>
        <w:t xml:space="preserve"> </w:t>
      </w:r>
      <w:r>
        <w:t xml:space="preserve">and per-molecule metadata.</w:t>
      </w:r>
    </w:p>
    <w:p>
      <w:pPr>
        <w:pStyle w:val="Heading3"/>
      </w:pPr>
      <w:bookmarkStart w:id="30" w:name="input-source-parameters"/>
      <w:r>
        <w:t xml:space="preserve">Input source parameters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input_csv</w:t>
            </w:r>
          </w:p>
        </w:tc>
        <w:tc>
          <w:p>
            <w:pPr>
              <w:pStyle w:val="Compact"/>
              <w:jc w:val="left"/>
            </w:pPr>
            <w:r>
              <w:t xml:space="preserve">string or list</w:t>
            </w:r>
          </w:p>
        </w:tc>
        <w:tc>
          <w:p>
            <w:pPr>
              <w:pStyle w:val="Compact"/>
              <w:jc w:val="left"/>
            </w:pPr>
            <w:r>
              <w:t xml:space="preserve">Path to a single CSV or list of CSV paths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input_csvs</w:t>
            </w:r>
          </w:p>
        </w:tc>
        <w:tc>
          <w:p>
            <w:pPr>
              <w:pStyle w:val="Compact"/>
              <w:jc w:val="left"/>
            </w:pPr>
            <w:r>
              <w:t xml:space="preserve">string or list</w:t>
            </w:r>
          </w:p>
        </w:tc>
        <w:tc>
          <w:p>
            <w:pPr>
              <w:pStyle w:val="Compact"/>
              <w:jc w:val="left"/>
            </w:pPr>
            <w:r>
              <w:t xml:space="preserve">Alias for</w:t>
            </w:r>
            <w:r>
              <w:t xml:space="preserve"> </w:t>
            </w:r>
            <w:r>
              <w:rPr>
                <w:rStyle w:val="VerbatimChar"/>
              </w:rPr>
              <w:t xml:space="preserve">input_csv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input_folder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Path to a directory — all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 </w:t>
            </w:r>
            <w:r>
              <w:t xml:space="preserve">files within are loaded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input_folders</w:t>
            </w:r>
          </w:p>
        </w:tc>
        <w:tc>
          <w:p>
            <w:pPr>
              <w:pStyle w:val="Compact"/>
              <w:jc w:val="left"/>
            </w:pPr>
            <w:r>
              <w:t xml:space="preserve">string or list</w:t>
            </w:r>
          </w:p>
        </w:tc>
        <w:tc>
          <w:p>
            <w:pPr>
              <w:pStyle w:val="Compact"/>
              <w:jc w:val="left"/>
            </w:pPr>
            <w:r>
              <w:t xml:space="preserve">List of directories</w:t>
            </w:r>
          </w:p>
        </w:tc>
      </w:tr>
    </w:tbl>
    <w:p>
      <w:pPr>
        <w:pStyle w:val="BodyText"/>
      </w:pPr>
      <w:r>
        <w:t xml:space="preserve">At least one of the above is required.</w:t>
      </w:r>
    </w:p>
    <w:p>
      <w:pPr>
        <w:pStyle w:val="Heading3"/>
      </w:pPr>
      <w:bookmarkStart w:id="31" w:name="behaviour-parameters"/>
      <w:r>
        <w:t xml:space="preserve">Behaviour parameters</w:t>
      </w:r>
      <w:bookmarkEnd w:id="31"/>
    </w:p>
    <w:tbl>
      <w:tblPr>
        <w:tblStyle w:val="Table"/>
        <w:tblW w:type="pct" w:w="5000.0"/>
        <w:tblLook w:firstRow="1"/>
      </w:tblPr>
      <w:tblGrid>
        <w:gridCol w:w="2233"/>
        <w:gridCol w:w="1218"/>
        <w:gridCol w:w="1827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strict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 any row that fails validation causes the stage to abort</w:t>
            </w:r>
          </w:p>
        </w:tc>
      </w:tr>
    </w:tbl>
    <w:p>
      <w:pPr>
        <w:pStyle w:val="Heading3"/>
      </w:pPr>
      <w:bookmarkStart w:id="32" w:name="input-csv-columns"/>
      <w:r>
        <w:t xml:space="preserve">Input CSV columns</w:t>
      </w:r>
      <w:bookmarkEnd w:id="32"/>
    </w:p>
    <w:tbl>
      <w:tblPr>
        <w:tblStyle w:val="Table"/>
        <w:tblW w:type="pct" w:w="5000.0"/>
        <w:tblLook w:firstRow="1"/>
      </w:tblPr>
      <w:tblGrid>
        <w:gridCol w:w="2043"/>
        <w:gridCol w:w="2554"/>
        <w:gridCol w:w="332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smiles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SMILES string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mol_name</w:t>
            </w:r>
          </w:p>
        </w:tc>
        <w:tc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molecule name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Formal charge (integer). If absent, RDKit or default (0) used per molecule.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multiplicity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Spin multiplicity. If absent, RDKit (closed-shell) or default (1) used.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melting_temp_c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Melting point in Celsius. Used for solubility saturation correction.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melting_temp_source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Source label for the melting point (e.g. </w:t>
            </w:r>
            <w:r>
              <w:rPr>
                <w:rStyle w:val="VerbatimChar"/>
              </w:rPr>
              <w:t xml:space="preserve">"ChemBook"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"user_input"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charge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multiplicity</w:t>
      </w:r>
      <w:r>
        <w:t xml:space="preserve"> </w:t>
      </w:r>
      <w:r>
        <w:t xml:space="preserve">columns are absent, a</w:t>
      </w:r>
      <w:r>
        <w:t xml:space="preserve"> </w:t>
      </w:r>
      <w:r>
        <w:rPr>
          <w:rStyle w:val="VerbatimChar"/>
        </w:rPr>
        <w:t xml:space="preserve">[WARNING]</w:t>
      </w:r>
      <w:r>
        <w:t xml:space="preserve"> </w:t>
      </w:r>
      <w:r>
        <w:t xml:space="preserve">is emitted in the log with a per-file breakdown of how many molecules received RDKit-computed vs default values.</w:t>
      </w:r>
    </w:p>
    <w:p>
      <w:pPr>
        <w:pStyle w:val="Heading3"/>
      </w:pPr>
      <w:bookmarkStart w:id="33" w:name="outputs"/>
      <w:r>
        <w:t xml:space="preserve">Outputs</w:t>
      </w:r>
      <w:bookmarkEnd w:id="33"/>
    </w:p>
    <w:tbl>
      <w:tblPr>
        <w:tblStyle w:val="Table"/>
        <w:tblW w:type="pct" w:w="5000.0"/>
        <w:tblLook w:firstRow="1"/>
      </w:tblPr>
      <w:tblGrid>
        <w:gridCol w:w="2501"/>
        <w:gridCol w:w="54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outputs/cleaned.csv</w:t>
            </w:r>
          </w:p>
        </w:tc>
        <w:tc>
          <w:p>
            <w:pPr>
              <w:pStyle w:val="Compact"/>
              <w:jc w:val="left"/>
            </w:pPr>
            <w:r>
              <w:t xml:space="preserve">Unified, canonicalised dataset for downstream stages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outputs/molecule_metadata/&lt;inchi_key&gt;.json</w:t>
            </w:r>
          </w:p>
        </w:tc>
        <w:tc>
          <w:p>
            <w:pPr>
              <w:pStyle w:val="Compact"/>
              <w:jc w:val="left"/>
            </w:pPr>
            <w:r>
              <w:t xml:space="preserve">Per-molecule physchem descriptors, charge, multiplicity, melting point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generation-stage-parameters"/>
      <w:r>
        <w:t xml:space="preserve">5. Generation stage parameters</w:t>
      </w:r>
      <w:bookmarkEnd w:id="34"/>
    </w:p>
    <w:p>
      <w:pPr>
        <w:pStyle w:val="FirstParagraph"/>
      </w:pPr>
      <w:r>
        <w:t xml:space="preserve">Generates 3D conformers for each unique molecule in</w:t>
      </w:r>
      <w:r>
        <w:t xml:space="preserve"> </w:t>
      </w:r>
      <w:r>
        <w:rPr>
          <w:rStyle w:val="VerbatimChar"/>
        </w:rPr>
        <w:t xml:space="preserve">cleaned.csv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2233"/>
        <w:gridCol w:w="1218"/>
        <w:gridCol w:w="1827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"rdkit"</w:t>
            </w:r>
          </w:p>
        </w:tc>
        <w:tc>
          <w:p>
            <w:pPr>
              <w:pStyle w:val="Compact"/>
              <w:jc w:val="left"/>
            </w:pPr>
            <w:r>
              <w:t xml:space="preserve">Conformer generation backend:</w:t>
            </w:r>
            <w:r>
              <w:t xml:space="preserve"> </w:t>
            </w:r>
            <w:r>
              <w:rPr>
                <w:rStyle w:val="VerbatimChar"/>
              </w:rPr>
              <w:t xml:space="preserve">"rdkit"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"crest"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"openbabel"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num_confs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engine-dependent</w:t>
            </w:r>
          </w:p>
        </w:tc>
        <w:tc>
          <w:p>
            <w:pPr>
              <w:pStyle w:val="Compact"/>
              <w:jc w:val="left"/>
            </w:pPr>
            <w:r>
              <w:t xml:space="preserve">Maximum number of conformers to generate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Random seed for reproducibility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gfn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"gfn2"</w:t>
            </w:r>
          </w:p>
        </w:tc>
        <w:tc>
          <w:p>
            <w:pPr>
              <w:pStyle w:val="Compact"/>
              <w:jc w:val="left"/>
            </w:pPr>
            <w:r>
              <w:t xml:space="preserve">GFN version for CREST (e.g. </w:t>
            </w:r>
            <w:r>
              <w:rPr>
                <w:rStyle w:val="VerbatimChar"/>
              </w:rPr>
              <w:t xml:space="preserve">"gfn2"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strict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Abort on first per-molecule failure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global_fail_threshold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0.8</w:t>
            </w:r>
          </w:p>
        </w:tc>
        <w:tc>
          <w:p>
            <w:pPr>
              <w:pStyle w:val="Compact"/>
              <w:jc w:val="left"/>
            </w:pPr>
            <w:r>
              <w:t xml:space="preserve">If the fraction of failures exceeds this, the stage raises an error</w:t>
            </w:r>
          </w:p>
        </w:tc>
      </w:tr>
    </w:tbl>
    <w:p>
      <w:pPr>
        <w:pStyle w:val="Heading3"/>
      </w:pPr>
      <w:bookmarkStart w:id="35" w:name="engine-comparison"/>
      <w:r>
        <w:t xml:space="preserve">Engine comparison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Parallelism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rdkit</w:t>
            </w:r>
          </w:p>
        </w:tc>
        <w:tc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p>
            <w:pPr>
              <w:pStyle w:val="Compact"/>
              <w:jc w:val="left"/>
            </w:pPr>
            <w:r>
              <w:t xml:space="preserve">Medium (ETKDGv3 + MMFF energy)</w:t>
            </w:r>
          </w:p>
        </w:tc>
        <w:tc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p>
            <w:pPr>
              <w:pStyle w:val="Compact"/>
              <w:jc w:val="left"/>
            </w:pPr>
            <w:r>
              <w:t xml:space="preserve">RDKit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crest</w:t>
            </w:r>
          </w:p>
        </w:tc>
        <w:tc>
          <w:p>
            <w:pPr>
              <w:pStyle w:val="Compact"/>
              <w:jc w:val="left"/>
            </w:pPr>
            <w:r>
              <w:t xml:space="preserve">Slow</w:t>
            </w:r>
          </w:p>
        </w:tc>
        <w:tc>
          <w:p>
            <w:pPr>
              <w:pStyle w:val="Compact"/>
              <w:jc w:val="left"/>
            </w:pPr>
            <w:r>
              <w:t xml:space="preserve">High (iMTD-GC conformer search)</w:t>
            </w:r>
          </w:p>
        </w:tc>
        <w:tc>
          <w:p>
            <w:pPr>
              <w:pStyle w:val="Compact"/>
              <w:jc w:val="left"/>
            </w:pPr>
            <w:r>
              <w:t xml:space="preserve">Parallel</w:t>
            </w:r>
          </w:p>
        </w:tc>
        <w:tc>
          <w:p>
            <w:pPr>
              <w:pStyle w:val="Compact"/>
              <w:jc w:val="left"/>
            </w:pPr>
            <w:r>
              <w:t xml:space="preserve">CREST binary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openbabel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 (genetic algorithm)</w:t>
            </w:r>
          </w:p>
        </w:tc>
        <w:tc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obabel</w:t>
            </w:r>
            <w:r>
              <w:t xml:space="preserve"> </w:t>
            </w:r>
            <w:r>
              <w:t xml:space="preserve">on PATH</w:t>
            </w:r>
          </w:p>
        </w:tc>
      </w:tr>
    </w:tbl>
    <w:p>
      <w:pPr>
        <w:pStyle w:val="Heading3"/>
      </w:pPr>
      <w:bookmarkStart w:id="36" w:name="outputs-1"/>
      <w:r>
        <w:t xml:space="preserve">Outputs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outputs/energies.json</w:t>
            </w:r>
          </w:p>
        </w:tc>
        <w:tc>
          <w:p>
            <w:pPr>
              <w:pStyle w:val="Compact"/>
              <w:jc w:val="left"/>
            </w:pPr>
            <w:r>
              <w:t xml:space="preserve">ConformerSet JSON — one entry per conformer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outputs/xyz/&lt;inchi_key&gt;_conf&lt;NNN&gt;.xyz</w:t>
            </w:r>
          </w:p>
        </w:tc>
        <w:tc>
          <w:p>
            <w:pPr>
              <w:pStyle w:val="Compact"/>
              <w:jc w:val="left"/>
            </w:pPr>
            <w:r>
              <w:t xml:space="preserve">3D coordinates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outputs/summary.csv</w:t>
            </w:r>
          </w:p>
        </w:tc>
        <w:tc>
          <w:p>
            <w:pPr>
              <w:pStyle w:val="Compact"/>
              <w:jc w:val="left"/>
            </w:pPr>
            <w:r>
              <w:t xml:space="preserve">Per-molecule summary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pruning-stage-parameters"/>
      <w:r>
        <w:t xml:space="preserve">6. Pruning stage parameters</w:t>
      </w:r>
      <w:bookmarkEnd w:id="37"/>
    </w:p>
    <w:p>
      <w:pPr>
        <w:pStyle w:val="FirstParagraph"/>
      </w:pPr>
      <w:r>
        <w:t xml:space="preserve">Reduces the conformer set by energy window and/or RMSD deduplication. Takes</w:t>
      </w:r>
      <w:r>
        <w:t xml:space="preserve"> </w:t>
      </w:r>
      <w:r>
        <w:rPr>
          <w:rStyle w:val="VerbatimChar"/>
        </w:rPr>
        <w:t xml:space="preserve">energies.json</w:t>
      </w:r>
      <w:r>
        <w:t xml:space="preserve"> </w:t>
      </w:r>
      <w:r>
        <w:t xml:space="preserve">from generation and outputs a filtered</w:t>
      </w:r>
      <w:r>
        <w:t xml:space="preserve"> </w:t>
      </w:r>
      <w:r>
        <w:rPr>
          <w:rStyle w:val="VerbatimChar"/>
        </w:rPr>
        <w:t xml:space="preserve">energies.json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2233"/>
        <w:gridCol w:w="1218"/>
        <w:gridCol w:w="1827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energy_window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5.0</w:t>
            </w:r>
          </w:p>
        </w:tc>
        <w:tc>
          <w:p>
            <w:pPr>
              <w:pStyle w:val="Compact"/>
              <w:jc w:val="left"/>
            </w:pPr>
            <w:r>
              <w:t xml:space="preserve">Keep conformers within this energy window of the minimum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energy_window_units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"kcal"</w:t>
            </w:r>
          </w:p>
        </w:tc>
        <w:tc>
          <w:p>
            <w:pPr>
              <w:pStyle w:val="Compact"/>
              <w:jc w:val="left"/>
            </w:pPr>
            <w:r>
              <w:t xml:space="preserve">Units for</w:t>
            </w:r>
            <w:r>
              <w:t xml:space="preserve"> </w:t>
            </w:r>
            <w:r>
              <w:rPr>
                <w:rStyle w:val="VerbatimChar"/>
              </w:rPr>
              <w:t xml:space="preserve">energy_window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"kcal"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"kj"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rmsd_threshold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RMSD threshold (Angstrom) for deduplication. Conformers more similar than this are merged (lowest energy kept).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keep_all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 skip pruning and pass all conformers through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max_energy</w:t>
            </w:r>
          </w:p>
        </w:tc>
        <w:tc>
          <w:p>
            <w:pPr>
              <w:pStyle w:val="Compact"/>
              <w:jc w:val="left"/>
            </w:pPr>
            <w:r>
              <w:t xml:space="preserve">float or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Absolute energy ceiling (in native units). Conformers above this are discarded.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percentile</w:t>
            </w:r>
          </w:p>
        </w:tc>
        <w:tc>
          <w:p>
            <w:pPr>
              <w:pStyle w:val="Compact"/>
              <w:jc w:val="left"/>
            </w:pPr>
            <w:r>
              <w:t xml:space="preserve">float or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Keep only conformers in the lowest N-th percentile by energy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int or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Keep at most N conformers per molecule (lowest energy)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n_high</w:t>
            </w:r>
          </w:p>
        </w:tc>
        <w:tc>
          <w:p>
            <w:pPr>
              <w:pStyle w:val="Compact"/>
              <w:jc w:val="left"/>
            </w:pPr>
            <w:r>
              <w:t xml:space="preserve">int or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Additionally keep at most N conformers from the high-energy tail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n_start</w:t>
            </w:r>
          </w:p>
        </w:tc>
        <w:tc>
          <w:p>
            <w:pPr>
              <w:pStyle w:val="Compact"/>
              <w:jc w:val="left"/>
            </w:pPr>
            <w:r>
              <w:t xml:space="preserve">int or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Keep at most N conformers from the start of the sorted list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strict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Abort on first failure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optimisation-stage-parameters"/>
      <w:r>
        <w:t xml:space="preserve">7. Optimisation stage parameters</w:t>
      </w:r>
      <w:bookmarkEnd w:id="38"/>
    </w:p>
    <w:p>
      <w:pPr>
        <w:pStyle w:val="FirstParagraph"/>
      </w:pPr>
      <w:r>
        <w:t xml:space="preserve">Geometry-optimises each conformer using the selected engine. Takes</w:t>
      </w:r>
      <w:r>
        <w:t xml:space="preserve"> </w:t>
      </w:r>
      <w:r>
        <w:rPr>
          <w:rStyle w:val="VerbatimChar"/>
        </w:rPr>
        <w:t xml:space="preserve">energies.json</w:t>
      </w:r>
      <w:r>
        <w:t xml:space="preserve"> </w:t>
      </w:r>
      <w:r>
        <w:t xml:space="preserve">and outputs a new</w:t>
      </w:r>
      <w:r>
        <w:t xml:space="preserve"> </w:t>
      </w:r>
      <w:r>
        <w:rPr>
          <w:rStyle w:val="VerbatimChar"/>
        </w:rPr>
        <w:t xml:space="preserve">energies.json</w:t>
      </w:r>
      <w:r>
        <w:t xml:space="preserve"> </w:t>
      </w:r>
      <w:r>
        <w:t xml:space="preserve">with updated geometries and energies.</w:t>
      </w:r>
    </w:p>
    <w:tbl>
      <w:tblPr>
        <w:tblStyle w:val="Table"/>
        <w:tblW w:type="pct" w:w="5000.0"/>
        <w:tblLook w:firstRow="1"/>
      </w:tblPr>
      <w:tblGrid>
        <w:gridCol w:w="2233"/>
        <w:gridCol w:w="1218"/>
        <w:gridCol w:w="1827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"gxtb_opt_normal"</w:t>
            </w:r>
          </w:p>
        </w:tc>
        <w:tc>
          <w:p>
            <w:pPr>
              <w:pStyle w:val="Compact"/>
              <w:jc w:val="left"/>
            </w:pPr>
            <w:r>
              <w:t xml:space="preserve">Optimisation engine key — must match a key in</w:t>
            </w:r>
            <w:r>
              <w:t xml:space="preserve"> </w:t>
            </w:r>
            <w:r>
              <w:rPr>
                <w:rStyle w:val="VerbatimChar"/>
              </w:rPr>
              <w:t xml:space="preserve">optimisation_engines.json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max_iter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250</w:t>
            </w:r>
          </w:p>
        </w:tc>
        <w:tc>
          <w:p>
            <w:pPr>
              <w:pStyle w:val="Compact"/>
              <w:jc w:val="left"/>
            </w:pPr>
            <w:r>
              <w:t xml:space="preserve">Maximum optimisation iterations (passed to engine)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keep_scratch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Retain per-conformer scratch directories after completion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strict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Abort pool on first failure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global_fail_threshold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0.8</w:t>
            </w:r>
          </w:p>
        </w:tc>
        <w:tc>
          <w:p>
            <w:pPr>
              <w:pStyle w:val="Compact"/>
              <w:jc w:val="left"/>
            </w:pPr>
            <w:r>
              <w:t xml:space="preserve">Raise error if failure fraction exceeds this</w:t>
            </w:r>
          </w:p>
        </w:tc>
      </w:tr>
    </w:tbl>
    <w:p>
      <w:pPr>
        <w:pStyle w:val="Heading3"/>
      </w:pPr>
      <w:bookmarkStart w:id="39" w:name="available-engines"/>
      <w:r>
        <w:t xml:space="preserve">Available engines</w:t>
      </w:r>
      <w:bookmarkEnd w:id="39"/>
    </w:p>
    <w:p>
      <w:pPr>
        <w:pStyle w:val="Heading4"/>
      </w:pPr>
      <w:bookmarkStart w:id="40" w:name="Xa9a89c188f63a223d0b57d5ec27a25a51ec0647"/>
      <w:r>
        <w:t xml:space="preserve">gXTB engines (recommended for large batches)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Engine 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gxtb_opt_loose</w:t>
            </w:r>
          </w:p>
        </w:tc>
        <w:tc>
          <w:p>
            <w:pPr>
              <w:pStyle w:val="Compact"/>
              <w:jc w:val="left"/>
            </w:pPr>
            <w:r>
              <w:t xml:space="preserve">loose</w:t>
            </w:r>
          </w:p>
        </w:tc>
        <w:tc>
          <w:p>
            <w:pPr>
              <w:pStyle w:val="Compact"/>
              <w:jc w:val="left"/>
            </w:pPr>
            <w:r>
              <w:t xml:space="preserve">Fastest, least converged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gxtb_opt_normal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Default</w:t>
            </w:r>
            <w:r>
              <w:t xml:space="preserve"> </w:t>
            </w:r>
            <w:r>
              <w:t xml:space="preserve">— good balance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gxtb_opt_tight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  <w:tc>
          <w:p>
            <w:pPr>
              <w:pStyle w:val="Compact"/>
              <w:jc w:val="left"/>
            </w:pPr>
            <w:r>
              <w:t xml:space="preserve">More thorough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gxtb_opt_vtight</w:t>
            </w:r>
          </w:p>
        </w:tc>
        <w:tc>
          <w:p>
            <w:pPr>
              <w:pStyle w:val="Compact"/>
              <w:jc w:val="left"/>
            </w:pPr>
            <w:r>
              <w:t xml:space="preserve">vtight</w:t>
            </w:r>
          </w:p>
        </w:tc>
        <w:tc>
          <w:p>
            <w:pPr>
              <w:pStyle w:val="Compact"/>
              <w:jc w:val="left"/>
            </w:pPr>
            <w:r>
              <w:t xml:space="preserve">Most thorough</w:t>
            </w:r>
          </w:p>
        </w:tc>
      </w:tr>
    </w:tbl>
    <w:p>
      <w:pPr>
        <w:pStyle w:val="Heading4"/>
      </w:pPr>
      <w:bookmarkStart w:id="41" w:name="xtb-engines"/>
      <w:r>
        <w:t xml:space="preserve">XTB engines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Engine 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xtb_opt_loose</w:t>
            </w:r>
          </w:p>
        </w:tc>
        <w:tc>
          <w:p>
            <w:pPr>
              <w:pStyle w:val="Compact"/>
              <w:jc w:val="left"/>
            </w:pPr>
            <w:r>
              <w:t xml:space="preserve">loose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xtb_opt_normal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xtb_opt_tight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xtb_opt_vtight</w:t>
            </w:r>
          </w:p>
        </w:tc>
        <w:tc>
          <w:p>
            <w:pPr>
              <w:pStyle w:val="Compact"/>
              <w:jc w:val="left"/>
            </w:pPr>
            <w:r>
              <w:t xml:space="preserve">vtight</w:t>
            </w:r>
          </w:p>
        </w:tc>
      </w:tr>
    </w:tbl>
    <w:p>
      <w:pPr>
        <w:pStyle w:val="Heading4"/>
      </w:pPr>
      <w:bookmarkStart w:id="42" w:name="orca-engines"/>
      <w:r>
        <w:t xml:space="preserve">ORCA engines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Engine 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orca_opt_fast</w:t>
            </w:r>
          </w:p>
        </w:tc>
        <w:tc>
          <w:p>
            <w:pPr>
              <w:pStyle w:val="Compact"/>
              <w:jc w:val="left"/>
            </w:pPr>
            <w:r>
              <w:t xml:space="preserve">BP86</w:t>
            </w:r>
          </w:p>
        </w:tc>
        <w:tc>
          <w:p>
            <w:pPr>
              <w:pStyle w:val="Compact"/>
              <w:jc w:val="left"/>
            </w:pPr>
            <w:r>
              <w:t xml:space="preserve">def2-TZVP(-f)</w:t>
            </w:r>
          </w:p>
        </w:tc>
        <w:tc>
          <w:p>
            <w:pPr>
              <w:pStyle w:val="Compact"/>
              <w:jc w:val="left"/>
            </w:pPr>
            <w:r>
              <w:t xml:space="preserve">DFT optimisation, no solvation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orca_opt_final</w:t>
            </w:r>
          </w:p>
        </w:tc>
        <w:tc>
          <w:p>
            <w:pPr>
              <w:pStyle w:val="Compact"/>
              <w:jc w:val="left"/>
            </w:pPr>
            <w:r>
              <w:t xml:space="preserve">BP86</w:t>
            </w:r>
          </w:p>
        </w:tc>
        <w:tc>
          <w:p>
            <w:pPr>
              <w:pStyle w:val="Compact"/>
              <w:jc w:val="left"/>
            </w:pPr>
            <w:r>
              <w:t xml:space="preserve">def2-TZVP</w:t>
            </w:r>
          </w:p>
        </w:tc>
        <w:tc>
          <w:p>
            <w:pPr>
              <w:pStyle w:val="Compact"/>
              <w:jc w:val="left"/>
            </w:pPr>
            <w:r>
              <w:t xml:space="preserve">DFT optimisation, no solvation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orca_opt_cpcm_fast</w:t>
            </w:r>
          </w:p>
        </w:tc>
        <w:tc>
          <w:p>
            <w:pPr>
              <w:pStyle w:val="Compact"/>
              <w:jc w:val="left"/>
            </w:pPr>
            <w:r>
              <w:t xml:space="preserve">BP86</w:t>
            </w:r>
          </w:p>
        </w:tc>
        <w:tc>
          <w:p>
            <w:pPr>
              <w:pStyle w:val="Compact"/>
              <w:jc w:val="left"/>
            </w:pPr>
            <w:r>
              <w:t xml:space="preserve">def2-TZVP(-f)</w:t>
            </w:r>
          </w:p>
        </w:tc>
        <w:tc>
          <w:p>
            <w:pPr>
              <w:pStyle w:val="Compact"/>
              <w:jc w:val="left"/>
            </w:pPr>
            <w:r>
              <w:t xml:space="preserve">DFT + CPCM solvation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orca_opt_cpcm_final</w:t>
            </w:r>
          </w:p>
        </w:tc>
        <w:tc>
          <w:p>
            <w:pPr>
              <w:pStyle w:val="Compact"/>
              <w:jc w:val="left"/>
            </w:pPr>
            <w:r>
              <w:t xml:space="preserve">BP86</w:t>
            </w:r>
          </w:p>
        </w:tc>
        <w:tc>
          <w:p>
            <w:pPr>
              <w:pStyle w:val="Compact"/>
              <w:jc w:val="left"/>
            </w:pPr>
            <w:r>
              <w:t xml:space="preserve">def2-TZVP</w:t>
            </w:r>
          </w:p>
        </w:tc>
        <w:tc>
          <w:p>
            <w:pPr>
              <w:pStyle w:val="Compact"/>
              <w:jc w:val="left"/>
            </w:pPr>
            <w:r>
              <w:t xml:space="preserve">DFT + CPCM solvation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orca_sp_fast</w:t>
            </w:r>
          </w:p>
        </w:tc>
        <w:tc>
          <w:p>
            <w:pPr>
              <w:pStyle w:val="Compact"/>
              <w:jc w:val="left"/>
            </w:pPr>
            <w:r>
              <w:t xml:space="preserve">BP86</w:t>
            </w:r>
          </w:p>
        </w:tc>
        <w:tc>
          <w:p>
            <w:pPr>
              <w:pStyle w:val="Compact"/>
              <w:jc w:val="left"/>
            </w:pPr>
            <w:r>
              <w:t xml:space="preserve">def2-TZVP</w:t>
            </w:r>
          </w:p>
        </w:tc>
        <w:tc>
          <w:p>
            <w:pPr>
              <w:pStyle w:val="Compact"/>
              <w:jc w:val="left"/>
            </w:pPr>
            <w:r>
              <w:t xml:space="preserve">Single-point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orca_sp_final</w:t>
            </w:r>
          </w:p>
        </w:tc>
        <w:tc>
          <w:p>
            <w:pPr>
              <w:pStyle w:val="Compact"/>
              <w:jc w:val="left"/>
            </w:pPr>
            <w:r>
              <w:t xml:space="preserve">BP86</w:t>
            </w:r>
          </w:p>
        </w:tc>
        <w:tc>
          <w:p>
            <w:pPr>
              <w:pStyle w:val="Compact"/>
              <w:jc w:val="left"/>
            </w:pPr>
            <w:r>
              <w:t xml:space="preserve">def2-TZVPD</w:t>
            </w:r>
          </w:p>
        </w:tc>
        <w:tc>
          <w:p>
            <w:pPr>
              <w:pStyle w:val="Compact"/>
              <w:jc w:val="left"/>
            </w:pPr>
            <w:r>
              <w:t xml:space="preserve">Single-point with CPCM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orca_xtb2_alpb_opt</w:t>
            </w:r>
          </w:p>
        </w:tc>
        <w:tc>
          <w:p>
            <w:pPr>
              <w:pStyle w:val="Compact"/>
              <w:jc w:val="left"/>
            </w:pPr>
            <w:r>
              <w:t xml:space="preserve">XTB2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ORCA-driven xTB2 with ALPB solvation</w:t>
            </w:r>
          </w:p>
        </w:tc>
      </w:tr>
    </w:tbl>
    <w:p>
      <w:pPr>
        <w:pStyle w:val="Heading4"/>
      </w:pPr>
      <w:bookmarkStart w:id="43" w:name="X9bdd53c90e780f34fa4a0bfad1d8c36926aaa2b"/>
      <w:r>
        <w:t xml:space="preserve">Force field engines (fast pre-optimisation)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Engine 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Force field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forcefield_mmff</w:t>
            </w:r>
          </w:p>
        </w:tc>
        <w:tc>
          <w:p>
            <w:pPr>
              <w:pStyle w:val="Compact"/>
              <w:jc w:val="left"/>
            </w:pPr>
            <w:r>
              <w:t xml:space="preserve">MMFF94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forcefield_uff</w:t>
            </w:r>
          </w:p>
        </w:tc>
        <w:tc>
          <w:p>
            <w:pPr>
              <w:pStyle w:val="Compact"/>
              <w:jc w:val="left"/>
            </w:pPr>
            <w:r>
              <w:t xml:space="preserve">UFF</w:t>
            </w:r>
          </w:p>
        </w:tc>
      </w:tr>
    </w:tbl>
    <w:p>
      <w:pPr>
        <w:pStyle w:val="Heading3"/>
      </w:pPr>
      <w:bookmarkStart w:id="44" w:name="outputs-2"/>
      <w:r>
        <w:t xml:space="preserve">Outputs</w:t>
      </w:r>
      <w:bookmarkEnd w:id="44"/>
    </w:p>
    <w:tbl>
      <w:tblPr>
        <w:tblStyle w:val="Table"/>
        <w:tblW w:type="pct" w:w="5000.0"/>
        <w:tblLook w:firstRow="1"/>
      </w:tblPr>
      <w:tblGrid>
        <w:gridCol w:w="2501"/>
        <w:gridCol w:w="54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outputs/energies.json</w:t>
            </w:r>
          </w:p>
        </w:tc>
        <w:tc>
          <w:p>
            <w:pPr>
              <w:pStyle w:val="Compact"/>
              <w:jc w:val="left"/>
            </w:pPr>
            <w:r>
              <w:t xml:space="preserve">Updated ConformerSet with optimisation_history entries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outputs/xyz/&lt;lookup_id&gt;_opt&lt;N&gt;.xyz</w:t>
            </w:r>
          </w:p>
        </w:tc>
        <w:tc>
          <w:p>
            <w:pPr>
              <w:pStyle w:val="Compact"/>
              <w:jc w:val="left"/>
            </w:pPr>
            <w:r>
              <w:t xml:space="preserve">Optimised geometry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outputs/log/&lt;lookup_id&gt;_opt&lt;N&gt;.log</w:t>
            </w:r>
          </w:p>
        </w:tc>
        <w:tc>
          <w:p>
            <w:pPr>
              <w:pStyle w:val="Compact"/>
              <w:jc w:val="left"/>
            </w:pPr>
            <w:r>
              <w:t xml:space="preserve">Engine log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outputs/optimisation_summary.csv</w:t>
            </w:r>
          </w:p>
        </w:tc>
        <w:tc>
          <w:p>
            <w:pPr>
              <w:pStyle w:val="Compact"/>
              <w:jc w:val="left"/>
            </w:pPr>
            <w:r>
              <w:t xml:space="preserve">Per-conformer summary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orcacosmo-stage-parameters"/>
      <w:r>
        <w:t xml:space="preserve">8. OrcaCOSMO stage parameters</w:t>
      </w:r>
      <w:bookmarkEnd w:id="45"/>
    </w:p>
    <w:p>
      <w:pPr>
        <w:pStyle w:val="FirstParagraph"/>
      </w:pPr>
      <w:r>
        <w:t xml:space="preserve">Runs ORCA CPCM COSMO single-point calculations to produce</w:t>
      </w:r>
      <w:r>
        <w:t xml:space="preserve"> </w:t>
      </w:r>
      <w:r>
        <w:rPr>
          <w:rStyle w:val="VerbatimChar"/>
        </w:rPr>
        <w:t xml:space="preserve">.orcacosmo</w:t>
      </w:r>
      <w:r>
        <w:t xml:space="preserve"> </w:t>
      </w:r>
      <w:r>
        <w:t xml:space="preserve">files for openCOSMO-RS.</w:t>
      </w:r>
    </w:p>
    <w:tbl>
      <w:tblPr>
        <w:tblStyle w:val="Table"/>
        <w:tblW w:type="pct" w:w="5000.0"/>
        <w:tblLook w:firstRow="1"/>
      </w:tblPr>
      <w:tblGrid>
        <w:gridCol w:w="2233"/>
        <w:gridCol w:w="1218"/>
        <w:gridCol w:w="1827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default_basis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"TZVP"</w:t>
            </w:r>
          </w:p>
        </w:tc>
        <w:tc>
          <w:p>
            <w:pPr>
              <w:pStyle w:val="Compact"/>
              <w:jc w:val="left"/>
            </w:pPr>
            <w:r>
              <w:t xml:space="preserve">Primary basis set:</w:t>
            </w:r>
            <w:r>
              <w:t xml:space="preserve"> </w:t>
            </w:r>
            <w:r>
              <w:rPr>
                <w:rStyle w:val="VerbatimChar"/>
              </w:rPr>
              <w:t xml:space="preserve">"TZVP"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"TZVPD"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fallback_basis</w:t>
            </w:r>
          </w:p>
        </w:tc>
        <w:tc>
          <w:p>
            <w:pPr>
              <w:pStyle w:val="Compact"/>
              <w:jc w:val="left"/>
            </w:pPr>
            <w:r>
              <w:t xml:space="preserve">string or false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Basis set to try if the primary fails:</w:t>
            </w:r>
            <w:r>
              <w:t xml:space="preserve"> </w:t>
            </w:r>
            <w:r>
              <w:rPr>
                <w:rStyle w:val="VerbatimChar"/>
              </w:rPr>
              <w:t xml:space="preserve">"TZVP"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"TZVPD"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(no fallback — fail immediately)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functional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"BP86"</w:t>
            </w:r>
          </w:p>
        </w:tc>
        <w:tc>
          <w:p>
            <w:pPr>
              <w:pStyle w:val="Compact"/>
              <w:jc w:val="left"/>
            </w:pPr>
            <w:r>
              <w:t xml:space="preserve">DFT 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solvation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"CPCM"</w:t>
            </w:r>
          </w:p>
        </w:tc>
        <w:tc>
          <w:p>
            <w:pPr>
              <w:pStyle w:val="Compact"/>
              <w:jc w:val="left"/>
            </w:pPr>
            <w:r>
              <w:t xml:space="preserve">Solvation model keyword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maxcore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2000</w:t>
            </w:r>
          </w:p>
        </w:tc>
        <w:tc>
          <w:p>
            <w:pPr>
              <w:pStyle w:val="Compact"/>
              <w:jc w:val="left"/>
            </w:pPr>
            <w:r>
              <w:t xml:space="preserve">ORCA</w:t>
            </w:r>
            <w:r>
              <w:t xml:space="preserve"> </w:t>
            </w:r>
            <w:r>
              <w:rPr>
                <w:rStyle w:val="VerbatimChar"/>
              </w:rPr>
              <w:t xml:space="preserve">%MaxCore</w:t>
            </w:r>
            <w:r>
              <w:t xml:space="preserve"> </w:t>
            </w:r>
            <w:r>
              <w:t xml:space="preserve">in MB per process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strict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Abort pool on first failure</w:t>
            </w:r>
          </w:p>
        </w:tc>
      </w:tr>
    </w:tbl>
    <w:p>
      <w:pPr>
        <w:pStyle w:val="Heading3"/>
      </w:pPr>
      <w:bookmarkStart w:id="46" w:name="outputs-3"/>
      <w:r>
        <w:t xml:space="preserve">Outputs</w:t>
      </w:r>
      <w:bookmarkEnd w:id="46"/>
    </w:p>
    <w:tbl>
      <w:tblPr>
        <w:tblStyle w:val="Table"/>
        <w:tblW w:type="pct" w:w="5000.0"/>
        <w:tblLook w:firstRow="1"/>
      </w:tblPr>
      <w:tblGrid>
        <w:gridCol w:w="2501"/>
        <w:gridCol w:w="54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outputs/orcacosmo_summary.json</w:t>
            </w:r>
          </w:p>
        </w:tc>
        <w:tc>
          <w:p>
            <w:pPr>
              <w:pStyle w:val="Compact"/>
              <w:jc w:val="left"/>
            </w:pPr>
            <w:r>
              <w:t xml:space="preserve">Per-conformer results including COSMO file paths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outputs/orcacosmo_summary.csv</w:t>
            </w:r>
          </w:p>
        </w:tc>
        <w:tc>
          <w:p>
            <w:pPr>
              <w:pStyle w:val="Compact"/>
              <w:jc w:val="left"/>
            </w:pPr>
            <w:r>
              <w:t xml:space="preserve">Tabular summary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outputs/orcacosmo_outputs/&lt;lookup_id&gt;.orcacosmo</w:t>
            </w:r>
          </w:p>
        </w:tc>
        <w:tc>
          <w:p>
            <w:pPr>
              <w:pStyle w:val="Compact"/>
              <w:jc w:val="left"/>
            </w:pPr>
            <w:r>
              <w:t xml:space="preserve">COSMO file for openCOSMO-RS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outputs/raw_outputs/&lt;lookup_id&gt;.{log,cpcm,cpcm_corr}</w:t>
            </w:r>
          </w:p>
        </w:tc>
        <w:tc>
          <w:p>
            <w:pPr>
              <w:pStyle w:val="Compact"/>
              <w:jc w:val="left"/>
            </w:pPr>
            <w:r>
              <w:t xml:space="preserve">Raw ORCA outputs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solubility-stage-parameters"/>
      <w:r>
        <w:t xml:space="preserve">9. Solubility stage parameters</w:t>
      </w:r>
      <w:bookmarkEnd w:id="47"/>
    </w:p>
    <w:p>
      <w:pPr>
        <w:pStyle w:val="FirstParagraph"/>
      </w:pPr>
      <w:r>
        <w:t xml:space="preserve">Runs openCOSMO-RS solubility calculations for each molecule against a list of solvents.</w:t>
      </w:r>
    </w:p>
    <w:tbl>
      <w:tblPr>
        <w:tblStyle w:val="Table"/>
        <w:tblW w:type="pct" w:w="5000.0"/>
        <w:tblLook w:firstRow="1"/>
      </w:tblPr>
      <w:tblGrid>
        <w:gridCol w:w="2233"/>
        <w:gridCol w:w="1218"/>
        <w:gridCol w:w="1827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solvent_list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built-in default</w:t>
            </w:r>
          </w:p>
        </w:tc>
        <w:tc>
          <w:p>
            <w:pPr>
              <w:pStyle w:val="Compact"/>
              <w:jc w:val="left"/>
            </w:pPr>
            <w:r>
              <w:t xml:space="preserve">Name of a solvent list file from</w:t>
            </w:r>
            <w:r>
              <w:t xml:space="preserve"> </w:t>
            </w:r>
            <w:r>
              <w:rPr>
                <w:rStyle w:val="VerbatimChar"/>
              </w:rPr>
              <w:t xml:space="preserve">CONSTANT_FILES/solvent_lists/</w:t>
            </w:r>
            <w:r>
              <w:t xml:space="preserve">, or path to a custom JSON solvent list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298.15</w:t>
            </w:r>
          </w:p>
        </w:tc>
        <w:tc>
          <w:p>
            <w:pPr>
              <w:pStyle w:val="Compact"/>
              <w:jc w:val="left"/>
            </w:pPr>
            <w:r>
              <w:t xml:space="preserve">Calculation temperature in Kelvin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calculation_type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"all"</w:t>
            </w:r>
          </w:p>
        </w:tc>
        <w:tc>
          <w:p>
            <w:pPr>
              <w:pStyle w:val="Compact"/>
              <w:jc w:val="left"/>
            </w:pPr>
            <w:r>
              <w:t xml:space="preserve">Type of calculation.</w:t>
            </w:r>
            <w:r>
              <w:t xml:space="preserve"> </w:t>
            </w:r>
            <w:r>
              <w:rPr>
                <w:rStyle w:val="VerbatimChar"/>
              </w:rPr>
              <w:t xml:space="preserve">"all"</w:t>
            </w:r>
            <w:r>
              <w:t xml:space="preserve"> </w:t>
            </w:r>
            <w:r>
              <w:t xml:space="preserve">runs all solvents; other values stage-specific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initial_solute_x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Initial mole fraction guess for the solute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saturation.enabled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Apply solubility saturation correction using melting point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saturation.Gfus_mode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"MyrdalYalkowsky"</w:t>
            </w:r>
          </w:p>
        </w:tc>
        <w:tc>
          <w:p>
            <w:pPr>
              <w:pStyle w:val="Compact"/>
              <w:jc w:val="left"/>
            </w:pPr>
            <w:r>
              <w:t xml:space="preserve">Gibbs fusion energy model:</w:t>
            </w:r>
            <w:r>
              <w:t xml:space="preserve"> </w:t>
            </w:r>
            <w:r>
              <w:rPr>
                <w:rStyle w:val="VerbatimChar"/>
              </w:rPr>
              <w:t xml:space="preserve">"MyrdalYalkowsky"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"Hfus"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saturation.Hfus</w:t>
            </w:r>
          </w:p>
        </w:tc>
        <w:tc>
          <w:p>
            <w:pPr>
              <w:pStyle w:val="Compact"/>
              <w:jc w:val="left"/>
            </w:pPr>
            <w:r>
              <w:t xml:space="preserve">string or float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"N/A"</w:t>
            </w:r>
          </w:p>
        </w:tc>
        <w:tc>
          <w:p>
            <w:pPr>
              <w:pStyle w:val="Compact"/>
              <w:jc w:val="left"/>
            </w:pPr>
            <w:r>
              <w:t xml:space="preserve">Enthalpy of fusion (kJ/mol), used when</w:t>
            </w:r>
            <w:r>
              <w:t xml:space="preserve"> </w:t>
            </w:r>
            <w:r>
              <w:rPr>
                <w:rStyle w:val="VerbatimChar"/>
              </w:rPr>
              <w:t xml:space="preserve">Gfus_mode = "Hfus"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saturation.SORcf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Correction factor for the fusion model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parallel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Run solvent calculations in parallel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n_workers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Number of parallel workers for solubility calculations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strict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Abort on first failure</w:t>
            </w:r>
          </w:p>
        </w:tc>
      </w:tr>
    </w:tbl>
    <w:p>
      <w:pPr>
        <w:pStyle w:val="Heading3"/>
      </w:pPr>
      <w:bookmarkStart w:id="48" w:name="solvent-list-format"/>
      <w:r>
        <w:t xml:space="preserve">Solvent list format</w:t>
      </w:r>
      <w:bookmarkEnd w:id="48"/>
    </w:p>
    <w:p>
      <w:pPr>
        <w:pStyle w:val="FirstParagraph"/>
      </w:pPr>
      <w:r>
        <w:t xml:space="preserve">A solvent list JSON file is a list of solvent names that must match entries in</w:t>
      </w:r>
      <w:r>
        <w:t xml:space="preserve"> </w:t>
      </w:r>
      <w:r>
        <w:rPr>
          <w:rStyle w:val="VerbatimChar"/>
        </w:rPr>
        <w:t xml:space="preserve">CONSTANT_FILES/solvents/</w:t>
      </w:r>
      <w:r>
        <w:t xml:space="preserve">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StringTok"/>
        </w:rPr>
        <w:t xml:space="preserve">"water"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"ethanol"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"acetone"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"dmso"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If no solvent list is configured, the pipeline falls back to the default list (a broad set of common solvents). If that is also unavailable, an emergency water-only fallback is used and a warning is emitted.</w:t>
      </w:r>
    </w:p>
    <w:p>
      <w:pPr>
        <w:pStyle w:val="Heading3"/>
      </w:pPr>
      <w:bookmarkStart w:id="49" w:name="outputs-4"/>
      <w:r>
        <w:t xml:space="preserve">Outputs</w:t>
      </w:r>
      <w:bookmarkEnd w:id="49"/>
    </w:p>
    <w:tbl>
      <w:tblPr>
        <w:tblStyle w:val="Table"/>
        <w:tblW w:type="pct" w:w="5000.0"/>
        <w:tblLook w:firstRow="1"/>
      </w:tblPr>
      <w:tblGrid>
        <w:gridCol w:w="2501"/>
        <w:gridCol w:w="54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outputs/solubility_results.json</w:t>
            </w:r>
          </w:p>
        </w:tc>
        <w:tc>
          <w:p>
            <w:pPr>
              <w:pStyle w:val="Compact"/>
              <w:jc w:val="left"/>
            </w:pPr>
            <w:r>
              <w:t xml:space="preserve">Full machine-readable results per molecule/solvent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outputs/solubility_results.csv</w:t>
            </w:r>
          </w:p>
        </w:tc>
        <w:tc>
          <w:p>
            <w:pPr>
              <w:pStyle w:val="Compact"/>
              <w:jc w:val="left"/>
            </w:pPr>
            <w:r>
              <w:t xml:space="preserve">Flat per-molecule/solvent table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outputs/solubility_human_summary.txt</w:t>
            </w:r>
          </w:p>
        </w:tc>
        <w:tc>
          <w:p>
            <w:pPr>
              <w:pStyle w:val="Compact"/>
              <w:jc w:val="left"/>
            </w:pPr>
            <w:r>
              <w:t xml:space="preserve">Aligned human-readable table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resource-parameters"/>
      <w:r>
        <w:t xml:space="preserve">10. Resource parameters</w:t>
      </w:r>
      <w:bookmarkEnd w:id="50"/>
    </w:p>
    <w:p>
      <w:pPr>
        <w:pStyle w:val="FirstParagraph"/>
      </w:pPr>
      <w:r>
        <w:t xml:space="preserve">Resource allocation can be overridden at the request level or per-stage.</w:t>
      </w:r>
    </w:p>
    <w:p>
      <w:pPr>
        <w:pStyle w:val="Heading3"/>
      </w:pPr>
      <w:bookmarkStart w:id="51" w:name="global-resource-override"/>
      <w:r>
        <w:t xml:space="preserve">Global resource override</w:t>
      </w:r>
      <w:bookmarkEnd w:id="51"/>
    </w:p>
    <w:p>
      <w:pPr>
        <w:pStyle w:val="FirstParagraph"/>
      </w:pPr>
      <w:r>
        <w:t xml:space="preserve">Set in the top-level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dict in</w:t>
      </w:r>
      <w:r>
        <w:t xml:space="preserve"> </w:t>
      </w:r>
      <w:r>
        <w:rPr>
          <w:rStyle w:val="VerbatimChar"/>
        </w:rPr>
        <w:t xml:space="preserve">request.json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"cpus"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.0"/>
        <w:tblLook w:firstRow="1"/>
      </w:tblPr>
      <w:tblGrid>
        <w:gridCol w:w="363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cpus</w:t>
            </w:r>
          </w:p>
        </w:tc>
        <w:tc>
          <w:p>
            <w:pPr>
              <w:pStyle w:val="Compact"/>
              <w:jc w:val="left"/>
            </w:pPr>
            <w:r>
              <w:t xml:space="preserve">Total CPU cores available. Overrides</w:t>
            </w:r>
            <w:r>
              <w:t xml:space="preserve"> </w:t>
            </w:r>
            <w:r>
              <w:rPr>
                <w:rStyle w:val="VerbatimChar"/>
              </w:rPr>
              <w:t xml:space="preserve">max_cores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config/resource_allocation.json</w:t>
            </w:r>
            <w:r>
              <w:t xml:space="preserve">.</w:t>
            </w:r>
          </w:p>
        </w:tc>
      </w:tr>
    </w:tbl>
    <w:p>
      <w:pPr>
        <w:pStyle w:val="Heading3"/>
      </w:pPr>
      <w:bookmarkStart w:id="52" w:name="per-stage-resource-override"/>
      <w:r>
        <w:t xml:space="preserve">Per-stage resource override</w:t>
      </w:r>
      <w:bookmarkEnd w:id="52"/>
    </w:p>
    <w:p>
      <w:pPr>
        <w:pStyle w:val="FirstParagraph"/>
      </w:pPr>
      <w:r>
        <w:t xml:space="preserve">Set in the relevant</w:t>
      </w:r>
      <w:r>
        <w:t xml:space="preserve"> </w:t>
      </w:r>
      <w:r>
        <w:rPr>
          <w:rStyle w:val="VerbatimChar"/>
        </w:rPr>
        <w:t xml:space="preserve">stage_args</w:t>
      </w:r>
      <w:r>
        <w:t xml:space="preserve"> </w:t>
      </w:r>
      <w:r>
        <w:t xml:space="preserve">entry: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"cores_per_item"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"n_workers"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.0"/>
        <w:tblLook w:firstRow="1"/>
      </w:tblPr>
      <w:tblGrid>
        <w:gridCol w:w="363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cores_per_item</w:t>
            </w:r>
          </w:p>
        </w:tc>
        <w:tc>
          <w:p>
            <w:pPr>
              <w:pStyle w:val="Compact"/>
              <w:jc w:val="left"/>
            </w:pPr>
            <w:r>
              <w:t xml:space="preserve">CPU cores per item. Overrides the stage default from</w:t>
            </w:r>
            <w:r>
              <w:t xml:space="preserve"> </w:t>
            </w:r>
            <w:r>
              <w:rPr>
                <w:rStyle w:val="VerbatimChar"/>
              </w:rPr>
              <w:t xml:space="preserve">generation_defaults.json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optimisation_defaults.json</w:t>
            </w:r>
            <w:r>
              <w:t xml:space="preserve"> </w:t>
            </w:r>
            <w:r>
              <w:t xml:space="preserve">etc.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n_workers</w:t>
            </w:r>
          </w:p>
        </w:tc>
        <w:tc>
          <w:p>
            <w:pPr>
              <w:pStyle w:val="Compact"/>
              <w:jc w:val="left"/>
            </w:pPr>
            <w:r>
              <w:t xml:space="preserve">Number of parallel workers. If not set, computed as</w:t>
            </w:r>
            <w:r>
              <w:t xml:space="preserve"> </w:t>
            </w:r>
            <w:r>
              <w:rPr>
                <w:rStyle w:val="VerbatimChar"/>
              </w:rPr>
              <w:t xml:space="preserve">floor(max_cores / cores_per_item)</w:t>
            </w:r>
            <w:r>
              <w:t xml:space="preserve">.</w:t>
            </w:r>
          </w:p>
        </w:tc>
      </w:tr>
    </w:tbl>
    <w:p>
      <w:pPr>
        <w:pStyle w:val="Heading3"/>
      </w:pPr>
      <w:bookmarkStart w:id="53" w:name="resource-allocation-hierarchy"/>
      <w:r>
        <w:t xml:space="preserve">Resource allocation hierarchy</w:t>
      </w:r>
      <w:bookmarkEnd w:id="53"/>
    </w:p>
    <w:p>
      <w:pPr>
        <w:pStyle w:val="SourceCode"/>
      </w:pPr>
      <w:r>
        <w:rPr>
          <w:rStyle w:val="VerbatimChar"/>
        </w:rPr>
        <w:t xml:space="preserve">1. stage_args["cores_per_item"]          per-stage runtime override</w:t>
      </w:r>
      <w:r>
        <w:br/>
      </w:r>
      <w:r>
        <w:rPr>
          <w:rStyle w:val="VerbatimChar"/>
        </w:rPr>
        <w:t xml:space="preserve">2. stage_args["n_workers"]               per-stage runtime override</w:t>
      </w:r>
      <w:r>
        <w:br/>
      </w:r>
      <w:r>
        <w:rPr>
          <w:rStyle w:val="VerbatimChar"/>
        </w:rPr>
        <w:t xml:space="preserve">3. resources["cpus"]                     global runtime ceiling</w:t>
      </w:r>
      <w:r>
        <w:br/>
      </w:r>
      <w:r>
        <w:rPr>
          <w:rStyle w:val="VerbatimChar"/>
        </w:rPr>
        <w:t xml:space="preserve">4. config/resource_allocation.json       machine configuration</w:t>
      </w:r>
      <w:r>
        <w:br/>
      </w:r>
      <w:r>
        <w:rPr>
          <w:rStyle w:val="VerbatimChar"/>
        </w:rPr>
        <w:t xml:space="preserve">5. psutil (CPU count)                    automatic fallback</w:t>
      </w:r>
    </w:p>
    <w:p>
      <w:pPr>
        <w:pStyle w:val="FirstParagraph"/>
      </w:pPr>
      <w:r>
        <w:t xml:space="preserve">The allocator always ensures</w:t>
      </w:r>
      <w:r>
        <w:t xml:space="preserve"> </w:t>
      </w:r>
      <w:r>
        <w:rPr>
          <w:rStyle w:val="VerbatimChar"/>
        </w:rPr>
        <w:t xml:space="preserve">n_workers * cores_per_item &lt;= max_cores</w:t>
      </w:r>
      <w:r>
        <w:t xml:space="preserve">. If the configured</w:t>
      </w:r>
      <w:r>
        <w:t xml:space="preserve"> </w:t>
      </w:r>
      <w:r>
        <w:rPr>
          <w:rStyle w:val="VerbatimChar"/>
        </w:rPr>
        <w:t xml:space="preserve">cores_per_item</w:t>
      </w:r>
      <w:r>
        <w:t xml:space="preserve"> </w:t>
      </w:r>
      <w:r>
        <w:t xml:space="preserve">would exceed the budget even for a single worker, it is reduced automatically and a warning is emitted.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2026-03-07T17:40:35Z</dcterms:created>
  <dcterms:modified xsi:type="dcterms:W3CDTF">2026-03-07T17:40:35Z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