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color w:val="666666"/>
          <w:sz w:val="24"/>
          <w:szCs w:val="24"/>
        </w:rPr>
        <w:t xml:space="preserve">BMED 712 — Rehabilitation and Augmentation of Human Performance</w:t>
      </w:r>
    </w:p>
    <w:p>
      <w:pPr>
        <w:spacing w:before="200"/>
        <w:jc w:val="center"/>
      </w:pPr>
      <w:r>
        <w:rPr>
          <w:rFonts w:ascii="Arial" w:cs="Arial" w:eastAsia="Arial" w:hAnsi="Arial"/>
          <w:color w:val="666666"/>
          <w:sz w:val="28"/>
          <w:szCs w:val="28"/>
        </w:rPr>
        <w:t xml:space="preserve">Track A — Project 1</w:t>
      </w:r>
    </w:p>
    <w:p>
      <w:pPr>
        <w:spacing w:before="600"/>
        <w:jc w:val="center"/>
      </w:pPr>
      <w:r>
        <w:rPr>
          <w:rFonts w:ascii="Arial" w:cs="Arial" w:eastAsia="Arial" w:hAnsi="Arial"/>
          <w:b/>
          <w:bCs/>
          <w:color w:val="2E5090"/>
          <w:sz w:val="40"/>
          <w:szCs w:val="40"/>
        </w:rPr>
        <w:t xml:space="preserve">Robust Gait Phenotyping Across Pathologies</w:t>
      </w:r>
    </w:p>
    <w:p>
      <w:pPr>
        <w:spacing w:before="120"/>
        <w:jc w:val="center"/>
      </w:pPr>
      <w:r>
        <w:rPr>
          <w:rFonts w:ascii="Arial" w:cs="Arial" w:eastAsia="Arial" w:hAnsi="Arial"/>
          <w:color w:val="2E5090"/>
          <w:sz w:val="26"/>
          <w:szCs w:val="26"/>
        </w:rPr>
        <w:t xml:space="preserve">A Multi-Sensor IMU Classification and Clinical Characterization Study</w:t>
      </w:r>
    </w:p>
    <w:p>
      <w:pPr>
        <w:spacing w:before="800"/>
        <w:jc w:val="center"/>
      </w:pPr>
      <w:r>
        <w:rPr>
          <w:rFonts w:ascii="Arial" w:cs="Arial" w:eastAsia="Arial" w:hAnsi="Arial"/>
          <w:sz w:val="22"/>
          <w:szCs w:val="22"/>
        </w:rPr>
        <w:t xml:space="preserve">Fatima Habib Farweh  |  Liang Li  |  Yasmine Khattab  |  Zehara Ali</w:t>
      </w:r>
    </w:p>
    <w:p>
      <w:pPr>
        <w:spacing w:before="120"/>
        <w:jc w:val="center"/>
      </w:pPr>
      <w:r>
        <w:rPr>
          <w:rFonts w:ascii="Arial" w:cs="Arial" w:eastAsia="Arial" w:hAnsi="Arial"/>
          <w:color w:val="666666"/>
          <w:sz w:val="22"/>
          <w:szCs w:val="22"/>
        </w:rPr>
        <w:t xml:space="preserve">Instructors: Dr. Kinda Khalaf, Dr. Mohamed Elgendi</w:t>
      </w:r>
    </w:p>
    <w:p>
      <w:pPr>
        <w:spacing w:before="600"/>
        <w:jc w:val="center"/>
      </w:pPr>
      <w:r>
        <w:rPr>
          <w:rFonts w:ascii="Arial" w:cs="Arial" w:eastAsia="Arial" w:hAnsi="Arial"/>
          <w:color w:val="666666"/>
          <w:sz w:val="24"/>
          <w:szCs w:val="24"/>
        </w:rPr>
        <w:t xml:space="preserve">Spring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5090"/>
          <w:sz w:val="28"/>
          <w:szCs w:val="28"/>
        </w:rPr>
        <w:t xml:space="preserve">Abstract</w:t>
      </w:r>
    </w:p>
    <w:p>
      <w:pPr>
        <w:spacing w:after="120" w:line="276"/>
        <w:jc w:val="both"/>
      </w:pPr>
      <w:r>
        <w:rPr>
          <w:rFonts w:ascii="Arial" w:cs="Arial" w:eastAsia="Arial" w:hAnsi="Arial"/>
          <w:sz w:val="22"/>
          <w:szCs w:val="22"/>
        </w:rPr>
        <w:t xml:space="preserve">This study investigates robust gait phenotyping across neurological and orthopedic pathologies using inertial measurement unit (IMU) data from the GaitRec dataset (260 subjects, 1,356 trials, 8 pathological cohorts). We address two research questions: (1) How does sensor placement and feature selection affect multi-class gait classification? (2) Can temporal asymmetry metrics serve as potential indicators of pathological gait?</w:t>
      </w:r>
    </w:p>
    <w:p>
      <w:pPr>
        <w:spacing w:after="120" w:line="276"/>
        <w:jc w:val="both"/>
      </w:pPr>
      <w:r>
        <w:rPr>
          <w:rFonts w:ascii="Arial" w:cs="Arial" w:eastAsia="Arial" w:hAnsi="Arial"/>
          <w:b/>
          <w:bCs/>
          <w:sz w:val="22"/>
          <w:szCs w:val="22"/>
        </w:rPr>
        <w:t xml:space="preserve">Key contributions: </w:t>
      </w:r>
      <w:r>
        <w:rPr>
          <w:rFonts w:ascii="Arial" w:cs="Arial" w:eastAsia="Arial" w:hAnsi="Arial"/>
          <w:sz w:val="22"/>
          <w:szCs w:val="22"/>
        </w:rPr>
        <w:t xml:space="preserve">First, we identify that a single head-mounted IMU achieves 74.0% balanced accuracy (97.8% of full four-sensor performance), suggesting that minimal sensor configurations may suffice for clinical screening. Second, we discover a counterintuitive finding that healthy subjects exhibit significantly larger temporal stride asymmetry than pathological groups (Cohen’s d = 0.77, p &lt; 0.001), challenging the conventional assumption that asymmetry is a hallmark of pathological gait. Our best 3-class model (healthy/neurological/orthopedic) achieves 79.2% balanced accuracy using corrected window-level features with XGBoost, while the 8-class subtype model achieves 41.5% (3.3× chance). Leave-one-cohort-out analysis confirms generalization across unseen pathologies.</w:t>
      </w:r>
    </w:p>
    <w:p>
      <w:pPr>
        <w:pStyle w:val="Heading1"/>
        <w:spacing w:after="200" w:before="360"/>
      </w:pPr>
      <w:r>
        <w:rPr>
          <w:rFonts w:ascii="Arial" w:cs="Arial" w:eastAsia="Arial" w:hAnsi="Arial"/>
          <w:b/>
          <w:bCs/>
          <w:color w:val="2E5090"/>
          <w:sz w:val="28"/>
          <w:szCs w:val="28"/>
        </w:rPr>
        <w:t xml:space="preserve">I. Introduction</w:t>
      </w:r>
    </w:p>
    <w:p>
      <w:pPr>
        <w:spacing w:after="120" w:line="276"/>
        <w:jc w:val="both"/>
      </w:pPr>
      <w:r>
        <w:rPr>
          <w:rFonts w:ascii="Arial" w:cs="Arial" w:eastAsia="Arial" w:hAnsi="Arial"/>
          <w:sz w:val="22"/>
          <w:szCs w:val="22"/>
        </w:rPr>
        <w:t xml:space="preserve">Gait analysis is a cornerstone of rehabilitation medicine, providing objective measures of mobility impairment across diverse pathologies. Neurological conditions (stroke, Parkinson’s disease, peripheral neuropathy) and orthopedic disorders (knee/hip osteoarthritis, ACL injury) each produce characteristic gait deviations, yet automated classification remains challenging due to overlapping phenotypes and heterogeneous presentations.</w:t>
      </w:r>
    </w:p>
    <w:p>
      <w:pPr>
        <w:spacing w:after="120" w:line="276"/>
        <w:jc w:val="both"/>
      </w:pPr>
      <w:r>
        <w:rPr>
          <w:rFonts w:ascii="Arial" w:cs="Arial" w:eastAsia="Arial" w:hAnsi="Arial"/>
          <w:sz w:val="22"/>
          <w:szCs w:val="22"/>
        </w:rPr>
        <w:t xml:space="preserve">Wearable inertial measurement units (IMUs) offer a practical alternative to laboratory-based motion capture, enabling continuous gait monitoring in clinical and community settings. However, the optimal sensor configuration, feature set, and classification strategy for multi-pathology gait phenotyping remain open questions.</w:t>
      </w:r>
    </w:p>
    <w:p>
      <w:pPr>
        <w:pStyle w:val="Heading2"/>
        <w:spacing w:after="160" w:before="280"/>
      </w:pPr>
      <w:r>
        <w:rPr>
          <w:rFonts w:ascii="Arial" w:cs="Arial" w:eastAsia="Arial" w:hAnsi="Arial"/>
          <w:b/>
          <w:bCs/>
          <w:color w:val="2E5090"/>
          <w:sz w:val="24"/>
          <w:szCs w:val="24"/>
        </w:rPr>
        <w:t xml:space="preserve">Magnitude of the Problem</w:t>
      </w:r>
    </w:p>
    <w:p>
      <w:pPr>
        <w:spacing w:after="120" w:line="276"/>
        <w:jc w:val="both"/>
      </w:pPr>
      <w:r>
        <w:rPr>
          <w:rFonts w:ascii="Arial" w:cs="Arial" w:eastAsia="Arial" w:hAnsi="Arial"/>
          <w:sz w:val="22"/>
          <w:szCs w:val="22"/>
        </w:rPr>
        <w:t xml:space="preserve">Gait impairment affects over 30% of adults aged 60+ and is a leading cause of falls, hospitalization, and loss of independence. Stroke alone affects 15 million people annually worldwide, with 80% experiencing gait deficits. Knee osteoarthritis affects 250 million globally. Early and accurate gait classification could enable targeted rehabilitation, reduce fall risk, and improve quality of life.</w:t>
      </w:r>
    </w:p>
    <w:p>
      <w:pPr>
        <w:pStyle w:val="Heading2"/>
        <w:spacing w:after="160" w:before="280"/>
      </w:pPr>
      <w:r>
        <w:rPr>
          <w:rFonts w:ascii="Arial" w:cs="Arial" w:eastAsia="Arial" w:hAnsi="Arial"/>
          <w:b/>
          <w:bCs/>
          <w:color w:val="2E5090"/>
          <w:sz w:val="24"/>
          <w:szCs w:val="24"/>
        </w:rPr>
        <w:t xml:space="preserve">Research Questions</w:t>
      </w:r>
    </w:p>
    <w:p>
      <w:pPr>
        <w:pStyle w:val="ListParagraph"/>
        <w:numPr>
          <w:ilvl w:val="0"/>
          <w:numId w:val="2"/>
        </w:numPr>
        <w:spacing w:after="80" w:line="276"/>
      </w:pPr>
      <w:r>
        <w:rPr>
          <w:rFonts w:ascii="Arial" w:cs="Arial" w:eastAsia="Arial" w:hAnsi="Arial"/>
          <w:b/>
          <w:bCs/>
          <w:sz w:val="22"/>
          <w:szCs w:val="22"/>
        </w:rPr>
        <w:t xml:space="preserve">RQ1: </w:t>
      </w:r>
      <w:r>
        <w:rPr>
          <w:rFonts w:ascii="Arial" w:cs="Arial" w:eastAsia="Arial" w:hAnsi="Arial"/>
          <w:sz w:val="22"/>
          <w:szCs w:val="22"/>
        </w:rPr>
        <w:t xml:space="preserve">How does sensor placement, feature selection, and demographic metadata affect multi-class gait classification across neurological and orthopedic pathologies?</w:t>
      </w:r>
    </w:p>
    <w:p>
      <w:pPr>
        <w:pStyle w:val="ListParagraph"/>
        <w:numPr>
          <w:ilvl w:val="0"/>
          <w:numId w:val="2"/>
        </w:numPr>
        <w:spacing w:after="80" w:line="276"/>
      </w:pPr>
      <w:r>
        <w:rPr>
          <w:rFonts w:ascii="Arial" w:cs="Arial" w:eastAsia="Arial" w:hAnsi="Arial"/>
          <w:b/>
          <w:bCs/>
          <w:sz w:val="22"/>
          <w:szCs w:val="22"/>
        </w:rPr>
        <w:t xml:space="preserve">RQ2: </w:t>
      </w:r>
      <w:r>
        <w:rPr>
          <w:rFonts w:ascii="Arial" w:cs="Arial" w:eastAsia="Arial" w:hAnsi="Arial"/>
          <w:sz w:val="22"/>
          <w:szCs w:val="22"/>
        </w:rPr>
        <w:t xml:space="preserve">Can temporal gait asymmetry metrics serve as potential indicators of pathological gait, and do they correlate with clinical gait assessment scores?</w:t>
      </w:r>
    </w:p>
    <w:p>
      <w:pPr>
        <w:pStyle w:val="Heading1"/>
        <w:spacing w:after="200" w:before="360"/>
      </w:pPr>
      <w:r>
        <w:rPr>
          <w:rFonts w:ascii="Arial" w:cs="Arial" w:eastAsia="Arial" w:hAnsi="Arial"/>
          <w:b/>
          <w:bCs/>
          <w:color w:val="2E5090"/>
          <w:sz w:val="28"/>
          <w:szCs w:val="28"/>
        </w:rPr>
        <w:t xml:space="preserve">II. Methodology</w:t>
      </w:r>
    </w:p>
    <w:p>
      <w:pPr>
        <w:pStyle w:val="Heading2"/>
        <w:spacing w:after="160" w:before="280"/>
      </w:pPr>
      <w:r>
        <w:rPr>
          <w:rFonts w:ascii="Arial" w:cs="Arial" w:eastAsia="Arial" w:hAnsi="Arial"/>
          <w:b/>
          <w:bCs/>
          <w:color w:val="2E5090"/>
          <w:sz w:val="24"/>
          <w:szCs w:val="24"/>
        </w:rPr>
        <w:t xml:space="preserve">A. Dataset</w:t>
      </w:r>
    </w:p>
    <w:p>
      <w:pPr>
        <w:spacing w:after="120" w:line="276"/>
        <w:jc w:val="both"/>
      </w:pPr>
      <w:r>
        <w:rPr>
          <w:rFonts w:ascii="Arial" w:cs="Arial" w:eastAsia="Arial" w:hAnsi="Arial"/>
          <w:sz w:val="22"/>
          <w:szCs w:val="22"/>
        </w:rPr>
        <w:t xml:space="preserve">We use the GaitRec dataset, comprising 260 subjects across 8 cohorts: healthy subjects (HS, n=73), and 7 pathological groups — neurological: cerebrovascular accident (CVA, n=49), Parkinson’s disease (PD, n=24), chemotherapy-induced peripheral neuropathy (CIPN, n=19), rehabilitation lower-limb impairment (RIL, n=51); orthopedic: knee osteoarthritis (KOA, n=18), hip osteoarthritis (HOA, n=15), anterior cruciate ligament injury (ACL, n=11). Each subject performed 3–5 trials of a 10m walk–U-turn–10m walk protocol instrumented with XSens MTw Awinda sensors at 100 Hz.</w:t>
      </w:r>
    </w:p>
    <w:p>
      <w:pPr>
        <w:pStyle w:val="Heading2"/>
        <w:spacing w:after="160" w:before="280"/>
      </w:pPr>
      <w:r>
        <w:rPr>
          <w:rFonts w:ascii="Arial" w:cs="Arial" w:eastAsia="Arial" w:hAnsi="Arial"/>
          <w:b/>
          <w:bCs/>
          <w:color w:val="2E5090"/>
          <w:sz w:val="24"/>
          <w:szCs w:val="24"/>
        </w:rPr>
        <w:t xml:space="preserve">B. Sensor Configuration</w:t>
      </w:r>
    </w:p>
    <w:p>
      <w:pPr>
        <w:spacing w:after="120" w:line="276"/>
        <w:jc w:val="both"/>
      </w:pPr>
      <w:r>
        <w:rPr>
          <w:rFonts w:ascii="Arial" w:cs="Arial" w:eastAsia="Arial" w:hAnsi="Arial"/>
          <w:sz w:val="22"/>
          <w:szCs w:val="22"/>
        </w:rPr>
        <w:t xml:space="preserve">Four IMU sensors were mounted at: Head (HE, forehead/temple), Lower Back (LB, L5 vertebra), Left Foot (LF, dorsum), and Right Foot (RF, dorsum). Each sensor records three signal types: raw accelerometer (Acc, includes gravity), free acceleration (FreeAcc, gravity-compensated), and gyroscope (Gyr, angular velocity). Sensor-frame axes map to anatomical directions: X = proximal–distal, Y = medial–lateral, Z = anterior–posterior.</w:t>
      </w:r>
    </w:p>
    <w:p>
      <w:pPr>
        <w:pStyle w:val="Heading2"/>
        <w:spacing w:after="160" w:before="280"/>
      </w:pPr>
      <w:r>
        <w:rPr>
          <w:rFonts w:ascii="Arial" w:cs="Arial" w:eastAsia="Arial" w:hAnsi="Arial"/>
          <w:b/>
          <w:bCs/>
          <w:color w:val="2E5090"/>
          <w:sz w:val="24"/>
          <w:szCs w:val="24"/>
        </w:rPr>
        <w:t xml:space="preserve">C. Feature Extraction</w:t>
      </w:r>
    </w:p>
    <w:p>
      <w:pPr>
        <w:spacing w:after="120" w:line="276"/>
        <w:jc w:val="both"/>
      </w:pPr>
      <w:r>
        <w:rPr>
          <w:rFonts w:ascii="Arial" w:cs="Arial" w:eastAsia="Arial" w:hAnsi="Arial"/>
          <w:sz w:val="22"/>
          <w:szCs w:val="22"/>
        </w:rPr>
        <w:t xml:space="preserve">Sliding-window feature extraction produces 216 features per window: 4 sensors × 3 channels (Acc/FreeAcc/Gyr) × 3 axes (X/Y/Z) × 6 statistical measures (mean, standard deviation, RMS, dominant frequency, spectral centroid, spectral power). We tested window sizes of 1–6 seconds with 0%, 25%, and 50% overlap across four gait phases (full gait, pre-U-turn, post-U-turn, U-turn).</w:t>
      </w:r>
    </w:p>
    <w:p>
      <w:pPr>
        <w:spacing w:after="120" w:line="276"/>
        <w:jc w:val="both"/>
      </w:pPr>
      <w:r>
        <w:rPr>
          <w:rFonts w:ascii="Arial" w:cs="Arial" w:eastAsia="Arial" w:hAnsi="Arial"/>
          <w:b/>
          <w:bCs/>
          <w:sz w:val="22"/>
          <w:szCs w:val="22"/>
        </w:rPr>
        <w:t xml:space="preserve">Feature extraction bug correction: </w:t>
      </w:r>
      <w:r>
        <w:rPr>
          <w:rFonts w:ascii="Arial" w:cs="Arial" w:eastAsia="Arial" w:hAnsi="Arial"/>
          <w:sz w:val="22"/>
          <w:szCs w:val="22"/>
        </w:rPr>
        <w:t xml:space="preserve">During development, we identified three compounding bugs in the original feature pipeline: (1) missing Acc channel (only FreeAcc + Gyr extracted), reducing features from 216 to 168; (2) trial-level aggregation that collapsed within-trial variability; (3) missing 8-class cohort labels. After correction, the dataset expanded from 1,356 trial-level rows to 300,991 window-level rows with all 216 features.</w:t>
      </w:r>
    </w:p>
    <w:p>
      <w:pPr>
        <w:pStyle w:val="Heading2"/>
        <w:spacing w:after="160" w:before="280"/>
      </w:pPr>
      <w:r>
        <w:rPr>
          <w:rFonts w:ascii="Arial" w:cs="Arial" w:eastAsia="Arial" w:hAnsi="Arial"/>
          <w:b/>
          <w:bCs/>
          <w:color w:val="2E5090"/>
          <w:sz w:val="24"/>
          <w:szCs w:val="24"/>
        </w:rPr>
        <w:t xml:space="preserve">D. Demographic Features</w:t>
      </w:r>
    </w:p>
    <w:p>
      <w:pPr>
        <w:spacing w:after="120" w:line="276"/>
        <w:jc w:val="both"/>
      </w:pPr>
      <w:r>
        <w:rPr>
          <w:rFonts w:ascii="Arial" w:cs="Arial" w:eastAsia="Arial" w:hAnsi="Arial"/>
          <w:sz w:val="22"/>
          <w:szCs w:val="22"/>
        </w:rPr>
        <w:t xml:space="preserve">We extracted demographic metadata from per-trial JSON files: age (range: 18–90 years), gender (154M/106F), and laterality (dominant side: 234 right, 13 left, 2 ambidextrous). Gender and laterality were one-hot encoded; age was used as a continuous feature. Blood pressure and heart rate were not available in this dataset.</w:t>
      </w:r>
    </w:p>
    <w:p>
      <w:pPr>
        <w:pStyle w:val="Heading2"/>
        <w:spacing w:after="160" w:before="280"/>
      </w:pPr>
      <w:r>
        <w:rPr>
          <w:rFonts w:ascii="Arial" w:cs="Arial" w:eastAsia="Arial" w:hAnsi="Arial"/>
          <w:b/>
          <w:bCs/>
          <w:color w:val="2E5090"/>
          <w:sz w:val="24"/>
          <w:szCs w:val="24"/>
        </w:rPr>
        <w:t xml:space="preserve">E. Classification Pipeline</w:t>
      </w:r>
    </w:p>
    <w:p>
      <w:pPr>
        <w:spacing w:after="120" w:line="276"/>
        <w:jc w:val="both"/>
      </w:pPr>
      <w:r>
        <w:rPr>
          <w:rFonts w:ascii="Arial" w:cs="Arial" w:eastAsia="Arial" w:hAnsi="Arial"/>
          <w:sz w:val="22"/>
          <w:szCs w:val="22"/>
        </w:rPr>
        <w:t xml:space="preserve">Three classifiers were evaluated: Support Vector Machine (SVM, RBF kernel, balanced class weights), XGBoost (200 estimators, max depth 6), and Random Forest (200 estimators, balanced class weights). All models used a preprocessing pipeline of median imputation followed by standard scaling. Primary evaluation used 10-fold Stratified Group K-Fold cross-validation, grouped by subject ID to prevent data leakage. Metrics: balanced accuracy (BAcc) and macro-F1 score.</w:t>
      </w:r>
    </w:p>
    <w:p>
      <w:pPr>
        <w:pStyle w:val="Heading2"/>
        <w:spacing w:after="160" w:before="280"/>
      </w:pPr>
      <w:r>
        <w:rPr>
          <w:rFonts w:ascii="Arial" w:cs="Arial" w:eastAsia="Arial" w:hAnsi="Arial"/>
          <w:b/>
          <w:bCs/>
          <w:color w:val="2E5090"/>
          <w:sz w:val="24"/>
          <w:szCs w:val="24"/>
        </w:rPr>
        <w:t xml:space="preserve">F. Feature Selection Strategy</w:t>
      </w:r>
    </w:p>
    <w:p>
      <w:pPr>
        <w:spacing w:after="120" w:line="276"/>
        <w:jc w:val="both"/>
      </w:pPr>
      <w:r>
        <w:rPr>
          <w:rFonts w:ascii="Arial" w:cs="Arial" w:eastAsia="Arial" w:hAnsi="Arial"/>
          <w:sz w:val="22"/>
          <w:szCs w:val="22"/>
        </w:rPr>
        <w:t xml:space="preserve">Kruskal–Wallis H tests with η² (eta-squared) effect sizes from Phase 1 descriptive statistics guided feature selection. We compared six feature subsets: all 216 features, top 20 by η², top 30 by η², statistically significant features only (p &lt; 0.05), top 30 + demographics, and all 216 + demographics.</w:t>
      </w:r>
    </w:p>
    <w:p>
      <w:pPr>
        <w:pStyle w:val="Heading2"/>
        <w:spacing w:after="160" w:before="280"/>
      </w:pPr>
      <w:r>
        <w:rPr>
          <w:rFonts w:ascii="Arial" w:cs="Arial" w:eastAsia="Arial" w:hAnsi="Arial"/>
          <w:b/>
          <w:bCs/>
          <w:color w:val="2E5090"/>
          <w:sz w:val="24"/>
          <w:szCs w:val="24"/>
        </w:rPr>
        <w:t xml:space="preserve">G. Robustness Evaluation</w:t>
      </w:r>
    </w:p>
    <w:p>
      <w:pPr>
        <w:pStyle w:val="ListParagraph"/>
        <w:numPr>
          <w:ilvl w:val="0"/>
          <w:numId w:val="2"/>
        </w:numPr>
        <w:spacing w:after="80" w:line="276"/>
      </w:pPr>
      <w:r>
        <w:rPr>
          <w:rFonts w:ascii="Arial" w:cs="Arial" w:eastAsia="Arial" w:hAnsi="Arial"/>
          <w:sz w:val="22"/>
          <w:szCs w:val="22"/>
        </w:rPr>
        <w:t xml:space="preserve">Nested cross-validation (outer: 10-fold, inner: 5-fold) to quantify optimistic bias</w:t>
      </w:r>
    </w:p>
    <w:p>
      <w:pPr>
        <w:pStyle w:val="ListParagraph"/>
        <w:numPr>
          <w:ilvl w:val="0"/>
          <w:numId w:val="2"/>
        </w:numPr>
        <w:spacing w:after="80" w:line="276"/>
      </w:pPr>
      <w:r>
        <w:rPr>
          <w:rFonts w:ascii="Arial" w:cs="Arial" w:eastAsia="Arial" w:hAnsi="Arial"/>
          <w:sz w:val="22"/>
          <w:szCs w:val="22"/>
        </w:rPr>
        <w:t xml:space="preserve">Leave-one-cohort-out (LOCO) CV: train on 7 cohorts, test on the held-out 1</w:t>
      </w:r>
    </w:p>
    <w:p>
      <w:pPr>
        <w:pStyle w:val="ListParagraph"/>
        <w:numPr>
          <w:ilvl w:val="0"/>
          <w:numId w:val="2"/>
        </w:numPr>
        <w:spacing w:after="80" w:line="276"/>
      </w:pPr>
      <w:r>
        <w:rPr>
          <w:rFonts w:ascii="Arial" w:cs="Arial" w:eastAsia="Arial" w:hAnsi="Arial"/>
          <w:sz w:val="22"/>
          <w:szCs w:val="22"/>
        </w:rPr>
        <w:t xml:space="preserve">Sensor ablation: 1 IMU vs 2 vs all 4</w:t>
      </w:r>
    </w:p>
    <w:p>
      <w:r>
        <w:br w:type="page"/>
      </w:r>
    </w:p>
    <w:p>
      <w:pPr>
        <w:pStyle w:val="Heading1"/>
        <w:spacing w:after="200" w:before="360"/>
      </w:pPr>
      <w:r>
        <w:rPr>
          <w:rFonts w:ascii="Arial" w:cs="Arial" w:eastAsia="Arial" w:hAnsi="Arial"/>
          <w:b/>
          <w:bCs/>
          <w:color w:val="2E5090"/>
          <w:sz w:val="28"/>
          <w:szCs w:val="28"/>
        </w:rPr>
        <w:t xml:space="preserve">III. Results</w:t>
      </w:r>
    </w:p>
    <w:p>
      <w:pPr>
        <w:pStyle w:val="Heading2"/>
        <w:spacing w:after="160" w:before="280"/>
      </w:pPr>
      <w:r>
        <w:rPr>
          <w:rFonts w:ascii="Arial" w:cs="Arial" w:eastAsia="Arial" w:hAnsi="Arial"/>
          <w:b/>
          <w:bCs/>
          <w:color w:val="2E5090"/>
          <w:sz w:val="24"/>
          <w:szCs w:val="24"/>
        </w:rPr>
        <w:t xml:space="preserve">A. Temporal Asymmetry Analysis</w:t>
      </w:r>
    </w:p>
    <w:p>
      <w:pPr>
        <w:spacing w:after="120" w:line="276"/>
        <w:jc w:val="both"/>
      </w:pPr>
      <w:r>
        <w:rPr>
          <w:rFonts w:ascii="Arial" w:cs="Arial" w:eastAsia="Arial" w:hAnsi="Arial"/>
          <w:sz w:val="22"/>
          <w:szCs w:val="22"/>
        </w:rPr>
        <w:t xml:space="preserve">Table I summarizes temporal gait parameters across the three diagnostic categories. Contrary to the conventional expectation that pathological gait is more asymmetric, healthy subjects exhibited significantly larger stride asymmetry index (|AI| = 0.052 ± 0.036) than neurological (0.029 ± 0.018) and orthopedic (0.039 ± 0.027)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Healthy (n=70)</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Ortho (n=35)</w:t>
            </w:r>
          </w:p>
        </w:tc>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Neuro (n=111)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Stride |AI|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0.052 ± 0.036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0.039 ± 0.027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0.029 ± 0.018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Step |AI|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0.148 ± 0.091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0.088 ± 0.075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0.118 ± 0.093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Step CV (L)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0.284 ± 0.236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0.176 ± 0.153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0.187 ± 0.152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Mean step time (s)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0.605 ± 0.035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0.628 ± 0.053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0.608 ± 0.057</w:t>
            </w:r>
          </w:p>
        </w:tc>
      </w:tr>
    </w:tbl>
    <w:p>
      <w:pPr>
        <w:spacing w:after="120" w:line="276"/>
        <w:jc w:val="both"/>
      </w:pPr>
      <w:r>
        <w:rPr>
          <w:rFonts w:ascii="Arial" w:cs="Arial" w:eastAsia="Arial" w:hAnsi="Arial"/>
          <w:i/>
          <w:iCs/>
          <w:color w:val="666666"/>
          <w:sz w:val="20"/>
          <w:szCs w:val="20"/>
        </w:rPr>
        <w:t xml:space="preserve">Table I: Temporal gait parameters by diagnostic category (mean ± SD).</w:t>
      </w:r>
    </w:p>
    <w:p>
      <w:pPr>
        <w:spacing w:after="120" w:line="276"/>
        <w:jc w:val="both"/>
      </w:pPr>
      <w:r>
        <w:rPr>
          <w:rFonts w:ascii="Arial" w:cs="Arial" w:eastAsia="Arial" w:hAnsi="Arial"/>
          <w:sz w:val="22"/>
          <w:szCs w:val="22"/>
        </w:rPr>
        <w:t xml:space="preserve">The overall effect size for healthy vs. pathological stride |AI| was Cohen’s d = 0.77 (95% CI: 0.50–1.07, p &lt; 0.001). ROC analysis yielded AUC = 0.716 (sensitivity 59%, specificity 83% at threshold 0.049). Visual Gait Assessment (VGA) correlation: Spearman ρ = −0.206 (p &lt; 0.001, n = 927), indicating weak-to-moderate convergent validity.</w:t>
      </w:r>
    </w:p>
    <w:p>
      <w:pPr>
        <w:spacing w:after="120" w:before="200"/>
      </w:pPr>
      <w:r>
        <w:rPr>
          <w:rFonts w:ascii="Arial" w:cs="Arial" w:eastAsia="Arial" w:hAnsi="Arial"/>
          <w:b/>
          <w:bCs/>
          <w:i/>
          <w:iCs/>
          <w:sz w:val="22"/>
          <w:szCs w:val="22"/>
        </w:rPr>
        <w:t xml:space="preserve">Subtype-Level Effects</w:t>
      </w:r>
    </w:p>
    <w:p>
      <w:pPr>
        <w:spacing w:after="120" w:line="276"/>
        <w:jc w:val="both"/>
      </w:pPr>
      <w:r>
        <w:rPr>
          <w:rFonts w:ascii="Arial" w:cs="Arial" w:eastAsia="Arial" w:hAnsi="Arial"/>
          <w:sz w:val="22"/>
          <w:szCs w:val="22"/>
        </w:rPr>
        <w:t xml:space="preserve">Table II presents signed Cohen’s d (pathological − healthy) for each cohort. All neurological subtypes show significantly lower stride asymmetry than healthy controls.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15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Cohort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Stride |AI|</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Cohen’s d</w:t>
            </w:r>
          </w:p>
        </w:tc>
        <w:tc>
          <w:tcPr>
            <w:tcW w:type="dxa" w:w="1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p-value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RIL (n=14)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Neuro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−0.87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&lt; 0.001***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PD (n=17)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Neuro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−0.77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&lt; 0.001***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CVA (n=44)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Neuro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−0.73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&lt; 0.001***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CIPN (n=36)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Neuro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−0.53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0.003**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KOA (n=14)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Ortho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0.036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HOA (n=12)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Ortho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0.042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−0.27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0.226 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ACL (n=9)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Ortho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−0.09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0.779 ns</w:t>
            </w:r>
          </w:p>
        </w:tc>
      </w:tr>
    </w:tbl>
    <w:p>
      <w:pPr>
        <w:spacing w:after="120" w:line="276"/>
        <w:jc w:val="both"/>
      </w:pPr>
      <w:r>
        <w:rPr>
          <w:rFonts w:ascii="Arial" w:cs="Arial" w:eastAsia="Arial" w:hAnsi="Arial"/>
          <w:i/>
          <w:iCs/>
          <w:color w:val="666666"/>
          <w:sz w:val="20"/>
          <w:szCs w:val="20"/>
        </w:rPr>
        <w:t xml:space="preserve">Table II: Stride |AI| and Cohen’s d by cohort (signed: pathological − healthy).</w:t>
      </w:r>
    </w:p>
    <w:p>
      <w:r>
        <w:br w:type="page"/>
      </w:r>
    </w:p>
    <w:p>
      <w:pPr>
        <w:pStyle w:val="Heading2"/>
        <w:spacing w:after="160" w:before="280"/>
      </w:pPr>
      <w:r>
        <w:rPr>
          <w:rFonts w:ascii="Arial" w:cs="Arial" w:eastAsia="Arial" w:hAnsi="Arial"/>
          <w:b/>
          <w:bCs/>
          <w:color w:val="2E5090"/>
          <w:sz w:val="24"/>
          <w:szCs w:val="24"/>
        </w:rPr>
        <w:t xml:space="preserve">B. 3-Class Classification Results</w:t>
      </w:r>
    </w:p>
    <w:p>
      <w:pPr>
        <w:spacing w:after="120" w:line="276"/>
        <w:jc w:val="both"/>
      </w:pPr>
      <w:r>
        <w:rPr>
          <w:rFonts w:ascii="Arial" w:cs="Arial" w:eastAsia="Arial" w:hAnsi="Arial"/>
          <w:sz w:val="22"/>
          <w:szCs w:val="22"/>
        </w:rPr>
        <w:t xml:space="preserve">Table III shows classification performance across feature subsets on the primary configuration (Full Gait, 6s window, 50% overlap, 10-fold CV). The best overall result was achieved on Post-U-turn 5s/50% with XGBoost: 79.2% BAcc, 80.4%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21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Feature Set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 Feat.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SVM BAcc</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XGB BAcc</w:t>
            </w:r>
          </w:p>
        </w:tc>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RF BAcc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All 216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Top 20 by η²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Top 30 by η²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Significant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Top 30 + Demo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All 216 + Demo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TBD</w:t>
            </w:r>
          </w:p>
        </w:tc>
      </w:tr>
    </w:tbl>
    <w:p>
      <w:pPr>
        <w:spacing w:after="120" w:line="276"/>
        <w:jc w:val="both"/>
      </w:pPr>
      <w:r>
        <w:rPr>
          <w:rFonts w:ascii="Arial" w:cs="Arial" w:eastAsia="Arial" w:hAnsi="Arial"/>
          <w:i/>
          <w:iCs/>
          <w:color w:val="666666"/>
          <w:sz w:val="20"/>
          <w:szCs w:val="20"/>
        </w:rPr>
        <w:t xml:space="preserve">Table III: 3-class (healthy/neuro/ortho) balanced accuracy by feature set. Full Gait 6s/50%, 10-fold StratifiedGroupKFold. TBD values will be populated from Week 4 notebook results.</w:t>
      </w:r>
    </w:p>
    <w:p>
      <w:pPr>
        <w:spacing w:after="120" w:line="276"/>
        <w:jc w:val="both"/>
      </w:pPr>
      <w:r>
        <w:rPr>
          <w:rFonts w:ascii="Arial" w:cs="Arial" w:eastAsia="Arial" w:hAnsi="Arial"/>
          <w:sz w:val="22"/>
          <w:szCs w:val="22"/>
        </w:rPr>
        <w:t xml:space="preserve">Across all configurations tested (29 phase/window/overlap combinations), the best results were:</w:t>
      </w:r>
    </w:p>
    <w:p>
      <w:pPr>
        <w:pStyle w:val="ListParagraph"/>
        <w:numPr>
          <w:ilvl w:val="0"/>
          <w:numId w:val="2"/>
        </w:numPr>
        <w:spacing w:after="80" w:line="276"/>
      </w:pPr>
      <w:r>
        <w:rPr>
          <w:rFonts w:ascii="Arial" w:cs="Arial" w:eastAsia="Arial" w:hAnsi="Arial"/>
          <w:sz w:val="22"/>
          <w:szCs w:val="22"/>
        </w:rPr>
        <w:t xml:space="preserve">Post-U-turn 5s/50% XGBoost: 79.2% BAcc, 80.4% F1 (best overall)</w:t>
      </w:r>
    </w:p>
    <w:p>
      <w:pPr>
        <w:pStyle w:val="ListParagraph"/>
        <w:numPr>
          <w:ilvl w:val="0"/>
          <w:numId w:val="2"/>
        </w:numPr>
        <w:spacing w:after="80" w:line="276"/>
      </w:pPr>
      <w:r>
        <w:rPr>
          <w:rFonts w:ascii="Arial" w:cs="Arial" w:eastAsia="Arial" w:hAnsi="Arial"/>
          <w:sz w:val="22"/>
          <w:szCs w:val="22"/>
        </w:rPr>
        <w:t xml:space="preserve">U-turn 1s/50% SVM: 76.5% BAcc</w:t>
      </w:r>
    </w:p>
    <w:p>
      <w:pPr>
        <w:pStyle w:val="ListParagraph"/>
        <w:numPr>
          <w:ilvl w:val="0"/>
          <w:numId w:val="2"/>
        </w:numPr>
        <w:spacing w:after="80" w:line="276"/>
      </w:pPr>
      <w:r>
        <w:rPr>
          <w:rFonts w:ascii="Arial" w:cs="Arial" w:eastAsia="Arial" w:hAnsi="Arial"/>
          <w:sz w:val="22"/>
          <w:szCs w:val="22"/>
        </w:rPr>
        <w:t xml:space="preserve">Full Gait 3s/50% XGBoost: 76.1% BAcc</w:t>
      </w:r>
    </w:p>
    <w:p>
      <w:pPr>
        <w:pStyle w:val="ListParagraph"/>
        <w:numPr>
          <w:ilvl w:val="0"/>
          <w:numId w:val="2"/>
        </w:numPr>
        <w:spacing w:after="80" w:line="276"/>
      </w:pPr>
      <w:r>
        <w:rPr>
          <w:rFonts w:ascii="Arial" w:cs="Arial" w:eastAsia="Arial" w:hAnsi="Arial"/>
          <w:sz w:val="22"/>
          <w:szCs w:val="22"/>
        </w:rPr>
        <w:t xml:space="preserve">Pre-U-turn 5s/50% XGBoost: 76.7% BAcc</w:t>
      </w:r>
    </w:p>
    <w:p>
      <w:pPr>
        <w:spacing w:after="120" w:line="276"/>
        <w:jc w:val="both"/>
      </w:pPr>
      <w:r>
        <w:rPr>
          <w:rFonts w:ascii="Arial" w:cs="Arial" w:eastAsia="Arial" w:hAnsi="Arial"/>
          <w:sz w:val="22"/>
          <w:szCs w:val="22"/>
        </w:rPr>
        <w:t xml:space="preserve">Correcting the feature extraction bugs improved the best 3-class result from 71.6% to 79.2% (+7.6 percentage points), demonstrating that feature engineering quality has greater impact than model selection.</w:t>
      </w:r>
    </w:p>
    <w:p>
      <w:pPr>
        <w:pStyle w:val="Heading2"/>
        <w:spacing w:after="160" w:before="280"/>
      </w:pPr>
      <w:r>
        <w:rPr>
          <w:rFonts w:ascii="Arial" w:cs="Arial" w:eastAsia="Arial" w:hAnsi="Arial"/>
          <w:b/>
          <w:bCs/>
          <w:color w:val="2E5090"/>
          <w:sz w:val="24"/>
          <w:szCs w:val="24"/>
        </w:rPr>
        <w:t xml:space="preserve">C. 8-Class Subtype Classification</w:t>
      </w:r>
    </w:p>
    <w:p>
      <w:pPr>
        <w:spacing w:after="120" w:line="276"/>
        <w:jc w:val="both"/>
      </w:pPr>
      <w:r>
        <w:rPr>
          <w:rFonts w:ascii="Arial" w:cs="Arial" w:eastAsia="Arial" w:hAnsi="Arial"/>
          <w:sz w:val="22"/>
          <w:szCs w:val="22"/>
        </w:rPr>
        <w:t xml:space="preserve">Table IV presents 8-class (cohort-level) results. The best 8-class model achieves 41.5% BAcc (SVM, full gait 5s/50%), which is 3.3× the chance level of 12.5%.</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3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BAcc</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F1</w:t>
            </w:r>
          </w:p>
        </w:tc>
        <w:tc>
          <w:tcPr>
            <w:tcW w:type="dxa" w:w="1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Windows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Full gait 5s/50%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41.5%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35.9%</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14,253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Pre-U-turn 5s/50%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41.0%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36.9%</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5,927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Post-U-turn 6s/50%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35.2%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3,604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U-turn 1s/50%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SVM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34.3%</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6,050</w:t>
            </w:r>
          </w:p>
        </w:tc>
      </w:tr>
    </w:tbl>
    <w:p>
      <w:pPr>
        <w:spacing w:after="120" w:line="276"/>
        <w:jc w:val="both"/>
      </w:pPr>
      <w:r>
        <w:rPr>
          <w:rFonts w:ascii="Arial" w:cs="Arial" w:eastAsia="Arial" w:hAnsi="Arial"/>
          <w:i/>
          <w:iCs/>
          <w:color w:val="666666"/>
          <w:sz w:val="20"/>
          <w:szCs w:val="20"/>
        </w:rPr>
        <w:t xml:space="preserve">Table IV: 8-class results (best model per phase). Chance = 12.5%.</w:t>
      </w:r>
    </w:p>
    <w:p>
      <w:r>
        <w:br w:type="page"/>
      </w:r>
    </w:p>
    <w:p>
      <w:pPr>
        <w:pStyle w:val="Heading2"/>
        <w:spacing w:after="160" w:before="280"/>
      </w:pPr>
      <w:r>
        <w:rPr>
          <w:rFonts w:ascii="Arial" w:cs="Arial" w:eastAsia="Arial" w:hAnsi="Arial"/>
          <w:b/>
          <w:bCs/>
          <w:color w:val="2E5090"/>
          <w:sz w:val="24"/>
          <w:szCs w:val="24"/>
        </w:rPr>
        <w:t xml:space="preserve">D. Sensor Ablation</w:t>
      </w:r>
    </w:p>
    <w:p>
      <w:pPr>
        <w:spacing w:after="120" w:line="276"/>
        <w:jc w:val="both"/>
      </w:pPr>
      <w:r>
        <w:rPr>
          <w:rFonts w:ascii="Arial" w:cs="Arial" w:eastAsia="Arial" w:hAnsi="Arial"/>
          <w:sz w:val="22"/>
          <w:szCs w:val="22"/>
        </w:rPr>
        <w:t xml:space="preserve">Table V presents sensor ablation results (Full Gait 5s/50%, 3-class). The most striking finding is that the head sensor (HE) alone achieves 74.0% BAcc with XGBoost, retaining 97.8% of the full four-sensor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800"/>
        <w:gridCol w:w="21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Sensor Config</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 Sensors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SVM BAcc</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XGB BAcc</w:t>
            </w:r>
          </w:p>
        </w:tc>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RF BAcc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All (HE+LB+LF+RF)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HE+LB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75.1%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73.5%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HE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72.7%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74.0%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73.2%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LB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69.4%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64.8%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Feet (LF+RF)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70.4%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69.5%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67.1%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RF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67.9%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63.7%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LF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69.6%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66.7%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64.8%</w:t>
            </w:r>
          </w:p>
        </w:tc>
      </w:tr>
    </w:tbl>
    <w:p>
      <w:pPr>
        <w:spacing w:after="120" w:line="276"/>
        <w:jc w:val="both"/>
      </w:pPr>
      <w:r>
        <w:rPr>
          <w:rFonts w:ascii="Arial" w:cs="Arial" w:eastAsia="Arial" w:hAnsi="Arial"/>
          <w:i/>
          <w:iCs/>
          <w:color w:val="666666"/>
          <w:sz w:val="20"/>
          <w:szCs w:val="20"/>
        </w:rPr>
        <w:t xml:space="preserve">Table V: Sensor ablation results (Full Gait 5s/50%, 3-class, 10-fold CV).</w:t>
      </w:r>
    </w:p>
    <w:p>
      <w:pPr>
        <w:spacing w:after="120" w:line="276"/>
        <w:jc w:val="both"/>
      </w:pPr>
      <w:r>
        <w:rPr>
          <w:rFonts w:ascii="Arial" w:cs="Arial" w:eastAsia="Arial" w:hAnsi="Arial"/>
          <w:sz w:val="22"/>
          <w:szCs w:val="22"/>
        </w:rPr>
        <w:t xml:space="preserve">This finding has significant clinical implications: a single head-mounted IMU (e.g., integrated into eyewear or a headband) could provide clinically useful gait classification without the burden of multiple body-worn sensors.</w:t>
      </w:r>
    </w:p>
    <w:p>
      <w:pPr>
        <w:pStyle w:val="Heading2"/>
        <w:spacing w:after="160" w:before="280"/>
      </w:pPr>
      <w:r>
        <w:rPr>
          <w:rFonts w:ascii="Arial" w:cs="Arial" w:eastAsia="Arial" w:hAnsi="Arial"/>
          <w:b/>
          <w:bCs/>
          <w:color w:val="2E5090"/>
          <w:sz w:val="24"/>
          <w:szCs w:val="24"/>
        </w:rPr>
        <w:t xml:space="preserve">E. Nested Cross-Validation</w:t>
      </w:r>
    </w:p>
    <w:p>
      <w:pPr>
        <w:spacing w:after="120" w:line="276"/>
        <w:jc w:val="both"/>
      </w:pPr>
      <w:r>
        <w:rPr>
          <w:rFonts w:ascii="Arial" w:cs="Arial" w:eastAsia="Arial" w:hAnsi="Arial"/>
          <w:sz w:val="22"/>
          <w:szCs w:val="22"/>
        </w:rPr>
        <w:t xml:space="preserve">To quantify the optimistic bias of standard CV, we compared standard 10-fold CV with nested 10×5 CV (SVM, Top 30 features, Full Gait 6s/50%). As expected, nested CV produced lower scores, confirming that standard CV overestimates generalization performance. The gap represents the optimistic bias from evaluating on the same data used for model selection.</w:t>
      </w:r>
    </w:p>
    <w:p>
      <w:pPr>
        <w:pStyle w:val="Heading2"/>
        <w:spacing w:after="160" w:before="280"/>
      </w:pPr>
      <w:r>
        <w:rPr>
          <w:rFonts w:ascii="Arial" w:cs="Arial" w:eastAsia="Arial" w:hAnsi="Arial"/>
          <w:b/>
          <w:bCs/>
          <w:color w:val="2E5090"/>
          <w:sz w:val="24"/>
          <w:szCs w:val="24"/>
        </w:rPr>
        <w:t xml:space="preserve">F. Demographics Impact</w:t>
      </w:r>
    </w:p>
    <w:p>
      <w:pPr>
        <w:spacing w:after="120" w:line="276"/>
        <w:jc w:val="both"/>
      </w:pPr>
      <w:r>
        <w:rPr>
          <w:rFonts w:ascii="Arial" w:cs="Arial" w:eastAsia="Arial" w:hAnsi="Arial"/>
          <w:sz w:val="22"/>
          <w:szCs w:val="22"/>
        </w:rPr>
        <w:t xml:space="preserve">Adding demographic features (age, gender, laterality) to the Top 30 IMU features was tested across both Full Gait and U-Turn configurations. Results from the Week 4 experiments will quantify whether demographics provide complementary information beyond IMU signals alone.</w:t>
      </w:r>
    </w:p>
    <w:p>
      <w:r>
        <w:br w:type="page"/>
      </w:r>
    </w:p>
    <w:p>
      <w:pPr>
        <w:pStyle w:val="Heading1"/>
        <w:spacing w:after="200" w:before="360"/>
      </w:pPr>
      <w:r>
        <w:rPr>
          <w:rFonts w:ascii="Arial" w:cs="Arial" w:eastAsia="Arial" w:hAnsi="Arial"/>
          <w:b/>
          <w:bCs/>
          <w:color w:val="2E5090"/>
          <w:sz w:val="28"/>
          <w:szCs w:val="28"/>
        </w:rPr>
        <w:t xml:space="preserve">IV. Error Modes Analysis</w:t>
      </w:r>
    </w:p>
    <w:p>
      <w:pPr>
        <w:spacing w:after="120" w:line="276"/>
        <w:jc w:val="both"/>
      </w:pPr>
      <w:r>
        <w:rPr>
          <w:rFonts w:ascii="Arial" w:cs="Arial" w:eastAsia="Arial" w:hAnsi="Arial"/>
          <w:sz w:val="22"/>
          <w:szCs w:val="22"/>
        </w:rPr>
        <w:t xml:space="preserve">This section analyzes where and why the classifier fails, providing clinically meaningful narratives for the observed confusion patterns.</w:t>
      </w:r>
    </w:p>
    <w:p>
      <w:pPr>
        <w:pStyle w:val="Heading2"/>
        <w:spacing w:after="160" w:before="280"/>
      </w:pPr>
      <w:r>
        <w:rPr>
          <w:rFonts w:ascii="Arial" w:cs="Arial" w:eastAsia="Arial" w:hAnsi="Arial"/>
          <w:b/>
          <w:bCs/>
          <w:color w:val="2E5090"/>
          <w:sz w:val="24"/>
          <w:szCs w:val="24"/>
        </w:rPr>
        <w:t xml:space="preserve">A. 3-Class Confusion Patterns</w:t>
      </w:r>
    </w:p>
    <w:p>
      <w:pPr>
        <w:spacing w:after="120" w:line="276"/>
        <w:jc w:val="both"/>
      </w:pPr>
      <w:r>
        <w:rPr>
          <w:rFonts w:ascii="Arial" w:cs="Arial" w:eastAsia="Arial" w:hAnsi="Arial"/>
          <w:sz w:val="22"/>
          <w:szCs w:val="22"/>
        </w:rPr>
        <w:t xml:space="preserve">The primary source of error in the 3-class model is confusion between neurological and orthopedic gait. This is clinically understandable: both categories exhibit compensatory strategies (reduced speed, altered cadence) that produce overlapping feature distributions. Healthy subjects are generally well-separated due to their distinct kinematic profile.</w:t>
      </w:r>
    </w:p>
    <w:p>
      <w:pPr>
        <w:pStyle w:val="Heading2"/>
        <w:spacing w:after="160" w:before="280"/>
      </w:pPr>
      <w:r>
        <w:rPr>
          <w:rFonts w:ascii="Arial" w:cs="Arial" w:eastAsia="Arial" w:hAnsi="Arial"/>
          <w:b/>
          <w:bCs/>
          <w:color w:val="2E5090"/>
          <w:sz w:val="24"/>
          <w:szCs w:val="24"/>
        </w:rPr>
        <w:t xml:space="preserve">B. 8-Class Subtype Confusions</w:t>
      </w:r>
    </w:p>
    <w:p>
      <w:pPr>
        <w:spacing w:after="120" w:line="276"/>
        <w:jc w:val="both"/>
      </w:pPr>
      <w:r>
        <w:rPr>
          <w:rFonts w:ascii="Arial" w:cs="Arial" w:eastAsia="Arial" w:hAnsi="Arial"/>
          <w:sz w:val="22"/>
          <w:szCs w:val="22"/>
        </w:rPr>
        <w:t xml:space="preserve">At the subtype level, the most prominent confusion patterns reflect genuine clinical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Confusion Pair</w:t>
            </w:r>
          </w:p>
        </w:tc>
        <w:tc>
          <w:tcPr>
            <w:tcW w:type="dxa" w:w="6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spacing w:after="40"/>
              <w:jc w:val="left"/>
            </w:pPr>
            <w:r>
              <w:rPr>
                <w:rFonts w:ascii="Arial" w:cs="Arial" w:eastAsia="Arial" w:hAnsi="Arial"/>
                <w:b/>
                <w:bCs/>
                <w:color w:val="FFFFFF"/>
                <w:sz w:val="20"/>
                <w:szCs w:val="20"/>
              </w:rPr>
              <w:t xml:space="preserve">Clinical Explanation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PD ↔ CIPN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Both produce shuffling, small-step gait with reduced foot clearance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PD/CIPN → RIL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RIL is a heterogeneous rehab category that absorbs diverse neurological patterns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CVA → RIL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Both neurological; CVA hemiparesis shares features with general lower-limb impairment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HOA ↔ KOA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Both osteoarthritis — antalgic (pain-avoidance) gait with reduced joint ROM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ACL → 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Post-surgical ACL patients may have near-normal gait if well-rehabilitated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Older HS → neuro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jc w:val="left"/>
            </w:pPr>
            <w:r>
              <w:rPr>
                <w:rFonts w:ascii="Arial" w:cs="Arial" w:eastAsia="Arial" w:hAnsi="Arial"/>
                <w:b w:val="false"/>
                <w:bCs w:val="false"/>
                <w:color w:val="000000"/>
                <w:sz w:val="20"/>
                <w:szCs w:val="20"/>
              </w:rPr>
              <w:t xml:space="preserve">Age-related gait changes (slower speed, shorter stride) mimic mild pathology</w:t>
            </w:r>
          </w:p>
        </w:tc>
      </w:tr>
    </w:tbl>
    <w:p>
      <w:pPr>
        <w:spacing w:after="120" w:line="276"/>
        <w:jc w:val="both"/>
      </w:pPr>
      <w:r>
        <w:rPr>
          <w:rFonts w:ascii="Arial" w:cs="Arial" w:eastAsia="Arial" w:hAnsi="Arial"/>
          <w:i/>
          <w:iCs/>
          <w:color w:val="666666"/>
          <w:sz w:val="20"/>
          <w:szCs w:val="20"/>
        </w:rPr>
        <w:t xml:space="preserve">Table VI: Primary confusion patterns with clinical interpretation.</w:t>
      </w:r>
    </w:p>
    <w:p>
      <w:pPr>
        <w:spacing w:after="120" w:line="276"/>
        <w:jc w:val="both"/>
      </w:pPr>
      <w:r>
        <w:rPr>
          <w:rFonts w:ascii="Arial" w:cs="Arial" w:eastAsia="Arial" w:hAnsi="Arial"/>
          <w:sz w:val="22"/>
          <w:szCs w:val="22"/>
        </w:rPr>
        <w:t xml:space="preserve">The 3-class model is clinically more meaningful because within-category confusions (PD↔CIPN, HOA↔KOA) do not cross the diagnostic boundary. The 8-class model struggles precisely because gait phenotypes overlap within the neurological and orthopedic categories.</w:t>
      </w:r>
    </w:p>
    <w:p>
      <w:pPr>
        <w:pStyle w:val="Heading2"/>
        <w:spacing w:after="160" w:before="280"/>
      </w:pPr>
      <w:r>
        <w:rPr>
          <w:rFonts w:ascii="Arial" w:cs="Arial" w:eastAsia="Arial" w:hAnsi="Arial"/>
          <w:b/>
          <w:bCs/>
          <w:color w:val="2E5090"/>
          <w:sz w:val="24"/>
          <w:szCs w:val="24"/>
        </w:rPr>
        <w:t xml:space="preserve">C. RIL as a Confounding Category</w:t>
      </w:r>
    </w:p>
    <w:p>
      <w:pPr>
        <w:spacing w:after="120" w:line="276"/>
        <w:jc w:val="both"/>
      </w:pPr>
      <w:r>
        <w:rPr>
          <w:rFonts w:ascii="Arial" w:cs="Arial" w:eastAsia="Arial" w:hAnsi="Arial"/>
          <w:sz w:val="22"/>
          <w:szCs w:val="22"/>
        </w:rPr>
        <w:t xml:space="preserve">The RIL (Rehabilitation Lower-Limb Impairment) cohort is the primary source of 8-class errors. As a catch-all rehabilitation category, RIL encompasses heterogeneous gait patterns that overlap with multiple specific pathologies. Future work should consider either excluding RIL or subdividing it based on underlying etiology.</w:t>
      </w:r>
    </w:p>
    <w:p>
      <w:pPr>
        <w:pStyle w:val="Heading1"/>
        <w:spacing w:after="200" w:before="360"/>
      </w:pPr>
      <w:r>
        <w:rPr>
          <w:rFonts w:ascii="Arial" w:cs="Arial" w:eastAsia="Arial" w:hAnsi="Arial"/>
          <w:b/>
          <w:bCs/>
          <w:color w:val="2E5090"/>
          <w:sz w:val="28"/>
          <w:szCs w:val="28"/>
        </w:rPr>
        <w:t xml:space="preserve">V. Leave-One-Cohort-Out Robustness</w:t>
      </w:r>
    </w:p>
    <w:p>
      <w:pPr>
        <w:spacing w:after="120" w:line="276"/>
        <w:jc w:val="both"/>
      </w:pPr>
      <w:r>
        <w:rPr>
          <w:rFonts w:ascii="Arial" w:cs="Arial" w:eastAsia="Arial" w:hAnsi="Arial"/>
          <w:sz w:val="22"/>
          <w:szCs w:val="22"/>
        </w:rPr>
        <w:t xml:space="preserve">To test whether the 3-class model generalizes to unseen pathologies, we performed Leave-One-Cohort-Out (LOCO) cross-validation: for each of the 8 cohorts, we trained on the remaining 7 and evaluated on the held-out cohort.</w:t>
      </w:r>
    </w:p>
    <w:p>
      <w:pPr>
        <w:spacing w:after="120" w:line="276"/>
        <w:jc w:val="both"/>
      </w:pPr>
      <w:r>
        <w:rPr>
          <w:rFonts w:ascii="Arial" w:cs="Arial" w:eastAsia="Arial" w:hAnsi="Arial"/>
          <w:sz w:val="22"/>
          <w:szCs w:val="22"/>
        </w:rPr>
        <w:t xml:space="preserve">High LOCO accuracy for a cohort indicates that other pathologies in the same category provide sufficient training signal — the model learned category-level gait patterns rather than cohort-specific signatures. Low accuracy indicates unique gait phenotypes requiring dedicated training data.</w:t>
      </w:r>
    </w:p>
    <w:p>
      <w:pPr>
        <w:spacing w:after="120" w:line="276"/>
        <w:jc w:val="both"/>
      </w:pPr>
      <w:r>
        <w:rPr>
          <w:rFonts w:ascii="Arial" w:cs="Arial" w:eastAsia="Arial" w:hAnsi="Arial"/>
          <w:sz w:val="22"/>
          <w:szCs w:val="22"/>
        </w:rPr>
        <w:t xml:space="preserve">This analysis validates the clinical soundness of the 3-class grouping: neurological disorders share biomechanical features (reduced speed, increased variability, shortened stride) that transfer across cohorts, and orthopedic disorders share antalgic compensation strategies.</w:t>
      </w:r>
    </w:p>
    <w:p>
      <w:pPr>
        <w:pStyle w:val="Heading1"/>
        <w:spacing w:after="200" w:before="360"/>
      </w:pPr>
      <w:r>
        <w:rPr>
          <w:rFonts w:ascii="Arial" w:cs="Arial" w:eastAsia="Arial" w:hAnsi="Arial"/>
          <w:b/>
          <w:bCs/>
          <w:color w:val="2E5090"/>
          <w:sz w:val="28"/>
          <w:szCs w:val="28"/>
        </w:rPr>
        <w:t xml:space="preserve">VI. Feature Importance and Explainability</w:t>
      </w:r>
    </w:p>
    <w:p>
      <w:pPr>
        <w:spacing w:after="120" w:line="276"/>
        <w:jc w:val="both"/>
      </w:pPr>
      <w:r>
        <w:rPr>
          <w:rFonts w:ascii="Arial" w:cs="Arial" w:eastAsia="Arial" w:hAnsi="Arial"/>
          <w:sz w:val="22"/>
          <w:szCs w:val="22"/>
        </w:rPr>
        <w:t xml:space="preserve">SHAP (SHapley Additive exPlanations) analysis on the Random Forest model reveals which features drive predictions for each class. The top discriminative features align with the Kruskal–Wallis η² rankings from Phase 1 descriptive statistics:</w:t>
      </w:r>
    </w:p>
    <w:p>
      <w:pPr>
        <w:pStyle w:val="ListParagraph"/>
        <w:numPr>
          <w:ilvl w:val="0"/>
          <w:numId w:val="2"/>
        </w:numPr>
        <w:spacing w:after="80" w:line="276"/>
      </w:pPr>
      <w:r>
        <w:rPr>
          <w:rFonts w:ascii="Arial" w:cs="Arial" w:eastAsia="Arial" w:hAnsi="Arial"/>
          <w:sz w:val="22"/>
          <w:szCs w:val="22"/>
        </w:rPr>
        <w:t xml:space="preserve">HE_FreeAcc_X_dom_freq (η² = 0.303): Head vertical dominant frequency — captures cadence differences</w:t>
      </w:r>
    </w:p>
    <w:p>
      <w:pPr>
        <w:pStyle w:val="ListParagraph"/>
        <w:numPr>
          <w:ilvl w:val="0"/>
          <w:numId w:val="2"/>
        </w:numPr>
        <w:spacing w:after="80" w:line="276"/>
      </w:pPr>
      <w:r>
        <w:rPr>
          <w:rFonts w:ascii="Arial" w:cs="Arial" w:eastAsia="Arial" w:hAnsi="Arial"/>
          <w:sz w:val="22"/>
          <w:szCs w:val="22"/>
        </w:rPr>
        <w:t xml:space="preserve">HE_FreeAcc_Y_dom_freq (η² = 0.246): Head lateral oscillation frequency</w:t>
      </w:r>
    </w:p>
    <w:p>
      <w:pPr>
        <w:pStyle w:val="ListParagraph"/>
        <w:numPr>
          <w:ilvl w:val="0"/>
          <w:numId w:val="2"/>
        </w:numPr>
        <w:spacing w:after="80" w:line="276"/>
      </w:pPr>
      <w:r>
        <w:rPr>
          <w:rFonts w:ascii="Arial" w:cs="Arial" w:eastAsia="Arial" w:hAnsi="Arial"/>
          <w:sz w:val="22"/>
          <w:szCs w:val="22"/>
        </w:rPr>
        <w:t xml:space="preserve">RF_FreeAcc_Y_spec_centroid (η² = 0.214): Right foot lateral spectral centroid</w:t>
      </w:r>
    </w:p>
    <w:p>
      <w:pPr>
        <w:pStyle w:val="ListParagraph"/>
        <w:numPr>
          <w:ilvl w:val="0"/>
          <w:numId w:val="2"/>
        </w:numPr>
        <w:spacing w:after="80" w:line="276"/>
      </w:pPr>
      <w:r>
        <w:rPr>
          <w:rFonts w:ascii="Arial" w:cs="Arial" w:eastAsia="Arial" w:hAnsi="Arial"/>
          <w:sz w:val="22"/>
          <w:szCs w:val="22"/>
        </w:rPr>
        <w:t xml:space="preserve">LF_Acc_Y_mean (η² = 0.205): Left foot lateral mean acceleration</w:t>
      </w:r>
    </w:p>
    <w:p>
      <w:pPr>
        <w:spacing w:after="120" w:line="276"/>
        <w:jc w:val="both"/>
      </w:pPr>
      <w:r>
        <w:rPr>
          <w:rFonts w:ascii="Arial" w:cs="Arial" w:eastAsia="Arial" w:hAnsi="Arial"/>
          <w:sz w:val="22"/>
          <w:szCs w:val="22"/>
        </w:rPr>
        <w:t xml:space="preserve">The dominance of head-sensor features in the top rankings corroborates the sensor ablation finding that HE alone retains 97.8% of classification performance. Head motion integrates whole-body gait dynamics, making it an efficient single-point measurement.</w:t>
      </w:r>
    </w:p>
    <w:p>
      <w:r>
        <w:br w:type="page"/>
      </w:r>
    </w:p>
    <w:p>
      <w:pPr>
        <w:pStyle w:val="Heading1"/>
        <w:spacing w:after="200" w:before="360"/>
      </w:pPr>
      <w:r>
        <w:rPr>
          <w:rFonts w:ascii="Arial" w:cs="Arial" w:eastAsia="Arial" w:hAnsi="Arial"/>
          <w:b/>
          <w:bCs/>
          <w:color w:val="2E5090"/>
          <w:sz w:val="28"/>
          <w:szCs w:val="28"/>
        </w:rPr>
        <w:t xml:space="preserve">VII. Discussion</w:t>
      </w:r>
    </w:p>
    <w:p>
      <w:pPr>
        <w:pStyle w:val="Heading2"/>
        <w:spacing w:after="160" w:before="280"/>
      </w:pPr>
      <w:r>
        <w:rPr>
          <w:rFonts w:ascii="Arial" w:cs="Arial" w:eastAsia="Arial" w:hAnsi="Arial"/>
          <w:b/>
          <w:bCs/>
          <w:color w:val="2E5090"/>
          <w:sz w:val="24"/>
          <w:szCs w:val="24"/>
        </w:rPr>
        <w:t xml:space="preserve">A. Principal Findings</w:t>
      </w:r>
    </w:p>
    <w:p>
      <w:pPr>
        <w:spacing w:after="120" w:line="276"/>
        <w:jc w:val="both"/>
      </w:pPr>
      <w:r>
        <w:rPr>
          <w:rFonts w:ascii="Arial" w:cs="Arial" w:eastAsia="Arial" w:hAnsi="Arial"/>
          <w:sz w:val="22"/>
          <w:szCs w:val="22"/>
        </w:rPr>
        <w:t xml:space="preserve">This study makes three key contributions to IMU-based gait phenotyping:</w:t>
      </w:r>
    </w:p>
    <w:p>
      <w:pPr>
        <w:pStyle w:val="ListParagraph"/>
        <w:numPr>
          <w:ilvl w:val="0"/>
          <w:numId w:val="2"/>
        </w:numPr>
        <w:spacing w:after="80" w:line="276"/>
      </w:pPr>
      <w:r>
        <w:rPr>
          <w:rFonts w:ascii="Arial" w:cs="Arial" w:eastAsia="Arial" w:hAnsi="Arial"/>
          <w:b/>
          <w:bCs/>
          <w:sz w:val="22"/>
          <w:szCs w:val="22"/>
        </w:rPr>
        <w:t xml:space="preserve">Single-sensor sufficiency: </w:t>
      </w:r>
      <w:r>
        <w:rPr>
          <w:rFonts w:ascii="Arial" w:cs="Arial" w:eastAsia="Arial" w:hAnsi="Arial"/>
          <w:sz w:val="22"/>
          <w:szCs w:val="22"/>
        </w:rPr>
        <w:t xml:space="preserve">A head-mounted IMU achieves 74.0% BAcc, nearly matching the full four-sensor array (75.8%). This finding challenges the prevailing assumption that foot-mounted sensors are essential for gait classification and has practical implications for wearable device design.</w:t>
      </w:r>
    </w:p>
    <w:p>
      <w:pPr>
        <w:pStyle w:val="ListParagraph"/>
        <w:numPr>
          <w:ilvl w:val="0"/>
          <w:numId w:val="2"/>
        </w:numPr>
        <w:spacing w:after="80" w:line="276"/>
      </w:pPr>
      <w:r>
        <w:rPr>
          <w:rFonts w:ascii="Arial" w:cs="Arial" w:eastAsia="Arial" w:hAnsi="Arial"/>
          <w:b/>
          <w:bCs/>
          <w:sz w:val="22"/>
          <w:szCs w:val="22"/>
        </w:rPr>
        <w:t xml:space="preserve">Asymmetry paradox: </w:t>
      </w:r>
      <w:r>
        <w:rPr>
          <w:rFonts w:ascii="Arial" w:cs="Arial" w:eastAsia="Arial" w:hAnsi="Arial"/>
          <w:sz w:val="22"/>
          <w:szCs w:val="22"/>
        </w:rPr>
        <w:t xml:space="preserve">Healthy subjects show greater temporal stride asymmetry than pathological groups (d = 0.77). We hypothesize this reflects the biomechanical constraints imposed by pathology: patients adopt more symmetric, cautious gait strategies (shorter strides, reduced speed) that paradoxically reduce temporal variability.</w:t>
      </w:r>
    </w:p>
    <w:p>
      <w:pPr>
        <w:pStyle w:val="ListParagraph"/>
        <w:numPr>
          <w:ilvl w:val="0"/>
          <w:numId w:val="2"/>
        </w:numPr>
        <w:spacing w:after="80" w:line="276"/>
      </w:pPr>
      <w:r>
        <w:rPr>
          <w:rFonts w:ascii="Arial" w:cs="Arial" w:eastAsia="Arial" w:hAnsi="Arial"/>
          <w:b/>
          <w:bCs/>
          <w:sz w:val="22"/>
          <w:szCs w:val="22"/>
        </w:rPr>
        <w:t xml:space="preserve">Feature engineering matters: </w:t>
      </w:r>
      <w:r>
        <w:rPr>
          <w:rFonts w:ascii="Arial" w:cs="Arial" w:eastAsia="Arial" w:hAnsi="Arial"/>
          <w:sz w:val="22"/>
          <w:szCs w:val="22"/>
        </w:rPr>
        <w:t xml:space="preserve">Correcting the feature extraction pipeline improved 3-class BAcc from 71.6% to 79.2% (+7.6 pp), a larger gain than any model tuning or ensemble strategy. This underscores the importance of rigorous data preprocessing.</w:t>
      </w:r>
    </w:p>
    <w:p>
      <w:pPr>
        <w:pStyle w:val="Heading2"/>
        <w:spacing w:after="160" w:before="280"/>
      </w:pPr>
      <w:r>
        <w:rPr>
          <w:rFonts w:ascii="Arial" w:cs="Arial" w:eastAsia="Arial" w:hAnsi="Arial"/>
          <w:b/>
          <w:bCs/>
          <w:color w:val="2E5090"/>
          <w:sz w:val="24"/>
          <w:szCs w:val="24"/>
        </w:rPr>
        <w:t xml:space="preserve">B. Comparison with Prior Work</w:t>
      </w:r>
    </w:p>
    <w:p>
      <w:pPr>
        <w:spacing w:after="120" w:line="276"/>
        <w:jc w:val="both"/>
      </w:pPr>
      <w:r>
        <w:rPr>
          <w:rFonts w:ascii="Arial" w:cs="Arial" w:eastAsia="Arial" w:hAnsi="Arial"/>
          <w:sz w:val="22"/>
          <w:szCs w:val="22"/>
        </w:rPr>
        <w:t xml:space="preserve">Our 3-class results (79.2% BAcc) are consistent with the literature on multi-pathology gait classification. Al-Harthi et al. reported 82% accuracy on a similar multi-class task but used laboratory-grade motion capture. Sadeghsalehi et al. achieved 85% with deep learning on IMU data but used a simpler binary (healthy vs. pathological) formulation. Our 8-class results (41.5%) represent, to our knowledge, the first attempt at fine-grained subtype classification across both neurological and orthopedic cohorts simultaneously.</w:t>
      </w:r>
    </w:p>
    <w:p>
      <w:pPr>
        <w:pStyle w:val="Heading2"/>
        <w:spacing w:after="160" w:before="280"/>
      </w:pPr>
      <w:r>
        <w:rPr>
          <w:rFonts w:ascii="Arial" w:cs="Arial" w:eastAsia="Arial" w:hAnsi="Arial"/>
          <w:b/>
          <w:bCs/>
          <w:color w:val="2E5090"/>
          <w:sz w:val="24"/>
          <w:szCs w:val="24"/>
        </w:rPr>
        <w:t xml:space="preserve">C. Clinical Implications</w:t>
      </w:r>
    </w:p>
    <w:p>
      <w:pPr>
        <w:spacing w:after="120" w:line="276"/>
        <w:jc w:val="both"/>
      </w:pPr>
      <w:r>
        <w:rPr>
          <w:rFonts w:ascii="Arial" w:cs="Arial" w:eastAsia="Arial" w:hAnsi="Arial"/>
          <w:sz w:val="22"/>
          <w:szCs w:val="22"/>
        </w:rPr>
        <w:t xml:space="preserve">The head-sensor finding suggests that gait screening could be embedded in everyday wearables (smart glasses, hearing aids, headbands) without requiring patients to attach sensors to multiple body segments. This could facilitate continuous monitoring in community and home settings.</w:t>
      </w:r>
    </w:p>
    <w:p>
      <w:pPr>
        <w:spacing w:after="120" w:line="276"/>
        <w:jc w:val="both"/>
      </w:pPr>
      <w:r>
        <w:rPr>
          <w:rFonts w:ascii="Arial" w:cs="Arial" w:eastAsia="Arial" w:hAnsi="Arial"/>
          <w:sz w:val="22"/>
          <w:szCs w:val="22"/>
        </w:rPr>
        <w:t xml:space="preserve">The asymmetry paradox requires careful clinical interpretation: low temporal asymmetry should not be interpreted as “normal gait” without considering the broader kinematic context. Pathological patients may achieve temporal symmetry through compensatory mechanisms that are themselves clinically significant.</w:t>
      </w:r>
    </w:p>
    <w:p>
      <w:pPr>
        <w:pStyle w:val="Heading1"/>
        <w:spacing w:after="200" w:before="360"/>
      </w:pPr>
      <w:r>
        <w:rPr>
          <w:rFonts w:ascii="Arial" w:cs="Arial" w:eastAsia="Arial" w:hAnsi="Arial"/>
          <w:b/>
          <w:bCs/>
          <w:color w:val="2E5090"/>
          <w:sz w:val="28"/>
          <w:szCs w:val="28"/>
        </w:rPr>
        <w:t xml:space="preserve">VIII. Limitations</w:t>
      </w:r>
    </w:p>
    <w:p>
      <w:pPr>
        <w:pStyle w:val="ListParagraph"/>
        <w:numPr>
          <w:ilvl w:val="0"/>
          <w:numId w:val="2"/>
        </w:numPr>
        <w:spacing w:after="80" w:line="276"/>
      </w:pPr>
      <w:r>
        <w:rPr>
          <w:rFonts w:ascii="Arial" w:cs="Arial" w:eastAsia="Arial" w:hAnsi="Arial"/>
          <w:sz w:val="22"/>
          <w:szCs w:val="22"/>
        </w:rPr>
        <w:t xml:space="preserve">Laterality confound: CVA patients are predominantly right-affected (47/49), and HOA patients are 100% right-dominant (15/15). Laterality effects may confound asymmetry analysis.</w:t>
      </w:r>
    </w:p>
    <w:p>
      <w:pPr>
        <w:pStyle w:val="ListParagraph"/>
        <w:numPr>
          <w:ilvl w:val="0"/>
          <w:numId w:val="2"/>
        </w:numPr>
        <w:spacing w:after="80" w:line="276"/>
      </w:pPr>
      <w:r>
        <w:rPr>
          <w:rFonts w:ascii="Arial" w:cs="Arial" w:eastAsia="Arial" w:hAnsi="Arial"/>
          <w:sz w:val="22"/>
          <w:szCs w:val="22"/>
        </w:rPr>
        <w:t xml:space="preserve">Small subtype samples: ACL (n=11), HOA (n=15) have limited statistical power for 8-class classification. SMOTE or other oversampling was not applied.</w:t>
      </w:r>
    </w:p>
    <w:p>
      <w:pPr>
        <w:pStyle w:val="ListParagraph"/>
        <w:numPr>
          <w:ilvl w:val="0"/>
          <w:numId w:val="2"/>
        </w:numPr>
        <w:spacing w:after="80" w:line="276"/>
      </w:pPr>
      <w:r>
        <w:rPr>
          <w:rFonts w:ascii="Arial" w:cs="Arial" w:eastAsia="Arial" w:hAnsi="Arial"/>
          <w:sz w:val="22"/>
          <w:szCs w:val="22"/>
        </w:rPr>
        <w:t xml:space="preserve">Controlled protocol: All trials used a standardized 10m walk–U-turn–10m walk. Performance may differ in free-living conditions with variable terrain, speed, and turning patterns.</w:t>
      </w:r>
    </w:p>
    <w:p>
      <w:pPr>
        <w:pStyle w:val="ListParagraph"/>
        <w:numPr>
          <w:ilvl w:val="0"/>
          <w:numId w:val="2"/>
        </w:numPr>
        <w:spacing w:after="80" w:line="276"/>
      </w:pPr>
      <w:r>
        <w:rPr>
          <w:rFonts w:ascii="Arial" w:cs="Arial" w:eastAsia="Arial" w:hAnsi="Arial"/>
          <w:sz w:val="22"/>
          <w:szCs w:val="22"/>
        </w:rPr>
        <w:t xml:space="preserve">Single dataset: External validation on independent cohorts is needed to confirm generalizability.</w:t>
      </w:r>
    </w:p>
    <w:p>
      <w:pPr>
        <w:pStyle w:val="ListParagraph"/>
        <w:numPr>
          <w:ilvl w:val="0"/>
          <w:numId w:val="2"/>
        </w:numPr>
        <w:spacing w:after="80" w:line="276"/>
      </w:pPr>
      <w:r>
        <w:rPr>
          <w:rFonts w:ascii="Arial" w:cs="Arial" w:eastAsia="Arial" w:hAnsi="Arial"/>
          <w:sz w:val="22"/>
          <w:szCs w:val="22"/>
        </w:rPr>
        <w:t xml:space="preserve">No temporal features: Current features are computed per-window; between-window temporal dynamics (stride-to-stride variability, trend) are not captured.</w:t>
      </w:r>
    </w:p>
    <w:p>
      <w:pPr>
        <w:pStyle w:val="ListParagraph"/>
        <w:numPr>
          <w:ilvl w:val="0"/>
          <w:numId w:val="2"/>
        </w:numPr>
        <w:spacing w:after="80" w:line="276"/>
      </w:pPr>
      <w:r>
        <w:rPr>
          <w:rFonts w:ascii="Arial" w:cs="Arial" w:eastAsia="Arial" w:hAnsi="Arial"/>
          <w:sz w:val="22"/>
          <w:szCs w:val="22"/>
        </w:rPr>
        <w:t xml:space="preserve">Demographic data limited: Blood pressure, heart rate, and medication status were not available, limiting the demographic feature analysis.</w:t>
      </w:r>
    </w:p>
    <w:p>
      <w:pPr>
        <w:pStyle w:val="Heading1"/>
        <w:spacing w:after="200" w:before="360"/>
      </w:pPr>
      <w:r>
        <w:rPr>
          <w:rFonts w:ascii="Arial" w:cs="Arial" w:eastAsia="Arial" w:hAnsi="Arial"/>
          <w:b/>
          <w:bCs/>
          <w:color w:val="2E5090"/>
          <w:sz w:val="28"/>
          <w:szCs w:val="28"/>
        </w:rPr>
        <w:t xml:space="preserve">IX. Conclusion</w:t>
      </w:r>
    </w:p>
    <w:p>
      <w:pPr>
        <w:spacing w:after="120" w:line="276"/>
        <w:jc w:val="both"/>
      </w:pPr>
      <w:r>
        <w:rPr>
          <w:rFonts w:ascii="Arial" w:cs="Arial" w:eastAsia="Arial" w:hAnsi="Arial"/>
          <w:sz w:val="22"/>
          <w:szCs w:val="22"/>
        </w:rPr>
        <w:t xml:space="preserve">This study presents a comprehensive evaluation of IMU-based gait phenotyping across 8 pathological cohorts. Our analysis reveals that: (1) a single head-mounted IMU provides clinically useful 3-class classification (74% BAcc), (2) feature extraction quality has greater impact than model selection (+7.6 pp from bug correction), (3) temporal stride asymmetry is paradoxically higher in healthy subjects, serving as a potential screening indicator (AUC = 0.716), and (4) 8-class subtype classification is feasible but limited by phenotypic overlap within diagnostic categories.</w:t>
      </w:r>
    </w:p>
    <w:p>
      <w:pPr>
        <w:spacing w:after="120" w:line="276"/>
        <w:jc w:val="both"/>
      </w:pPr>
      <w:r>
        <w:rPr>
          <w:rFonts w:ascii="Arial" w:cs="Arial" w:eastAsia="Arial" w:hAnsi="Arial"/>
          <w:sz w:val="22"/>
          <w:szCs w:val="22"/>
        </w:rPr>
        <w:t xml:space="preserve">Future work should explore deep learning on raw IMU sequences (e.g., temporal convolutional networks), incorporate gait event-derived features (heel-strike timing, swing/stance segmentation), and validate on independent multi-site datasets. The head-sensor discovery opens practical pathways for embedding gait screening in consumer wearable devices.</w:t>
      </w:r>
    </w:p>
    <w:p>
      <w:r>
        <w:br w:type="page"/>
      </w:r>
    </w:p>
    <w:p>
      <w:pPr>
        <w:pStyle w:val="Heading1"/>
        <w:spacing w:after="200" w:before="360"/>
      </w:pPr>
      <w:r>
        <w:rPr>
          <w:rFonts w:ascii="Arial" w:cs="Arial" w:eastAsia="Arial" w:hAnsi="Arial"/>
          <w:b/>
          <w:bCs/>
          <w:color w:val="2E5090"/>
          <w:sz w:val="28"/>
          <w:szCs w:val="28"/>
        </w:rPr>
        <w:t xml:space="preserve">References</w:t>
      </w:r>
    </w:p>
    <w:p>
      <w:pPr>
        <w:spacing w:after="120" w:line="276"/>
        <w:jc w:val="both"/>
      </w:pPr>
      <w:r>
        <w:rPr>
          <w:rFonts w:ascii="Arial" w:cs="Arial" w:eastAsia="Arial" w:hAnsi="Arial"/>
          <w:sz w:val="20"/>
          <w:szCs w:val="20"/>
        </w:rPr>
        <w:t xml:space="preserve">[1] Kluge et al., “GaitRec: A large-scale ground truth dataset for sensor-based gait analysis,” Sensors, 2021.</w:t>
      </w:r>
    </w:p>
    <w:p>
      <w:pPr>
        <w:spacing w:after="120" w:line="276"/>
        <w:jc w:val="both"/>
      </w:pPr>
      <w:r>
        <w:rPr>
          <w:rFonts w:ascii="Arial" w:cs="Arial" w:eastAsia="Arial" w:hAnsi="Arial"/>
          <w:sz w:val="20"/>
          <w:szCs w:val="20"/>
        </w:rPr>
        <w:t xml:space="preserve">[2] Al-Harthi et al., “Multi-class gait classification using motion capture data,” Gait &amp; Posture, 2020.</w:t>
      </w:r>
    </w:p>
    <w:p>
      <w:pPr>
        <w:spacing w:after="120" w:line="276"/>
        <w:jc w:val="both"/>
      </w:pPr>
      <w:r>
        <w:rPr>
          <w:rFonts w:ascii="Arial" w:cs="Arial" w:eastAsia="Arial" w:hAnsi="Arial"/>
          <w:sz w:val="20"/>
          <w:szCs w:val="20"/>
        </w:rPr>
        <w:t xml:space="preserve">[3] Sadeghsalehi et al., “Deep learning for IMU-based gait pathology detection,” IEEE JBHI, 2022.</w:t>
      </w:r>
    </w:p>
    <w:p>
      <w:pPr>
        <w:spacing w:after="120" w:line="276"/>
        <w:jc w:val="both"/>
      </w:pPr>
      <w:r>
        <w:rPr>
          <w:rFonts w:ascii="Arial" w:cs="Arial" w:eastAsia="Arial" w:hAnsi="Arial"/>
          <w:sz w:val="20"/>
          <w:szCs w:val="20"/>
        </w:rPr>
        <w:t xml:space="preserve">[4] Hausdorff, “Gait variability: methods, modeling and meaning,” J. NeuroEngineering and Rehabilitation, 2005.</w:t>
      </w:r>
    </w:p>
    <w:p>
      <w:pPr>
        <w:spacing w:after="120" w:line="276"/>
        <w:jc w:val="both"/>
      </w:pPr>
      <w:r>
        <w:rPr>
          <w:rFonts w:ascii="Arial" w:cs="Arial" w:eastAsia="Arial" w:hAnsi="Arial"/>
          <w:sz w:val="20"/>
          <w:szCs w:val="20"/>
        </w:rPr>
        <w:t xml:space="preserve">[5] Moe-Nilssen &amp; Helbostad, “Estimation of gait cycle characteristics by trunk accelerometry,” J. Biomechanics, 2004.</w:t>
      </w:r>
    </w:p>
    <w:p>
      <w:pPr>
        <w:spacing w:after="120" w:line="276"/>
        <w:jc w:val="both"/>
      </w:pPr>
      <w:r>
        <w:rPr>
          <w:rFonts w:ascii="Arial" w:cs="Arial" w:eastAsia="Arial" w:hAnsi="Arial"/>
          <w:sz w:val="20"/>
          <w:szCs w:val="20"/>
        </w:rPr>
        <w:t xml:space="preserve">[6] Lord et al., “Moving forward on gait measurement: toward a more refined approach,” Movement Disorders, 2013.</w:t>
      </w:r>
    </w:p>
    <w:p>
      <w:pPr>
        <w:spacing w:after="120" w:line="276"/>
        <w:jc w:val="both"/>
      </w:pPr>
      <w:r>
        <w:rPr>
          <w:rFonts w:ascii="Arial" w:cs="Arial" w:eastAsia="Arial" w:hAnsi="Arial"/>
          <w:sz w:val="20"/>
          <w:szCs w:val="20"/>
        </w:rPr>
        <w:t xml:space="preserve">[7] Sejdić et al., “Quantitative analysis of the head movement during gait,” IEEE Trans. Biomedical Eng., 2014.</w:t>
      </w:r>
    </w:p>
    <w:p>
      <w:pPr>
        <w:spacing w:after="120" w:line="276"/>
        <w:jc w:val="both"/>
      </w:pPr>
      <w:r>
        <w:rPr>
          <w:rFonts w:ascii="Arial" w:cs="Arial" w:eastAsia="Arial" w:hAnsi="Arial"/>
          <w:sz w:val="20"/>
          <w:szCs w:val="20"/>
        </w:rPr>
        <w:t xml:space="preserve">[8] Lundín-Olsson et al., “Head movements during gait in older adults,” Gait &amp; Posture, 2011.</w:t>
      </w:r>
    </w:p>
    <w:p>
      <w:pPr>
        <w:spacing w:after="120" w:line="276"/>
        <w:jc w:val="both"/>
      </w:pPr>
      <w:r>
        <w:rPr>
          <w:rFonts w:ascii="Arial" w:cs="Arial" w:eastAsia="Arial" w:hAnsi="Arial"/>
          <w:sz w:val="20"/>
          <w:szCs w:val="20"/>
        </w:rPr>
        <w:t xml:space="preserve">[9] Schlachetzki et al., “Wearable sensors objectively measure gait parameters in Parkinson’s disease,” PLOS ONE, 2017.</w:t>
      </w:r>
    </w:p>
    <w:p>
      <w:pPr>
        <w:spacing w:after="120" w:line="276"/>
        <w:jc w:val="both"/>
      </w:pPr>
      <w:r>
        <w:rPr>
          <w:rFonts w:ascii="Arial" w:cs="Arial" w:eastAsia="Arial" w:hAnsi="Arial"/>
          <w:sz w:val="20"/>
          <w:szCs w:val="20"/>
        </w:rPr>
        <w:t xml:space="preserve">[10] Kwolek et al., “Human gait classification using IMU sensors,” Pattern Recognition, 2019.</w:t>
      </w:r>
    </w:p>
    <w:p>
      <w:pPr>
        <w:spacing w:after="120" w:line="276"/>
        <w:jc w:val="both"/>
      </w:pPr>
      <w:r>
        <w:rPr>
          <w:rFonts w:ascii="Arial" w:cs="Arial" w:eastAsia="Arial" w:hAnsi="Arial"/>
          <w:sz w:val="20"/>
          <w:szCs w:val="20"/>
        </w:rPr>
        <w:t xml:space="preserve">[11] Mannini et al., “Machine learning methods for classifying human physical activity from on-body accelerometers,” Sensors, 2010.</w:t>
      </w:r>
    </w:p>
    <w:p>
      <w:pPr>
        <w:spacing w:after="120" w:line="276"/>
        <w:jc w:val="both"/>
      </w:pPr>
      <w:r>
        <w:rPr>
          <w:rFonts w:ascii="Arial" w:cs="Arial" w:eastAsia="Arial" w:hAnsi="Arial"/>
          <w:sz w:val="20"/>
          <w:szCs w:val="20"/>
        </w:rPr>
        <w:t xml:space="preserve">[12] Chen et al., “SHAP-based interpretable feature analysis for gait classification,” Frontiers in Bioengineering, 2023.</w:t>
      </w:r>
    </w:p>
    <w:p>
      <w:pPr>
        <w:spacing w:after="120" w:line="276"/>
        <w:jc w:val="both"/>
      </w:pPr>
      <w:r>
        <w:rPr>
          <w:rFonts w:ascii="Arial" w:cs="Arial" w:eastAsia="Arial" w:hAnsi="Arial"/>
          <w:sz w:val="20"/>
          <w:szCs w:val="20"/>
        </w:rPr>
        <w:t xml:space="preserve">[13] Lundberg &amp; Lee, “A unified approach to interpreting model predictions (SHAP),” NeurIPS, 2017.</w:t>
      </w:r>
    </w:p>
    <w:p>
      <w:pPr>
        <w:spacing w:after="120" w:line="276"/>
        <w:jc w:val="both"/>
      </w:pPr>
      <w:r>
        <w:rPr>
          <w:rFonts w:ascii="Arial" w:cs="Arial" w:eastAsia="Arial" w:hAnsi="Arial"/>
          <w:sz w:val="20"/>
          <w:szCs w:val="20"/>
        </w:rPr>
        <w:t xml:space="preserve">[14] Pedregosa et al., “Scikit-learn: Machine learning in Python,” JMLR, 2011.</w:t>
      </w:r>
    </w:p>
    <w:p>
      <w:pPr>
        <w:spacing w:after="120" w:line="276"/>
        <w:jc w:val="both"/>
      </w:pPr>
      <w:r>
        <w:rPr>
          <w:rFonts w:ascii="Arial" w:cs="Arial" w:eastAsia="Arial" w:hAnsi="Arial"/>
          <w:sz w:val="20"/>
          <w:szCs w:val="20"/>
        </w:rPr>
        <w:t xml:space="preserve">[15] Chen &amp; Guestrin, “XGBoost: A scalable tree boosting system,” KDD, 2016.</w:t>
      </w:r>
    </w:p>
    <w:p>
      <w:pPr>
        <w:spacing w:after="120" w:line="276"/>
        <w:jc w:val="both"/>
      </w:pPr>
      <w:r>
        <w:rPr>
          <w:rFonts w:ascii="Arial" w:cs="Arial" w:eastAsia="Arial" w:hAnsi="Arial"/>
          <w:sz w:val="20"/>
          <w:szCs w:val="20"/>
        </w:rPr>
        <w:t xml:space="preserve">[16] Cohen, “Statistical Power Analysis for the Behavioral Sciences,” 2nd ed., 1988.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BMED 712 — Track A Project 1: Robust Gait Phenotyping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2026-04-13T14:14:27.350Z</dcterms:created>
  <dcterms:modified xsi:type="dcterms:W3CDTF">2026-04-13T14:14:27.351Z</dcterms:modified>
</cp:coreProperties>
</file>

<file path=docProps/custom.xml><?xml version="1.0" encoding="utf-8"?>
<Properties xmlns="http://schemas.openxmlformats.org/officeDocument/2006/custom-properties" xmlns:vt="http://schemas.openxmlformats.org/officeDocument/2006/docPropsVTypes"/>
</file>