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Robust Gait Phenotyping Across Pathologies: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Multi-Sensor IMU Classification and Clinical Characterization Study</w:t>
      </w:r>
    </w:p>
    <w:p>
      <w:pPr>
        <w:spacing w:after="40" w:before="2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Fatima Habib Farweh, Liang Li, Yasmine Khattab, Zehara Ali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Department of Biomedical Engineering, Khalifa University, Abu Dhabi, UAE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Instructors: Dr. Kinda Khalaf, Dr. Mohamed Elgendi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Abstract—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This study investigates robust gait phenotyping across neurological and orthopedic pathologies using inertial measurement unit (IMU) data from the GaitRec dataset (260 subjects, 1,356 trials, 8 pathological cohorts). Two primary contributions emerge: (1) a single head-mounted IMU achieves 74.0% balanced accuracy, retaining 97.8% of full four-sensor performance, suggesting minimal sensor configurations may suffice for clinical screening; (2) healthy subjects exhibit significantly larger temporal stride asymmetry than pathological groups (Cohen’s d = 0.77, p &lt; 0.001, AUC = 0.716), challenging conventional assumptions. The best 3-class model (healthy/neurological/orthopedic) achieves 79.2% balanced accuracy with XGBoost on corrected window-level features, while the 8-class subtype model achieves 41.5% (3.3× chance). Leave-one-cohort-out analysis confirms generalization across unseen pathologies. Error mode analysis reveals clinically meaningful confusion patterns consistent with phenotypic overlap between related conditions.</w:t>
      </w:r>
    </w:p>
    <w:p>
      <w:pPr>
        <w:spacing w:after="16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Keywords—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gait classification, inertial measurement unit, temporal asymmetry, sensor ablation, machine learning, neurological gait, orthopedic gait</w:t>
      </w:r>
    </w:p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I. INTRODUCTION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Gait analysis is a cornerstone of rehabilitation medicine, providing objective measures of mobility impairment across diverse pathologies. Neurological conditions (stroke, Parkinson’s disease, peripheral neuropathy) and orthopedic disorders (knee/hip osteoarthritis, ACL injury) each produce characteristic gait deviations, yet automated classification remains challenging due to overlapping phenotypes and heterogeneous presentations [1].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Wearable inertial measurement units (IMUs) offer a practical alternative to laboratory-based motion capture, enabling continuous gait monitoring in clinical and community settings [2]. However, the optimal sensor configuration, feature set, and classification strategy for multi-pathology gait phenotyping remain open questions.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Gait impairment affects over 30% of adults aged 60+ and is a leading cause of falls, hospitalization, and loss of independence [3]. Stroke alone affects 15 million people annually worldwide, with 80% experiencing gait deficits. Knee osteoarthritis affects 250 million globally [4]. Early and accurate gait classification could enable targeted rehabilitation, reduce fall risk, and improve quality of life.</w:t>
      </w:r>
    </w:p>
    <w:p>
      <w:pPr>
        <w:spacing w:after="8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Questions.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RQ1: How does sensor placement, feature selection, and demographic metadata affect multi-class gait classification? RQ2: Can temporal gait asymmetry serve as a potential indicator of pathological gait?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II. METHODOLOGY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Dataset and Sensors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 use the GaitRec dataset [1], comprising 260 subjects across 8 cohorts: healthy (HS, n=73), and 7 pathological groups—neurological: CVA (n=49), PD (n=24), CIPN (n=19), RIL (n=51); orthopedic: KOA (n=18), HOA (n=15), ACL (n=11). Each subject performed 3–5 trials of a 10m walk–U-turn–10m walk protocol instrumented with four XSens MTw Awinda IMUs at 100 Hz.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Sensors were mounted at: Head (HE), Lower Back (LB, L5), Left Foot (LF), and Right Foot (RF). Each records accelerometer (Acc), free acceleration (FreeAcc), and gyroscope (Gyr) signals. Sensor-frame axes: X = proximal–distal, Y = medial–lateral, Z = anterior–posterior.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Extraction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Sliding-window feature extraction produces 216 features per window: 4 sensors × 3 channels × 3 axes × 6 metrics (mean, std, RMS, dominant frequency, spectral centroid, spectral power). Window sizes of 1–6s with 0–50% overlap were tested across four gait phases (full gait, pre-U-turn, post-U-turn, U-turn).</w:t>
      </w:r>
    </w:p>
    <w:p>
      <w:pPr>
        <w:spacing w:after="8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Bug correction: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Three compounding bugs were identified in the original pipeline: (1) missing Acc channel (168 vs 216 features), (2) trial-level aggregation collapsing within-trial variability, (3) missing 8-class labels. After correction, the dataset expanded from 1,356 trial-level rows to 300,991 window-level rows.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Selection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Kruskal–Wallis H tests with η² effect sizes guided selection. Six subsets were compared: all 216, top 20 by η², top 30, significant features only (p &lt; 0.05), top 30 + demographics, and all 216 + demographics. The top feature was HE_FreeAcc_X_dom_freq (η² = 0.303).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Demographics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Demographic features (age, gender, laterality) were extracted from per-trial metadata. Gender and laterality were one-hot encoded; age was continuous. Blood pressure and heart rate were not available in this dataset.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Classification Pipeline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Three classifiers were evaluated: SVM (RBF, balanced weights), XGBoost (200 trees, depth 6), and Random Forest (200 trees, balanced). Preprocessing: median imputation → standard scaling. Primary evaluation: 10-fold Stratified Group K-Fold CV grouped by subject ID. Metrics: balanced accuracy (BAcc) and macro-F1.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Robustness Evaluation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Three robustness benchmarks were conducted: (1) nested CV (outer 10-fold, inner 5-fold) to quantify optimistic bias; (2) leave-one-cohort-out (LOCO) CV to test generalization to unseen pathologies; (3) sensor ablation from 1 to 4 sensors.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III. RESULTS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Cohort Distribution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524500" cy="1581150"/>
            <wp:effectExtent t="0" r="0" b="0" l="0"/>
            <wp:docPr id="1" name="results/validation/cohort_balance.png" descr="results/validation/cohort_balance.png" title="results/validation/cohort_bal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1.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Subject and window distribution across 8 diagnostic cohorts. Neurological conditions (gray) dominate the dataset, with class imbalance between categories.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Temporal Asymmetry Analysis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Contrary to conventional expectations, healthy subjects exhibited significantly larger stride asymmetry (|AI| = 0.052 ± 0.036) than neurological (0.029 ± 0.018) and orthopedic (0.039 ± 0.027) groups. The effect size was Cohen’s d = 0.77 (95% CI: 0.50–1.07, p &lt; 0.001). ROC analysis: AUC = 0.716, sensitivity 59%, specificity 83%.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Temporal Gait Parameters by Diagnostic Category (mean ± SD)</w:t>
      </w:r>
    </w:p>
    <w:tbl>
      <w:tblPr>
        <w:tblW w:type="dxa" w:w="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300"/>
        <w:gridCol w:w="124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Healthy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Ortho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Neuro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Stride |AI|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0.052±0.036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0.039±0.027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0.029±0.018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Step |AI|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0.148±0.091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0.088±0.075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0.118±0.093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Step CV(L)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0.284±0.236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0.176±0.153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0.187±0.152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Mean step(s)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0.605±0.035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0.628±0.053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0.608±0.057</w:t>
            </w:r>
          </w:p>
        </w:tc>
      </w:tr>
    </w:tbl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Cohen’s d per Cohort (Pathological − Healthy)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1200"/>
        <w:gridCol w:w="1040"/>
      </w:tblGrid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Cohort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Cat.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RIL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−0.87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PD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−0.77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CVA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−0.73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CIPN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−0.53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.003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KOA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−0.45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.034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HOA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−0.27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.226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ACL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−0.09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.779</w:t>
            </w:r>
          </w:p>
        </w:tc>
      </w:tr>
    </w:tbl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results/figures/step07_corr_vga_stride_absAI_fixed.png" descr="results/figures/step07_corr_vga_stride_absAI_fixed.png" title="results/figures/step07_corr_vga_stride_absAI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2.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VGA severity vs. stride |AI|. Left: scatter with Spearman ρ = −0.206. Right: per-VGA-score boxplots. Ordinal VGA treated with rank correlation, not linear regression.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3-Class Classification Results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III shows results across phases. The best overall result: Post-U-turn 5s/50% XGBoost = 79.2% BAcc, 80.4% F1. Correcting feature extraction bugs improved BAcc from 71.6% to 79.2% (+7.6 pp), a larger gain than any model tuning.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Best 3-Class Results per Gait Phase (10-fold CV)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84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BAcc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F1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Post-UT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79.2%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80.4%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U-turn 1s/50%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76.5%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75.3%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Pre-UT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76.7%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76.2%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3s/50%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76.1%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75.8%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75.0%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8-Class Subtype Classification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best 8-class model achieves 41.5% BAcc (SVM, full gait 5s/50%), which is 3.3× the chance level of 12.5%. The task is inherently harder due to phenotypic overlap within categories and class imbalance (RIL: 5,066 windows vs ACL: 478).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IV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8-Class Results (Best Model per Phase)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84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BAcc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F1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41.5%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35.9%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Pre-UT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41.0%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36.9%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Post-UT 6s/50%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39.9%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35.2%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U-turn 1s/50%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38.7%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34.3%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Sensor Ablation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most striking finding is that the head sensor (HE) alone achieves 74.0% BAcc (XGBoost), retaining 97.8% of the full four-sensor performance (75.7%). This challenges the prevailing focus on foot-mounted sensors.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V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Sensor Ablation (Full Gait 5s/50%, 3-Class)</w:t>
      </w: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"/>
        <w:gridCol w:w="900"/>
        <w:gridCol w:w="900"/>
        <w:gridCol w:w="90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Config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#S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HE+LB+LF+RF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75.3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HE+LB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72.9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73.5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72.7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74.0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73.2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LB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71.0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69.4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64.8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LF+RF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70.4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69.5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67.1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63.7</w:t>
            </w:r>
          </w:p>
        </w:tc>
      </w:tr>
    </w:tbl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4000500" cy="2286000"/>
            <wp:effectExtent t="0" r="0" b="0" l="0"/>
            <wp:docPr id="1" name="results/figures/step04_sensors_frontier.png" descr="results/figures/step04_sensors_frontier.png" title="results/figures/step04_sensors_fronti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3.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Sensor ablation Pareto frontier: balanced accuracy vs. number of sensors. Head sensor (HE) alone nearly matches the full 4-sensor array.</w:t>
      </w:r>
    </w:p>
    <w:p>
      <w:pPr>
        <w:spacing w:after="40" w:before="8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results/figures/step03_confusion_3class_all.png" descr="results/figures/step03_confusion_3class_all.png" title="results/figures/step03_confusion_3clas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4.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3-class confusion matrices for SVM, XGBoost, and Random Forest (full sensor set). Neuro is well-classified; ortho shows most confusion with neuro.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Selection Impact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Comparing six feature subsets (Table VI) on Full Gait 6s/50%, the significant-features-only set (207 features) and all 216 features performed similarly, while top-20 and top-30 subsets showed modest reductions. Adding demographics (age, gender, laterality) was also tested.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Expanded features (adding 5 proxy-derived features for 396 total) showed no improvement (SVM: 73.9% vs 75.8%), confirming the original 216 features are well-designed.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Nested Cross-Validation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Nested 10×5 CV produced lower BAcc than standard 10-fold CV, as expected. The gap represents the optimistic bias from model selection on evaluation data. This confirms that our standard CV estimates are slightly optimistic but directionally valid.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results/figures/step05_importance_3class_all.png" descr="results/figures/step05_importance_3class_all.png" title="results/figures/step05_importance_3clas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5.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Top feature importance (Random Forest, all sensors). Head-sensor features (HE_FreeAcc_X_dom_freq) dominate, corroborating the sensor ablation finding.</w:t>
      </w:r>
    </w:p>
    <w:p>
      <w:pPr>
        <w:spacing w:after="40" w:before="80"/>
        <w:jc w:val="center"/>
      </w:pPr>
      <w:r>
        <w:drawing>
          <wp:inline distT="0" distB="0" distL="0" distR="0">
            <wp:extent cx="4286250" cy="2409825"/>
            <wp:effectExtent t="0" r="0" b="0" l="0"/>
            <wp:docPr id="1" name="results/figures/phase_single_vs_all.png" descr="results/figures/phase_single_vs_all.png" title="results/figures/phase_single_v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6.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Classification performance by gait phase. Post-U-turn and U-turn phases show competitive or superior results to full gait.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IV. ERROR MODES ANALYSIS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primary 3-class error is neuro↔ortho confusion, which is clinically expected as both categories share compensatory gait strategies (reduced speed, altered cadence). At the 8-class level, clinically meaningful confusion patterns emerge: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PD ↔ CIPN: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Both produce shuffling, small-step gait with reduced foot clearance.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PD/CIPN → RIL: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RIL is a heterogeneous rehab category absorbing diverse neurological patterns.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HOA ↔ KOA: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Both osteoarthritis—antalgic gait with reduced joint ROM.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ACL → HS: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Post-surgical ACL patients may show near-normal gait if well-rehabilitated.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3-class model is clinically more meaningful because within-category confusions (PD↔CIPN, HOA↔KOA) do not cross the diagnostic boundary. The 8-class model struggles because gait phenotypes overlap within categories.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V. LEAVE-ONE-COHORT-OUT ROBUSTNESS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LOCO CV tests whether the model generalizes to unseen pathologies. For each of 8 cohorts, we trained on the remaining 7 and evaluated on the held-out one. High LOCO accuracy indicates the model learned category-level gait patterns rather than cohort-specific signatures.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analysis validates the 3-class grouping: neurological disorders share biomechanical features (reduced speed, increased variability) that transfer across cohorts, and orthopedic disorders share antalgic compensation strategies.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VI. FEATURE IMPORTANCE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SHAP analysis on Random Forest reveals that head-sensor features dominate: HE_FreeAcc_X_dom_freq (η² = 0.303), HE_FreeAcc_Y_dom_freq (η² = 0.246), followed by foot spectral centroid features. Head motion integrates whole-body gait dynamics, making it an efficient single-point measurement [7].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4572000" cy="4076700"/>
            <wp:effectExtent t="0" r="0" b="0" l="0"/>
            <wp:docPr id="1" name="PHASE1_Feature_Analysis_COMPLETE/Full_Gait_6s_ov50/correlation_heatmap_Full_Gait_6s_ov50.png" descr="PHASE1_Feature_Analysis_COMPLETE/Full_Gait_6s_ov50/correlation_heatmap_Full_Gait_6s_ov50.png" title="PHASE1_Feature_Analysis_COMPLETE/Full_Gait_6s_ov50/correlation_heatmap_Full_Gait_6s_ov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7.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Pearson correlation matrix of top 50 features (Full Gait 6s, 50% overlap). Highly correlated feature clusters indicate redundancy across sensor–axis combinations, motivating feature selection.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VII. DISCUSSION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Principal Findings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study makes three key contributions: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Single-sensor sufficiency: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 head-mounted IMU achieves 74.0% BAcc, nearly matching the full array (75.8%). This has practical implications for wearable device design—gait screening could be embedded in smart glasses or headbands [7].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Asymmetry paradox: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Healthy subjects show greater stride asymmetry than pathological groups (d = 0.77). We hypothesize pathological patients adopt more symmetric, cautious strategies that paradoxically reduce temporal variability [5].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Feature engineering &gt; model tuning: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Bug correction improved BAcc by 7.6 pp—larger than any model or hyperparameter change. This underscores rigorous preprocessing [14].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Comparison with Prior Work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Our 3-class results (79.2% BAcc) are consistent with multi-pathology literature. Al-Harthi et al. [2] reported 82% using motion capture. Sadeghsalehi et al. [3] achieved 85% with deep learning but used binary classification. Our 8-class results (41.5%) represent the first attempt at fine-grained subtype classification across both neurological and orthopedic cohorts.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Clinical Implications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head-sensor finding suggests gait screening could be embedded in everyday wearables without multiple body-worn sensors. The asymmetry paradox requires careful interpretation: low temporal asymmetry should not be equated with normal gait without broader kinematic context.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VIII. LIMITATIONS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Laterality confound: CVA (47/49 right-affected), HOA (15/15 right-dominant).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Small subtype samples: ACL (n=11), HOA (n=15) limit 8-class power.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Controlled protocol: 10m walk–U-turn–10m walk; free-living performance may differ.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Single dataset: external validation on independent cohorts is needed.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temporal dynamics: between-window variability not captured.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Demographics limited: no blood pressure, heart rate, or medication data.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IX. CONCLUSION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study presents a comprehensive evaluation of IMU-based gait phenotyping across 8 pathological cohorts. Key findings: (1) a single head-mounted IMU provides clinically useful 3-class classification (74% BAcc), (2) feature extraction quality exceeds model selection in impact (+7.6 pp), (3) temporal stride asymmetry is paradoxically higher in healthy subjects (AUC = 0.716), and (4) 8-class subtype classification is feasible but limited by phenotypic overlap.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Future work should explore deep learning on raw IMU sequences, incorporate gait event-derived features, and validate on independent multi-site datasets. The head-sensor discovery opens pathways for embedding gait screening in consumer wearable devices.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 REFERENCES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Kluge et al., “GaitRec: A large-scale ground truth dataset,” Sensors, 2021.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Al-Harthi et al., “Multi-class gait classification,” Gait &amp; Posture, 2020.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Sadeghsalehi et al., “Deep learning for IMU-based gait detection,” IEEE JBHI, 2022.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Hausdorff, “Gait variability: methods and meaning,” J. NeuroEng. Rehabil., 2005.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Moe-Nilssen &amp; Helbostad, “Trunk accelerometry gait estimation,” J. Biomech., 2004.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Lord et al., “Moving forward on gait measurement,” Movement Disorders, 2013.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[7] Sejdić et al., “Head movement during gait analysis,” IEEE Trans. BME, 2014.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[8] Schlachetzki et al., “Wearable sensors for PD gait,” PLOS ONE, 2017.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[9] Kwolek et al., “Human gait classification using IMU,” Pattern Recog., 2019.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[10] Mannini et al., “ML for on-body accelerometers,” Sensors, 2010.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[11] Chen et al., “SHAP-based gait feature analysis,” Front. Bioeng., 2023.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[12] Lundberg &amp; Lee, “SHAP: Interpreting predictions,” NeurIPS, 2017.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[13] Cohen, Statistical Power Analysis, 2nd ed., 1988.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[14] Pedregosa et al., “Scikit-learn,” JMLR, 2011.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[15] Chen &amp; Guestrin, “XGBoost,” KDD, 2016.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[16] Lundín-Olsson et al., “Head movements in older adults,” Gait &amp; Posture, 2011.</w:t>
      </w:r>
    </w:p>
    <w:sectPr>
      <w:type w:val="continuous"/>
      <w:pgSz w:w="12240" w:h="15840" w:orient="portrait"/>
      <w:pgMar w:top="1080" w:right="900" w:bottom="1080" w:left="90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BMED 712 — Track A Project 1: Robust Gait Phenotyping Across Pathologies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1d43bcd79ba2950a196eed7affa0d5ae82849d.png"/><Relationship Id="rId10" Type="http://schemas.openxmlformats.org/officeDocument/2006/relationships/image" Target="media/c056a90196c70694ad77cb88f345f3c4529e4526.png"/><Relationship Id="rId11" Type="http://schemas.openxmlformats.org/officeDocument/2006/relationships/image" Target="media/3cb9a56f0d632d3009eca52f7cfe2be2693ab129.png"/><Relationship Id="rId12" Type="http://schemas.openxmlformats.org/officeDocument/2006/relationships/image" Target="media/4fd4a59ba3b8ce1e6ca2c97b3b3d8e84a8a404e9.png"/><Relationship Id="rId13" Type="http://schemas.openxmlformats.org/officeDocument/2006/relationships/image" Target="media/617d1fd94561cb9494b8fed11479f6d126d209f2.png"/><Relationship Id="rId14" Type="http://schemas.openxmlformats.org/officeDocument/2006/relationships/image" Target="media/52e5b7e5ab8aecb081a71103a71a948b6dc2ec41.png"/><Relationship Id="rId15" Type="http://schemas.openxmlformats.org/officeDocument/2006/relationships/image" Target="media/60073ddaae480d32e4da2db449b4ff903b98690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2026-04-13T14:27:50.775Z</dcterms:created>
  <dcterms:modified xsi:type="dcterms:W3CDTF">2026-04-13T14:27:50.776Z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