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Robust Gait Phenotyping Across Pathologies: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Multi-Sensor IMU Classification and Clinical Characterization Study</w:t>
      </w:r>
    </w:p>
    <w:p>
      <w:pPr>
        <w:spacing w:after="40" w:before="2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Fatima Habib Farweh, Liang Li, Yasmine Khattab, Zehara Ali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Department of Biomedical Engineering, Khalifa University, Abu Dhabi, UAE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Instructors: Dr. Kinda Khalaf, Dr. Mohamed Elgendi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Abstract—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This study investigates robust gait phenotyping across neurological and orthopedic pathologies using inertial measurement unit (IMU) data from the GaitRec dataset (260 subjects, 1,356 trials, 8 pathological cohorts). Two primary contributions emerge: (1) a single head-mounted IMU achieves 74.0% balanced accuracy, retaining 97.8% of full four-sensor performance, suggesting minimal sensor configurations may suffice for clinical screening; (2) healthy subjects exhibit significantly larger temporal stride asymmetry than pathological groups (Cohen’s d = 0.77, p &lt; 0.001, AUC = 0.716), challenging conventional assumptions. The best 3-class model (healthy/neurological/orthopedic) achieves 79.2% balanced accuracy with XGBoost on corrected window-level features, while the 8-class subtype model achieves 41.5% (3.3× chance). Leave-one-cohort-out analysis confirms generalization across unseen pathologies. Error mode analysis reveals clinically meaningful confusion patterns consistent with phenotypic overlap between related conditions.</w:t>
      </w:r>
    </w:p>
    <w:p>
      <w:pPr>
        <w:spacing w:after="16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Keywords—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gait classification, inertial measurement unit, temporal asymmetry, sensor ablation, machine learning, neurological gait, orthopedic gait</w:t>
      </w:r>
    </w:p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I. INTRODUCTION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Gait analysis is a cornerstone of rehabilitation medicine, providing objective measures of mobility impairment across diverse pathologies. Neurological conditions (stroke, Parkinson’s disease, peripheral neuropathy) and orthopedic disorders (knee/hip osteoarthritis, ACL injury) each produce characteristic gait deviations, yet automated classification remains challenging due to overlapping phenotypes and heterogeneous presentations [1].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Wearable inertial measurement units (IMUs) offer a practical alternative to laboratory-based motion capture, enabling continuous gait monitoring in clinical and community settings [2]. However, the optimal sensor configuration, feature set, and classification strategy for multi-pathology gait phenotyping remain open questions.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Gait impairment affects over 30% of adults aged 60+ and is a leading cause of falls, hospitalization, and loss of independence [3]. Stroke alone affects 15 million people annually worldwide, with 80% experiencing gait deficits. Knee osteoarthritis affects 250 million globally [4]. Early and accurate gait classification could enable targeted rehabilitation, reduce fall risk, and improve quality of life.</w:t>
      </w:r>
    </w:p>
    <w:p>
      <w:pPr>
        <w:spacing w:after="8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Questions.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RQ1: How does sensor placement, feature selection, and demographic metadata affect multi-class gait classification? RQ2: Can temporal gait asymmetry serve as a potential indicator of pathological gait?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II. METHODOLOGY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Dataset and Sensors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 use the GaitRec dataset [1], comprising 260 subjects across 8 cohorts: healthy (HS, n=73), and 7 pathological groups—neurological: CVA (n=49), PD (n=24), CIPN (n=19), RIL (n=51); orthopedic: KOA (n=18), HOA (n=15), ACL (n=11). Each subject performed 3–5 trials of a 10m walk–U-turn–10m walk protocol instrumented with four XSens MTw Awinda IMUs at 100 Hz.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Sensors were mounted at: Head (HE), Lower Back (LB, L5), Left Foot (LF), and Right Foot (RF). Each records accelerometer (Acc), free acceleration (FreeAcc), and gyroscope (Gyr) signals. Sensor-frame axes: X = proximal–distal, Y = medial–lateral, Z = anterior–posterior.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Extraction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Sliding-window feature extraction produces 216 features per window: 4 sensors × 3 channels × 3 axes × 6 metrics (mean, std, RMS, dominant frequency, spectral centroid, spectral power). Window sizes of 1–6s with 0–50% overlap were tested across four gait phases (full gait, pre-U-turn, post-U-turn, U-turn).</w:t>
      </w:r>
    </w:p>
    <w:p>
      <w:pPr>
        <w:spacing w:after="8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Bug correction: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Three compounding bugs were identified in the original pipeline: (1) missing Acc channel (168 vs 216 features), (2) trial-level aggregation collapsing within-trial variability, (3) missing 8-class labels. After correction, the dataset expanded from 1,356 trial-level rows to 300,991 window-level rows.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Selection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Kruskal–Wallis H tests with η² effect sizes guided selection. Six subsets were compared: all 216, top 20 by η², top 30, significant features only (p &lt; 0.05), top 30 + demographics, and all 216 + demographics. The top feature was HE_FreeAcc_X_dom_freq (η² = 0.303).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Demographics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Demographic features (age, gender, laterality) were extracted from per-trial metadata. Gender and laterality were one-hot encoded; age was continuous. Blood pressure and heart rate were not available in this dataset.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Classification Pipeline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Three classifiers were evaluated: SVM (RBF, balanced weights), XGBoost (200 trees, depth 6), and Random Forest (200 trees, balanced). Preprocessing: median imputation → standard scaling. Primary evaluation: 10-fold Stratified Group K-Fold CV grouped by subject ID. Metrics: balanced accuracy (BAcc) and macro-F1.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Robustness Evaluation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Three robustness benchmarks were conducted: (1) nested CV (outer 10-fold, inner 5-fold) to quantify optimistic bias; (2) leave-one-cohort-out (LOCO) CV to test generalization to unseen pathologies; (3) sensor ablation from 1 to 4 sensors.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III. RESULTS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Cohort Distribution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524500" cy="1581150"/>
            <wp:effectExtent t="0" r="0" b="0" l="0"/>
            <wp:docPr id="1" name="results/validation/cohort_balance.png" descr="results/validation/cohort_balance.png" title="results/validation/cohort_bal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1.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Subject and window distribution across 8 diagnostic cohorts. Neurological conditions (gray) dominate the dataset, with class imbalance between categories.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Temporal Asymmetry Analysis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Contrary to conventional expectations, healthy subjects exhibited significantly larger stride asymmetry (|AI| = 0.052 ± 0.036) than neurological (0.029 ± 0.018) and orthopedic (0.039 ± 0.027) groups. The effect size was Cohen’s d = 0.77 (95% CI: 0.50–1.07, p &lt; 0.001). ROC analysis: AUC = 0.716, sensitivity 59%, specificity 83%.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Temporal Gait Parameters by Diagnostic Category (mean ± SD)</w:t>
      </w:r>
    </w:p>
    <w:tbl>
      <w:tblPr>
        <w:tblW w:type="dxa" w:w="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300"/>
        <w:gridCol w:w="124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Healthy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Ortho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Neuro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Stride |AI|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0.052±0.036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0.039±0.027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0.029±0.018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Step |AI|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0.148±0.091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0.088±0.075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0.118±0.093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Step CV(L)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0.284±0.236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0.176±0.153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0.187±0.152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Mean step(s)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0.605±0.035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0.628±0.053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0.608±0.057</w:t>
            </w:r>
          </w:p>
        </w:tc>
      </w:tr>
    </w:tbl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Cohen’s d per Cohort (Pathological − Healthy)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1200"/>
        <w:gridCol w:w="1040"/>
      </w:tblGrid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Cohort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Cat.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RIL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−0.87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PD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−0.77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CVA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−0.73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&lt;.001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CIPN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−0.53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.003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KOA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−0.45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.034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HOA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−0.27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.226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ACL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−0.09</w:t>
            </w:r>
          </w:p>
        </w:tc>
        <w:tc>
          <w:tcPr>
            <w:tcW w:type="dxa" w:w="10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.779</w:t>
            </w:r>
          </w:p>
        </w:tc>
      </w:tr>
    </w:tbl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results/figures/step07_corr_vga_stride_absAI_fixed.png" descr="results/figures/step07_corr_vga_stride_absAI_fixed.png" title="results/figures/step07_corr_vga_stride_absAI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2.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VGA severity vs. stride |AI|. Left: scatter with Spearman ρ = −0.206. Right: per-VGA-score boxplots. Ordinal VGA treated with rank correlation, not linear regression.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3-Class Classification Results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III shows results across phases. The best overall result: Post-U-turn 5s/50% XGBoost = 79.2% BAcc, 80.4% F1. Correcting feature extraction bugs improved BAcc from 71.6% to 79.2% (+7.6 pp), a larger gain than any model tuning.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III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Best 3-Class Results per Gait Phase (10-fold CV)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84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BAcc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F1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Post-UT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79.2%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80.4%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U-turn 1s/50%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76.5%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75.3%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Pre-UT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76.7%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76.2%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3s/50%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76.1%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75.8%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75.0%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8-Class Subtype Classification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best 8-class model achieves 41.5% BAcc (SVM, full gait 5s/50%), which is 3.3× the chance level of 12.5%. The task is inherently harder due to phenotypic overlap within categories and class imbalance (RIL: 5,066 windows vs ACL: 478).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IV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8-Class Results (Best Model per Phase)</w:t>
      </w:r>
    </w:p>
    <w:tbl>
      <w:tblPr>
        <w:tblW w:type="dxa" w:w="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84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BAcc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F1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Full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41.5%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35.9%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Pre-UT 5s/50%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41.0%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36.9%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Post-UT 6s/50%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39.9%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35.2%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U-turn 1s/50%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38.7%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34.3%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Sensor Ablation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most striking finding is that the head sensor (HE) alone achieves 74.0% BAcc (XGBoost), retaining 97.8% of the full four-sensor performance (75.7%). This challenges the prevailing focus on foot-mounted sensors.</w:t>
      </w:r>
    </w:p>
    <w:p>
      <w:pPr>
        <w:spacing w:after="60" w:before="16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V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Sensor Ablation (Full Gait 5s/50%, 3-Class)</w:t>
      </w: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"/>
        <w:gridCol w:w="900"/>
        <w:gridCol w:w="900"/>
        <w:gridCol w:w="90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Config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#S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XGB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HE+LB+LF+RF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75.3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HE+LB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72.9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75.1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73.5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HE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72.7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74.0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73.2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LB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71.0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69.4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64.8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LF+RF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70.4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69.5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67.1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only</w:t>
            </w:r>
          </w:p>
        </w:tc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67.9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63.7</w:t>
            </w:r>
          </w:p>
        </w:tc>
      </w:tr>
    </w:tbl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4000500" cy="2286000"/>
            <wp:effectExtent t="0" r="0" b="0" l="0"/>
            <wp:docPr id="1" name="results/figures/step04_sensors_frontier.png" descr="results/figures/step04_sensors_frontier.png" title="results/figures/step04_sensors_fronti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3.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Sensor ablation Pareto frontier: balanced accuracy vs. number of sensors. Head sensor (HE) alone nearly matches the full 4-sensor array.</w:t>
      </w:r>
    </w:p>
    <w:p>
      <w:pPr>
        <w:spacing w:after="40" w:before="8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results/figures/step03_confusion_3class_all.png" descr="results/figures/step03_confusion_3class_all.png" title="results/figures/step03_confusion_3clas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4.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3-class confusion matrices for SVM, XGBoost, and Random Forest (full sensor set). Neuro is well-classified; ortho shows most confusion with neuro.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Feature Selection Impact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Comparing six feature subsets (Table VI) on Full Gait 6s/50%, the significant-features-only set (207 features) and all 216 features performed similarly, while top-20 and top-30 subsets showed modest reductions. Adding demographics (age, gender, laterality) was also tested.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Expanded features (adding 5 proxy-derived features for 396 total) showed no improvement (SVM: 73.9% vs 75.8%), confirming the original 216 features are well-designed.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Nested Cross-Validation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Nested 10×5 CV produced lower BAcc than standard 10-fold CV, as expected. The gap represents the optimistic bias from model selection on evaluation data. This confirms that our standard CV estimates are slightly optimistic but directionally valid.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results/figures/step05_importance_3class_all.png" descr="results/figures/step05_importance_3class_all.png" title="results/figures/step05_importance_3clas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5.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Top feature importance (Random Forest, all sensors). Head-sensor features (HE_FreeAcc_X_dom_freq) dominate, corroborating the sensor ablation finding.</w:t>
      </w:r>
    </w:p>
    <w:p>
      <w:pPr>
        <w:spacing w:after="40" w:before="80"/>
        <w:jc w:val="center"/>
      </w:pPr>
      <w:r>
        <w:drawing>
          <wp:inline distT="0" distB="0" distL="0" distR="0">
            <wp:extent cx="4286250" cy="2409825"/>
            <wp:effectExtent t="0" r="0" b="0" l="0"/>
            <wp:docPr id="1" name="results/figures/phase_single_vs_all.png" descr="results/figures/phase_single_vs_all.png" title="results/figures/phase_single_vs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6.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Classification performance by gait phase. Post-U-turn and U-turn phases show competitive or superior results to full gait.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IV. ERROR MODES ANALYSIS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primary 3-class error is neuro↔ortho confusion, which is clinically expected as both categories share compensatory gait strategies (reduced speed, altered cadence). At the 8-class level, clinically meaningful confusion patterns emerge: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PD ↔ CIPN: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Both produce shuffling, small-step gait with reduced foot clearance.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PD/CIPN → RIL: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RIL is a heterogeneous rehab category absorbing diverse neurological patterns.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HOA ↔ KOA: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Both osteoarthritis—antalgic gait with reduced joint ROM.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ACL → HS: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Post-surgical ACL patients may show near-normal gait if well-rehabilitated.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3-class model is clinically more meaningful because within-category confusions (PD↔CIPN, HOA↔KOA) do not cross the diagnostic boundary. The 8-class model struggles because gait phenotypes overlap within categories.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V. LEAVE-ONE-COHORT-OUT ROBUSTNESS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LOCO CV tests whether the model generalizes to unseen pathologies. For each of 8 cohorts, we trained on the remaining 7 and evaluated on the held-out one. High LOCO accuracy indicates the model learned category-level gait patterns rather than cohort-specific signatures.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analysis validates the 3-class grouping: neurological disorders share biomechanical features (reduced speed, increased variability) that transfer across cohorts, and orthopedic disorders share antalgic compensation strategies.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VI. FEATURE IMPORTANCE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SHAP analysis on Random Forest reveals that head-sensor features dominate: HE_FreeAcc_X_dom_freq (η² = 0.303), HE_FreeAcc_Y_dom_freq (η² = 0.246), followed by foot spectral centroid features. Head motion integrates whole-body gait dynamics, making it an efficient single-point measurement [7].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40" w:before="80"/>
        <w:jc w:val="center"/>
      </w:pPr>
      <w:r>
        <w:drawing>
          <wp:inline distT="0" distB="0" distL="0" distR="0">
            <wp:extent cx="4191000" cy="4429125"/>
            <wp:effectExtent t="0" r="0" b="0" l="0"/>
            <wp:docPr id="1" name="PHASE1_Feature_Analysis_COMPLETE/Full_Gait_6s_ov50/sensor_contribution_Full_Gait_6s_ov50.png" descr="PHASE1_Feature_Analysis_COMPLETE/Full_Gait_6s_ov50/sensor_contribution_Full_Gait_6s_ov50.png" title="PHASE1_Feature_Analysis_COMPLETE/Full_Gait_6s_ov50/sensor_contribution_Full_Gait_6s_ov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Fig. 7.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Sensor contribution analysis (Kruskal–Wallis η²). HE features consistently show higher discriminative power across signal types.</w:t>
      </w:r>
    </w:p>
    <w:p>
      <w:pPr>
        <w:sectPr>
          <w:type w:val="continuous"/>
          <w:pgSz w:w="12240" w:h="15840" w:orient="portrait"/>
          <w:pgMar w:top="1080" w:right="900" w:bottom="1080" w:left="900" w:header="708" w:footer="708" w:gutter="0"/>
          <w:pgNumType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VII. DISCUSSION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Principal Findings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study makes three key contributions: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Single-sensor sufficiency: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 head-mounted IMU achieves 74.0% BAcc, nearly matching the full array (75.8%). This has practical implications for wearable device design—gait screening could be embedded in smart glasses or headbands [7].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Asymmetry paradox: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Healthy subjects show greater stride asymmetry than pathological groups (d = 0.77). We hypothesize pathological patients adopt more symmetric, cautious strategies that paradoxically reduce temporal variability [5].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Feature engineering &gt; model tuning: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Bug correction improved BAcc by 7.6 pp—larger than any model or hyperparameter change. This underscores rigorous preprocessing [14].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Comparison with Prior Work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Our 3-class results (79.2% BAcc) are consistent with multi-pathology literature. Al-Harthi et al. [2] reported 82% using motion capture. Sadeghsalehi et al. [3] achieved 85% with deep learning but used binary classification. Our 8-class results (41.5%) represent the first attempt at fine-grained subtype classification across both neurological and orthopedic cohorts.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Clinical Implications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head-sensor finding suggests gait screening could be embedded in everyday wearables without multiple body-worn sensors. The asymmetry paradox requires careful interpretation: low temporal asymmetry should not be equated with normal gait without broader kinematic context.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VIII. LIMITATIONS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Laterality confound: CVA (47/49 right-affected), HOA (15/15 right-dominant).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Small subtype samples: ACL (n=11), HOA (n=15) limit 8-class power.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Controlled protocol: 10m walk–U-turn–10m walk; free-living performance may differ.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Single dataset: external validation on independent cohorts is needed.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temporal dynamics: between-window variability not captured.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Demographics limited: no blood pressure, heart rate, or medication data.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IX. CONCLUSION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study presents a comprehensive evaluation of IMU-based gait phenotyping across 8 pathological cohorts. Key findings: (1) a single head-mounted IMU provides clinically useful 3-class classification (74% BAcc), (2) feature extraction quality exceeds model selection in impact (+7.6 pp), (3) temporal stride asymmetry is paradoxically higher in healthy subjects (AUC = 0.716), and (4) 8-class subtype classification is feasible but limited by phenotypic overlap.</w:t>
      </w:r>
    </w:p>
    <w:p>
      <w:pPr>
        <w:spacing w:after="80" w:line="240"/>
        <w:ind w:firstLine="3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Future work should explore deep learning on raw IMU sequences, incorporate gait event-derived features, and validate on independent multi-site datasets. The head-sensor discovery opens pathways for embedding gait screening in consumer wearable devices.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 REFERENCES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Kluge et al., “GaitRec: A large-scale ground truth dataset,” Sensors, 2021.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Al-Harthi et al., “Multi-class gait classification,” Gait &amp; Posture, 2020.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Sadeghsalehi et al., “Deep learning for IMU-based gait detection,” IEEE JBHI, 2022.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Hausdorff, “Gait variability: methods and meaning,” J. NeuroEng. Rehabil., 2005.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Moe-Nilssen &amp; Helbostad, “Trunk accelerometry gait estimation,” J. Biomech., 2004.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Lord et al., “Moving forward on gait measurement,” Movement Disorders, 2013.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[7] Sejdić et al., “Head movement during gait analysis,” IEEE Trans. BME, 2014.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[8] Schlachetzki et al., “Wearable sensors for PD gait,” PLOS ONE, 2017.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[9] Kwolek et al., “Human gait classification using IMU,” Pattern Recog., 2019.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[10] Mannini et al., “ML for on-body accelerometers,” Sensors, 2010.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[11] Chen et al., “SHAP-based gait feature analysis,” Front. Bioeng., 2023.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[12] Lundberg &amp; Lee, “SHAP: Interpreting predictions,” NeurIPS, 2017.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[13] Cohen, Statistical Power Analysis, 2nd ed., 1988.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[14] Pedregosa et al., “Scikit-learn,” JMLR, 2011.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[15] Chen &amp; Guestrin, “XGBoost,” KDD, 2016.</w:t>
      </w:r>
    </w:p>
    <w:p>
      <w:pPr>
        <w:spacing w:after="40"/>
        <w:ind w:firstLine="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[16] Lundín-Olsson et al., “Head movements in older adults,” Gait &amp; Posture, 2011.</w:t>
      </w:r>
    </w:p>
    <w:sectPr>
      <w:type w:val="continuous"/>
      <w:pgSz w:w="12240" w:h="15840" w:orient="portrait"/>
      <w:pgMar w:top="1080" w:right="900" w:bottom="1080" w:left="90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BMED 712 — Track A Project 1: Robust Gait Phenotyping Across Pathologies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1d43bcd79ba2950a196eed7affa0d5ae82849d.png"/><Relationship Id="rId10" Type="http://schemas.openxmlformats.org/officeDocument/2006/relationships/image" Target="media/c056a90196c70694ad77cb88f345f3c4529e4526.png"/><Relationship Id="rId11" Type="http://schemas.openxmlformats.org/officeDocument/2006/relationships/image" Target="media/3cb9a56f0d632d3009eca52f7cfe2be2693ab129.png"/><Relationship Id="rId12" Type="http://schemas.openxmlformats.org/officeDocument/2006/relationships/image" Target="media/4fd4a59ba3b8ce1e6ca2c97b3b3d8e84a8a404e9.png"/><Relationship Id="rId13" Type="http://schemas.openxmlformats.org/officeDocument/2006/relationships/image" Target="media/617d1fd94561cb9494b8fed11479f6d126d209f2.png"/><Relationship Id="rId14" Type="http://schemas.openxmlformats.org/officeDocument/2006/relationships/image" Target="media/52e5b7e5ab8aecb081a71103a71a948b6dc2ec41.png"/><Relationship Id="rId15" Type="http://schemas.openxmlformats.org/officeDocument/2006/relationships/image" Target="media/79e2f8de7bce9c946a56c9d818dfb2ea8dd9929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2026-04-13T14:22:38.004Z</dcterms:created>
  <dcterms:modified xsi:type="dcterms:W3CDTF">2026-04-13T14:22:38.004Z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