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E55E" w14:textId="072548C1" w:rsidR="00255F27" w:rsidRDefault="000E5F2A" w:rsidP="000E5F2A">
      <w:pPr>
        <w:spacing w:line="360" w:lineRule="auto"/>
        <w:jc w:val="center"/>
        <w:rPr>
          <w:sz w:val="28"/>
          <w:szCs w:val="28"/>
        </w:rPr>
      </w:pPr>
      <w:r>
        <w:rPr>
          <w:sz w:val="28"/>
          <w:szCs w:val="28"/>
        </w:rPr>
        <w:t>Diabetes Treatment Analysis</w:t>
      </w:r>
    </w:p>
    <w:p w14:paraId="012A1EF4" w14:textId="4F8490DD" w:rsidR="000E5F2A" w:rsidRDefault="000E5F2A" w:rsidP="000E5F2A">
      <w:pPr>
        <w:spacing w:line="360" w:lineRule="auto"/>
        <w:jc w:val="center"/>
      </w:pPr>
      <w:r>
        <w:t>Luke Mallory</w:t>
      </w:r>
    </w:p>
    <w:p w14:paraId="60B3CD35" w14:textId="77777777" w:rsidR="000E5F2A" w:rsidRDefault="000E5F2A" w:rsidP="000E5F2A">
      <w:pPr>
        <w:jc w:val="center"/>
      </w:pPr>
    </w:p>
    <w:p w14:paraId="5A499C45" w14:textId="77777777" w:rsidR="000E5F2A" w:rsidRDefault="000E5F2A" w:rsidP="000E5F2A">
      <w:pPr>
        <w:spacing w:line="360" w:lineRule="auto"/>
        <w:ind w:firstLine="720"/>
        <w:jc w:val="both"/>
      </w:pPr>
    </w:p>
    <w:p w14:paraId="76930989" w14:textId="2CA1E7E2" w:rsidR="000E5F2A" w:rsidRDefault="000E5F2A" w:rsidP="000E5F2A">
      <w:pPr>
        <w:spacing w:line="360" w:lineRule="auto"/>
        <w:ind w:firstLine="720"/>
        <w:jc w:val="both"/>
      </w:pPr>
      <w:r>
        <w:t xml:space="preserve">The purpose of this experiment was to compare and evaluate the effectiveness of three separate diabetes treatments: Metformin, Rosiglitazone, and lifestyle adjustments. A treatment was recorded as successful if it effectively reduced progression to full diabetes for pre-diabetic patients. Overall, the observed </w:t>
      </w:r>
      <w:r>
        <w:t>Rosiglitazone</w:t>
      </w:r>
      <w:r>
        <w:t xml:space="preserve"> success rate was approximately 61.3%, the Metformin success rate was approximately, 48.4%, and the lifestyle adjustment had an approximately 53.4% success rate. </w:t>
      </w:r>
      <w:proofErr w:type="gramStart"/>
      <w:r>
        <w:t>In order to</w:t>
      </w:r>
      <w:proofErr w:type="gramEnd"/>
      <w:r>
        <w:t xml:space="preserve"> evaluate the differences between the three treatments, 10,000 bootstrapping samples were created to estimate the densities and distributions of average outcomes for all groups, as well as calculate the average treatment effect (ATE) for all three comparison groups.</w:t>
      </w:r>
    </w:p>
    <w:p w14:paraId="697097D6" w14:textId="77777777" w:rsidR="000E5F2A" w:rsidRDefault="000E5F2A" w:rsidP="000E5F2A">
      <w:pPr>
        <w:spacing w:line="360" w:lineRule="auto"/>
        <w:ind w:firstLine="720"/>
        <w:jc w:val="both"/>
      </w:pPr>
    </w:p>
    <w:p w14:paraId="229A578D" w14:textId="77777777" w:rsidR="000E5F2A" w:rsidRDefault="000E5F2A" w:rsidP="000E5F2A">
      <w:pPr>
        <w:spacing w:line="360" w:lineRule="auto"/>
        <w:ind w:firstLine="720"/>
        <w:jc w:val="center"/>
        <w:rPr>
          <w:b/>
          <w:bCs/>
        </w:rPr>
      </w:pPr>
    </w:p>
    <w:p w14:paraId="3452B1FC" w14:textId="77777777" w:rsidR="000E5F2A" w:rsidRDefault="000E5F2A" w:rsidP="000E5F2A">
      <w:pPr>
        <w:spacing w:line="360" w:lineRule="auto"/>
        <w:ind w:firstLine="720"/>
        <w:jc w:val="center"/>
        <w:rPr>
          <w:b/>
          <w:bCs/>
        </w:rPr>
      </w:pPr>
    </w:p>
    <w:p w14:paraId="39DB9569" w14:textId="744FCC04" w:rsidR="000E5F2A" w:rsidRPr="000E5F2A" w:rsidRDefault="000E5F2A" w:rsidP="000E5F2A">
      <w:pPr>
        <w:spacing w:line="360" w:lineRule="auto"/>
        <w:ind w:firstLine="720"/>
        <w:jc w:val="center"/>
        <w:rPr>
          <w:b/>
          <w:bCs/>
        </w:rPr>
      </w:pPr>
      <w:r w:rsidRPr="000E5F2A">
        <w:rPr>
          <w:b/>
          <w:bCs/>
        </w:rPr>
        <w:t>Initial Bootstrap KDE Plots</w:t>
      </w:r>
    </w:p>
    <w:p w14:paraId="1A1A16FA" w14:textId="72CBCB4C" w:rsidR="000E5F2A" w:rsidRDefault="000E5F2A" w:rsidP="000E5F2A">
      <w:pPr>
        <w:spacing w:line="360" w:lineRule="auto"/>
        <w:jc w:val="center"/>
      </w:pPr>
      <w:r w:rsidRPr="000E5F2A">
        <w:drawing>
          <wp:inline distT="0" distB="0" distL="0" distR="0" wp14:anchorId="64AF984D" wp14:editId="07481149">
            <wp:extent cx="3594100" cy="2616200"/>
            <wp:effectExtent l="0" t="0" r="0" b="0"/>
            <wp:docPr id="1686477126"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77126" name="Picture 1" descr="A graph of a line graph&#10;&#10;AI-generated content may be incorrect."/>
                    <pic:cNvPicPr/>
                  </pic:nvPicPr>
                  <pic:blipFill>
                    <a:blip r:embed="rId6"/>
                    <a:stretch>
                      <a:fillRect/>
                    </a:stretch>
                  </pic:blipFill>
                  <pic:spPr>
                    <a:xfrm>
                      <a:off x="0" y="0"/>
                      <a:ext cx="3594100" cy="2616200"/>
                    </a:xfrm>
                    <a:prstGeom prst="rect">
                      <a:avLst/>
                    </a:prstGeom>
                  </pic:spPr>
                </pic:pic>
              </a:graphicData>
            </a:graphic>
          </wp:inline>
        </w:drawing>
      </w:r>
    </w:p>
    <w:p w14:paraId="5F495532" w14:textId="77777777" w:rsidR="000E5F2A" w:rsidRDefault="000E5F2A" w:rsidP="000E5F2A">
      <w:pPr>
        <w:spacing w:line="360" w:lineRule="auto"/>
      </w:pPr>
    </w:p>
    <w:p w14:paraId="5839F17D" w14:textId="77777777" w:rsidR="000E5F2A" w:rsidRDefault="000E5F2A" w:rsidP="000E5F2A">
      <w:pPr>
        <w:spacing w:line="360" w:lineRule="auto"/>
      </w:pPr>
    </w:p>
    <w:p w14:paraId="01B6DBD0" w14:textId="77777777" w:rsidR="000E5F2A" w:rsidRDefault="000E5F2A" w:rsidP="000E5F2A">
      <w:pPr>
        <w:spacing w:line="360" w:lineRule="auto"/>
      </w:pPr>
    </w:p>
    <w:p w14:paraId="3ACF2201" w14:textId="77777777" w:rsidR="000E5F2A" w:rsidRDefault="000E5F2A" w:rsidP="000E5F2A">
      <w:pPr>
        <w:spacing w:line="360" w:lineRule="auto"/>
      </w:pPr>
    </w:p>
    <w:p w14:paraId="54978268" w14:textId="77777777" w:rsidR="000E5F2A" w:rsidRDefault="000E5F2A" w:rsidP="000E5F2A">
      <w:pPr>
        <w:spacing w:line="360" w:lineRule="auto"/>
      </w:pPr>
    </w:p>
    <w:p w14:paraId="17B66C9D" w14:textId="77777777" w:rsidR="000E5F2A" w:rsidRDefault="000E5F2A" w:rsidP="000E5F2A">
      <w:pPr>
        <w:spacing w:line="360" w:lineRule="auto"/>
      </w:pPr>
    </w:p>
    <w:p w14:paraId="2F07F9CF" w14:textId="1404D044" w:rsidR="000E5F2A" w:rsidRPr="000E5F2A" w:rsidRDefault="000E5F2A" w:rsidP="000E5F2A">
      <w:pPr>
        <w:spacing w:line="360" w:lineRule="auto"/>
        <w:jc w:val="center"/>
        <w:rPr>
          <w:b/>
          <w:bCs/>
        </w:rPr>
      </w:pPr>
      <w:r w:rsidRPr="000E5F2A">
        <w:rPr>
          <w:b/>
          <w:bCs/>
        </w:rPr>
        <w:t>Initial Bootstrap ECDF Plots</w:t>
      </w:r>
    </w:p>
    <w:p w14:paraId="3026CCAE" w14:textId="0033E987" w:rsidR="000E5F2A" w:rsidRDefault="000E5F2A" w:rsidP="000E5F2A">
      <w:pPr>
        <w:spacing w:line="360" w:lineRule="auto"/>
        <w:jc w:val="center"/>
      </w:pPr>
      <w:r w:rsidRPr="000E5F2A">
        <w:drawing>
          <wp:inline distT="0" distB="0" distL="0" distR="0" wp14:anchorId="6292A0EE" wp14:editId="15BF4357">
            <wp:extent cx="3594100" cy="2654300"/>
            <wp:effectExtent l="0" t="0" r="0" b="0"/>
            <wp:docPr id="232880675"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80675" name="Picture 1" descr="A graph of different colored lines&#10;&#10;AI-generated content may be incorrect."/>
                    <pic:cNvPicPr/>
                  </pic:nvPicPr>
                  <pic:blipFill>
                    <a:blip r:embed="rId7"/>
                    <a:stretch>
                      <a:fillRect/>
                    </a:stretch>
                  </pic:blipFill>
                  <pic:spPr>
                    <a:xfrm>
                      <a:off x="0" y="0"/>
                      <a:ext cx="3594100" cy="2654300"/>
                    </a:xfrm>
                    <a:prstGeom prst="rect">
                      <a:avLst/>
                    </a:prstGeom>
                  </pic:spPr>
                </pic:pic>
              </a:graphicData>
            </a:graphic>
          </wp:inline>
        </w:drawing>
      </w:r>
    </w:p>
    <w:p w14:paraId="0E22FF52" w14:textId="77777777" w:rsidR="000E5F2A" w:rsidRDefault="000E5F2A" w:rsidP="000E5F2A">
      <w:pPr>
        <w:spacing w:line="360" w:lineRule="auto"/>
        <w:jc w:val="center"/>
      </w:pPr>
    </w:p>
    <w:p w14:paraId="5C3F024D" w14:textId="47326EF2" w:rsidR="000E5F2A" w:rsidRDefault="000E5F2A" w:rsidP="000E5F2A">
      <w:pPr>
        <w:spacing w:line="360" w:lineRule="auto"/>
      </w:pPr>
      <w:r>
        <w:tab/>
        <w:t>The bootstrapping KDE and ECDF were first estimated and plotted to examine the resulting densities and distributions of treatment success rates. As can be observed from the initial plots, all three treatments</w:t>
      </w:r>
      <w:r w:rsidR="005B5D17">
        <w:t>’ bootstrapped success rate estimates</w:t>
      </w:r>
      <w:r>
        <w:t xml:space="preserve"> follow a roughly normal distribution. It appears again that the </w:t>
      </w:r>
      <w:r>
        <w:t>Rosiglitazone</w:t>
      </w:r>
      <w:r>
        <w:t xml:space="preserve"> treatment is the most effective, having the bulk of the distribution fall in the 0.60 – 0.65 range. Rosiglitazone is again followed by lifestyle changes, and Metformin, which are distributed around the 0.50 – 0.55 and 0.45 – 0.50 ranges respectively.</w:t>
      </w:r>
    </w:p>
    <w:p w14:paraId="0672BD4E" w14:textId="77777777" w:rsidR="000E5F2A" w:rsidRDefault="000E5F2A" w:rsidP="000E5F2A">
      <w:pPr>
        <w:spacing w:line="360" w:lineRule="auto"/>
      </w:pPr>
    </w:p>
    <w:p w14:paraId="60442A2C" w14:textId="77777777" w:rsidR="000E5F2A" w:rsidRDefault="000E5F2A" w:rsidP="000E5F2A">
      <w:pPr>
        <w:spacing w:line="360" w:lineRule="auto"/>
        <w:jc w:val="center"/>
      </w:pPr>
    </w:p>
    <w:p w14:paraId="6702A8A5" w14:textId="323BA866" w:rsidR="000E5F2A" w:rsidRDefault="000E5F2A" w:rsidP="000E5F2A">
      <w:pPr>
        <w:spacing w:line="360" w:lineRule="auto"/>
        <w:jc w:val="center"/>
        <w:rPr>
          <w:b/>
          <w:bCs/>
        </w:rPr>
      </w:pPr>
      <w:r>
        <w:rPr>
          <w:b/>
          <w:bCs/>
        </w:rPr>
        <w:t>Comparison Confidence Intervals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1"/>
        <w:gridCol w:w="1461"/>
        <w:gridCol w:w="1401"/>
        <w:gridCol w:w="1401"/>
      </w:tblGrid>
      <w:tr w:rsidR="000E5F2A" w:rsidRPr="000E5F2A" w14:paraId="5267F8AB" w14:textId="77777777" w:rsidTr="000E5F2A">
        <w:trPr>
          <w:tblHeader/>
          <w:jc w:val="center"/>
        </w:trPr>
        <w:tc>
          <w:tcPr>
            <w:tcW w:w="0" w:type="auto"/>
            <w:tcMar>
              <w:top w:w="60" w:type="dxa"/>
              <w:left w:w="120" w:type="dxa"/>
              <w:bottom w:w="60" w:type="dxa"/>
              <w:right w:w="120" w:type="dxa"/>
            </w:tcMar>
            <w:vAlign w:val="center"/>
            <w:hideMark/>
          </w:tcPr>
          <w:p w14:paraId="459C2BE1" w14:textId="77777777" w:rsidR="000E5F2A" w:rsidRPr="000E5F2A" w:rsidRDefault="000E5F2A">
            <w:pPr>
              <w:jc w:val="right"/>
              <w:rPr>
                <w:rFonts w:ascii="Arial" w:hAnsi="Arial" w:cs="Arial"/>
                <w:b/>
                <w:bCs/>
                <w:color w:val="000000" w:themeColor="text1"/>
                <w:sz w:val="18"/>
                <w:szCs w:val="18"/>
              </w:rPr>
            </w:pPr>
            <w:r w:rsidRPr="000E5F2A">
              <w:rPr>
                <w:rFonts w:ascii="Arial" w:hAnsi="Arial" w:cs="Arial"/>
                <w:b/>
                <w:bCs/>
                <w:color w:val="000000" w:themeColor="text1"/>
                <w:sz w:val="18"/>
                <w:szCs w:val="18"/>
              </w:rPr>
              <w:t>Comparison</w:t>
            </w:r>
          </w:p>
        </w:tc>
        <w:tc>
          <w:tcPr>
            <w:tcW w:w="0" w:type="auto"/>
            <w:tcMar>
              <w:top w:w="60" w:type="dxa"/>
              <w:left w:w="120" w:type="dxa"/>
              <w:bottom w:w="60" w:type="dxa"/>
              <w:right w:w="120" w:type="dxa"/>
            </w:tcMar>
            <w:vAlign w:val="center"/>
            <w:hideMark/>
          </w:tcPr>
          <w:p w14:paraId="134C287D" w14:textId="77777777" w:rsidR="000E5F2A" w:rsidRPr="000E5F2A" w:rsidRDefault="000E5F2A">
            <w:pPr>
              <w:jc w:val="right"/>
              <w:rPr>
                <w:rFonts w:ascii="Arial" w:hAnsi="Arial" w:cs="Arial"/>
                <w:b/>
                <w:bCs/>
                <w:color w:val="000000" w:themeColor="text1"/>
                <w:sz w:val="18"/>
                <w:szCs w:val="18"/>
              </w:rPr>
            </w:pPr>
            <w:r w:rsidRPr="000E5F2A">
              <w:rPr>
                <w:rFonts w:ascii="Arial" w:hAnsi="Arial" w:cs="Arial"/>
                <w:b/>
                <w:bCs/>
                <w:color w:val="000000" w:themeColor="text1"/>
                <w:sz w:val="18"/>
                <w:szCs w:val="18"/>
              </w:rPr>
              <w:t>90% CI</w:t>
            </w:r>
          </w:p>
        </w:tc>
        <w:tc>
          <w:tcPr>
            <w:tcW w:w="0" w:type="auto"/>
            <w:tcMar>
              <w:top w:w="60" w:type="dxa"/>
              <w:left w:w="120" w:type="dxa"/>
              <w:bottom w:w="60" w:type="dxa"/>
              <w:right w:w="120" w:type="dxa"/>
            </w:tcMar>
            <w:vAlign w:val="center"/>
            <w:hideMark/>
          </w:tcPr>
          <w:p w14:paraId="6BB9FD67" w14:textId="77777777" w:rsidR="000E5F2A" w:rsidRPr="000E5F2A" w:rsidRDefault="000E5F2A">
            <w:pPr>
              <w:jc w:val="right"/>
              <w:rPr>
                <w:rFonts w:ascii="Arial" w:hAnsi="Arial" w:cs="Arial"/>
                <w:b/>
                <w:bCs/>
                <w:color w:val="000000" w:themeColor="text1"/>
                <w:sz w:val="18"/>
                <w:szCs w:val="18"/>
              </w:rPr>
            </w:pPr>
            <w:r w:rsidRPr="000E5F2A">
              <w:rPr>
                <w:rFonts w:ascii="Arial" w:hAnsi="Arial" w:cs="Arial"/>
                <w:b/>
                <w:bCs/>
                <w:color w:val="000000" w:themeColor="text1"/>
                <w:sz w:val="18"/>
                <w:szCs w:val="18"/>
              </w:rPr>
              <w:t>95% CI</w:t>
            </w:r>
          </w:p>
        </w:tc>
        <w:tc>
          <w:tcPr>
            <w:tcW w:w="0" w:type="auto"/>
            <w:tcMar>
              <w:top w:w="60" w:type="dxa"/>
              <w:left w:w="120" w:type="dxa"/>
              <w:bottom w:w="60" w:type="dxa"/>
              <w:right w:w="120" w:type="dxa"/>
            </w:tcMar>
            <w:vAlign w:val="center"/>
            <w:hideMark/>
          </w:tcPr>
          <w:p w14:paraId="593B48E2" w14:textId="77777777" w:rsidR="000E5F2A" w:rsidRPr="000E5F2A" w:rsidRDefault="000E5F2A">
            <w:pPr>
              <w:jc w:val="right"/>
              <w:rPr>
                <w:rFonts w:ascii="Arial" w:hAnsi="Arial" w:cs="Arial"/>
                <w:b/>
                <w:bCs/>
                <w:color w:val="000000" w:themeColor="text1"/>
                <w:sz w:val="18"/>
                <w:szCs w:val="18"/>
              </w:rPr>
            </w:pPr>
            <w:r w:rsidRPr="000E5F2A">
              <w:rPr>
                <w:rFonts w:ascii="Arial" w:hAnsi="Arial" w:cs="Arial"/>
                <w:b/>
                <w:bCs/>
                <w:color w:val="000000" w:themeColor="text1"/>
                <w:sz w:val="18"/>
                <w:szCs w:val="18"/>
              </w:rPr>
              <w:t>99% CI</w:t>
            </w:r>
          </w:p>
        </w:tc>
      </w:tr>
      <w:tr w:rsidR="000E5F2A" w:rsidRPr="000E5F2A" w14:paraId="18E1EC23" w14:textId="77777777" w:rsidTr="000E5F2A">
        <w:trPr>
          <w:jc w:val="center"/>
        </w:trPr>
        <w:tc>
          <w:tcPr>
            <w:tcW w:w="0" w:type="auto"/>
            <w:tcMar>
              <w:top w:w="60" w:type="dxa"/>
              <w:left w:w="120" w:type="dxa"/>
              <w:bottom w:w="60" w:type="dxa"/>
              <w:right w:w="120" w:type="dxa"/>
            </w:tcMar>
            <w:vAlign w:val="center"/>
            <w:hideMark/>
          </w:tcPr>
          <w:p w14:paraId="79BB878B" w14:textId="77777777" w:rsidR="000E5F2A" w:rsidRPr="000E5F2A" w:rsidRDefault="000E5F2A">
            <w:pPr>
              <w:jc w:val="right"/>
              <w:rPr>
                <w:rFonts w:ascii="Arial" w:hAnsi="Arial" w:cs="Arial"/>
                <w:color w:val="000000" w:themeColor="text1"/>
                <w:sz w:val="18"/>
                <w:szCs w:val="18"/>
              </w:rPr>
            </w:pPr>
            <w:r w:rsidRPr="000E5F2A">
              <w:rPr>
                <w:rFonts w:ascii="Arial" w:hAnsi="Arial" w:cs="Arial"/>
                <w:color w:val="000000" w:themeColor="text1"/>
                <w:sz w:val="18"/>
                <w:szCs w:val="18"/>
              </w:rPr>
              <w:t>Lifestyle vs. Met</w:t>
            </w:r>
          </w:p>
        </w:tc>
        <w:tc>
          <w:tcPr>
            <w:tcW w:w="0" w:type="auto"/>
            <w:tcMar>
              <w:top w:w="60" w:type="dxa"/>
              <w:left w:w="120" w:type="dxa"/>
              <w:bottom w:w="60" w:type="dxa"/>
              <w:right w:w="120" w:type="dxa"/>
            </w:tcMar>
            <w:vAlign w:val="center"/>
            <w:hideMark/>
          </w:tcPr>
          <w:p w14:paraId="2A4BCE04" w14:textId="77777777" w:rsidR="000E5F2A" w:rsidRPr="000E5F2A" w:rsidRDefault="000E5F2A">
            <w:pPr>
              <w:jc w:val="right"/>
              <w:rPr>
                <w:rFonts w:ascii="Arial" w:hAnsi="Arial" w:cs="Arial"/>
                <w:color w:val="000000" w:themeColor="text1"/>
                <w:sz w:val="18"/>
                <w:szCs w:val="18"/>
              </w:rPr>
            </w:pPr>
            <w:r w:rsidRPr="000E5F2A">
              <w:rPr>
                <w:rFonts w:ascii="Arial" w:hAnsi="Arial" w:cs="Arial"/>
                <w:color w:val="000000" w:themeColor="text1"/>
                <w:sz w:val="18"/>
                <w:szCs w:val="18"/>
              </w:rPr>
              <w:t>[-0.026, 0.129]</w:t>
            </w:r>
          </w:p>
        </w:tc>
        <w:tc>
          <w:tcPr>
            <w:tcW w:w="0" w:type="auto"/>
            <w:tcMar>
              <w:top w:w="60" w:type="dxa"/>
              <w:left w:w="120" w:type="dxa"/>
              <w:bottom w:w="60" w:type="dxa"/>
              <w:right w:w="120" w:type="dxa"/>
            </w:tcMar>
            <w:vAlign w:val="center"/>
            <w:hideMark/>
          </w:tcPr>
          <w:p w14:paraId="392B464C" w14:textId="77777777" w:rsidR="000E5F2A" w:rsidRPr="000E5F2A" w:rsidRDefault="000E5F2A">
            <w:pPr>
              <w:jc w:val="right"/>
              <w:rPr>
                <w:rFonts w:ascii="Arial" w:hAnsi="Arial" w:cs="Arial"/>
                <w:color w:val="000000" w:themeColor="text1"/>
                <w:sz w:val="18"/>
                <w:szCs w:val="18"/>
              </w:rPr>
            </w:pPr>
            <w:r w:rsidRPr="000E5F2A">
              <w:rPr>
                <w:rFonts w:ascii="Arial" w:hAnsi="Arial" w:cs="Arial"/>
                <w:color w:val="000000" w:themeColor="text1"/>
                <w:sz w:val="18"/>
                <w:szCs w:val="18"/>
              </w:rPr>
              <w:t>[-0.039, 0.142]</w:t>
            </w:r>
          </w:p>
        </w:tc>
        <w:tc>
          <w:tcPr>
            <w:tcW w:w="0" w:type="auto"/>
            <w:tcMar>
              <w:top w:w="60" w:type="dxa"/>
              <w:left w:w="120" w:type="dxa"/>
              <w:bottom w:w="60" w:type="dxa"/>
              <w:right w:w="120" w:type="dxa"/>
            </w:tcMar>
            <w:vAlign w:val="center"/>
            <w:hideMark/>
          </w:tcPr>
          <w:p w14:paraId="4C349917" w14:textId="77777777" w:rsidR="000E5F2A" w:rsidRPr="000E5F2A" w:rsidRDefault="000E5F2A">
            <w:pPr>
              <w:jc w:val="right"/>
              <w:rPr>
                <w:rFonts w:ascii="Arial" w:hAnsi="Arial" w:cs="Arial"/>
                <w:color w:val="000000" w:themeColor="text1"/>
                <w:sz w:val="18"/>
                <w:szCs w:val="18"/>
              </w:rPr>
            </w:pPr>
            <w:r w:rsidRPr="000E5F2A">
              <w:rPr>
                <w:rFonts w:ascii="Arial" w:hAnsi="Arial" w:cs="Arial"/>
                <w:color w:val="000000" w:themeColor="text1"/>
                <w:sz w:val="18"/>
                <w:szCs w:val="18"/>
              </w:rPr>
              <w:t>[-0.065, 0.167]</w:t>
            </w:r>
          </w:p>
        </w:tc>
      </w:tr>
      <w:tr w:rsidR="000E5F2A" w:rsidRPr="000E5F2A" w14:paraId="542850A2" w14:textId="77777777" w:rsidTr="000E5F2A">
        <w:trPr>
          <w:jc w:val="center"/>
        </w:trPr>
        <w:tc>
          <w:tcPr>
            <w:tcW w:w="0" w:type="auto"/>
            <w:tcMar>
              <w:top w:w="60" w:type="dxa"/>
              <w:left w:w="120" w:type="dxa"/>
              <w:bottom w:w="60" w:type="dxa"/>
              <w:right w:w="120" w:type="dxa"/>
            </w:tcMar>
            <w:vAlign w:val="center"/>
            <w:hideMark/>
          </w:tcPr>
          <w:p w14:paraId="2E2CB9F5" w14:textId="77777777" w:rsidR="000E5F2A" w:rsidRPr="000E5F2A" w:rsidRDefault="000E5F2A">
            <w:pPr>
              <w:jc w:val="right"/>
              <w:rPr>
                <w:rFonts w:ascii="Arial" w:hAnsi="Arial" w:cs="Arial"/>
                <w:color w:val="000000" w:themeColor="text1"/>
                <w:sz w:val="18"/>
                <w:szCs w:val="18"/>
              </w:rPr>
            </w:pPr>
            <w:r w:rsidRPr="000E5F2A">
              <w:rPr>
                <w:rFonts w:ascii="Arial" w:hAnsi="Arial" w:cs="Arial"/>
                <w:color w:val="000000" w:themeColor="text1"/>
                <w:sz w:val="18"/>
                <w:szCs w:val="18"/>
              </w:rPr>
              <w:t>Lifestyle vs. Rosi</w:t>
            </w:r>
          </w:p>
        </w:tc>
        <w:tc>
          <w:tcPr>
            <w:tcW w:w="0" w:type="auto"/>
            <w:tcMar>
              <w:top w:w="60" w:type="dxa"/>
              <w:left w:w="120" w:type="dxa"/>
              <w:bottom w:w="60" w:type="dxa"/>
              <w:right w:w="120" w:type="dxa"/>
            </w:tcMar>
            <w:vAlign w:val="center"/>
            <w:hideMark/>
          </w:tcPr>
          <w:p w14:paraId="04E6AB2C" w14:textId="77777777" w:rsidR="000E5F2A" w:rsidRPr="000E5F2A" w:rsidRDefault="000E5F2A">
            <w:pPr>
              <w:jc w:val="right"/>
              <w:rPr>
                <w:rFonts w:ascii="Arial" w:hAnsi="Arial" w:cs="Arial"/>
                <w:color w:val="000000" w:themeColor="text1"/>
                <w:sz w:val="18"/>
                <w:szCs w:val="18"/>
              </w:rPr>
            </w:pPr>
            <w:r w:rsidRPr="000E5F2A">
              <w:rPr>
                <w:rFonts w:ascii="Arial" w:hAnsi="Arial" w:cs="Arial"/>
                <w:color w:val="000000" w:themeColor="text1"/>
                <w:sz w:val="18"/>
                <w:szCs w:val="18"/>
              </w:rPr>
              <w:t>[-0.152, -0.007]</w:t>
            </w:r>
          </w:p>
        </w:tc>
        <w:tc>
          <w:tcPr>
            <w:tcW w:w="0" w:type="auto"/>
            <w:tcMar>
              <w:top w:w="60" w:type="dxa"/>
              <w:left w:w="120" w:type="dxa"/>
              <w:bottom w:w="60" w:type="dxa"/>
              <w:right w:w="120" w:type="dxa"/>
            </w:tcMar>
            <w:vAlign w:val="center"/>
            <w:hideMark/>
          </w:tcPr>
          <w:p w14:paraId="20416F2F" w14:textId="77777777" w:rsidR="000E5F2A" w:rsidRPr="000E5F2A" w:rsidRDefault="000E5F2A">
            <w:pPr>
              <w:jc w:val="right"/>
              <w:rPr>
                <w:rFonts w:ascii="Arial" w:hAnsi="Arial" w:cs="Arial"/>
                <w:color w:val="000000" w:themeColor="text1"/>
                <w:sz w:val="18"/>
                <w:szCs w:val="18"/>
              </w:rPr>
            </w:pPr>
            <w:r w:rsidRPr="000E5F2A">
              <w:rPr>
                <w:rFonts w:ascii="Arial" w:hAnsi="Arial" w:cs="Arial"/>
                <w:color w:val="000000" w:themeColor="text1"/>
                <w:sz w:val="18"/>
                <w:szCs w:val="18"/>
              </w:rPr>
              <w:t>[-0.170, 0.010]</w:t>
            </w:r>
          </w:p>
        </w:tc>
        <w:tc>
          <w:tcPr>
            <w:tcW w:w="0" w:type="auto"/>
            <w:tcMar>
              <w:top w:w="60" w:type="dxa"/>
              <w:left w:w="120" w:type="dxa"/>
              <w:bottom w:w="60" w:type="dxa"/>
              <w:right w:w="120" w:type="dxa"/>
            </w:tcMar>
            <w:vAlign w:val="center"/>
            <w:hideMark/>
          </w:tcPr>
          <w:p w14:paraId="09531A65" w14:textId="77777777" w:rsidR="000E5F2A" w:rsidRPr="000E5F2A" w:rsidRDefault="000E5F2A">
            <w:pPr>
              <w:jc w:val="right"/>
              <w:rPr>
                <w:rFonts w:ascii="Arial" w:hAnsi="Arial" w:cs="Arial"/>
                <w:color w:val="000000" w:themeColor="text1"/>
                <w:sz w:val="18"/>
                <w:szCs w:val="18"/>
              </w:rPr>
            </w:pPr>
            <w:r w:rsidRPr="000E5F2A">
              <w:rPr>
                <w:rFonts w:ascii="Arial" w:hAnsi="Arial" w:cs="Arial"/>
                <w:color w:val="000000" w:themeColor="text1"/>
                <w:sz w:val="18"/>
                <w:szCs w:val="18"/>
              </w:rPr>
              <w:t>[-0.199, 0.036]</w:t>
            </w:r>
          </w:p>
        </w:tc>
      </w:tr>
      <w:tr w:rsidR="000E5F2A" w:rsidRPr="000E5F2A" w14:paraId="4903F83E" w14:textId="77777777" w:rsidTr="000E5F2A">
        <w:trPr>
          <w:jc w:val="center"/>
        </w:trPr>
        <w:tc>
          <w:tcPr>
            <w:tcW w:w="0" w:type="auto"/>
            <w:tcMar>
              <w:top w:w="60" w:type="dxa"/>
              <w:left w:w="120" w:type="dxa"/>
              <w:bottom w:w="60" w:type="dxa"/>
              <w:right w:w="120" w:type="dxa"/>
            </w:tcMar>
            <w:vAlign w:val="center"/>
            <w:hideMark/>
          </w:tcPr>
          <w:p w14:paraId="29AA3CAE" w14:textId="77777777" w:rsidR="000E5F2A" w:rsidRPr="000E5F2A" w:rsidRDefault="000E5F2A">
            <w:pPr>
              <w:jc w:val="right"/>
              <w:rPr>
                <w:rFonts w:ascii="Arial" w:hAnsi="Arial" w:cs="Arial"/>
                <w:color w:val="000000" w:themeColor="text1"/>
                <w:sz w:val="18"/>
                <w:szCs w:val="18"/>
              </w:rPr>
            </w:pPr>
            <w:r w:rsidRPr="000E5F2A">
              <w:rPr>
                <w:rFonts w:ascii="Arial" w:hAnsi="Arial" w:cs="Arial"/>
                <w:color w:val="000000" w:themeColor="text1"/>
                <w:sz w:val="18"/>
                <w:szCs w:val="18"/>
              </w:rPr>
              <w:t>Rosi vs. Met</w:t>
            </w:r>
          </w:p>
        </w:tc>
        <w:tc>
          <w:tcPr>
            <w:tcW w:w="0" w:type="auto"/>
            <w:tcMar>
              <w:top w:w="60" w:type="dxa"/>
              <w:left w:w="120" w:type="dxa"/>
              <w:bottom w:w="60" w:type="dxa"/>
              <w:right w:w="120" w:type="dxa"/>
            </w:tcMar>
            <w:vAlign w:val="center"/>
            <w:hideMark/>
          </w:tcPr>
          <w:p w14:paraId="02E6B349" w14:textId="77777777" w:rsidR="000E5F2A" w:rsidRPr="000E5F2A" w:rsidRDefault="000E5F2A">
            <w:pPr>
              <w:jc w:val="right"/>
              <w:rPr>
                <w:rFonts w:ascii="Arial" w:hAnsi="Arial" w:cs="Arial"/>
                <w:color w:val="000000" w:themeColor="text1"/>
                <w:sz w:val="18"/>
                <w:szCs w:val="18"/>
              </w:rPr>
            </w:pPr>
            <w:r w:rsidRPr="000E5F2A">
              <w:rPr>
                <w:rFonts w:ascii="Arial" w:hAnsi="Arial" w:cs="Arial"/>
                <w:color w:val="000000" w:themeColor="text1"/>
                <w:sz w:val="18"/>
                <w:szCs w:val="18"/>
              </w:rPr>
              <w:t>[0.058, 0.208]</w:t>
            </w:r>
          </w:p>
        </w:tc>
        <w:tc>
          <w:tcPr>
            <w:tcW w:w="0" w:type="auto"/>
            <w:tcMar>
              <w:top w:w="60" w:type="dxa"/>
              <w:left w:w="120" w:type="dxa"/>
              <w:bottom w:w="60" w:type="dxa"/>
              <w:right w:w="120" w:type="dxa"/>
            </w:tcMar>
            <w:vAlign w:val="center"/>
            <w:hideMark/>
          </w:tcPr>
          <w:p w14:paraId="6778A35A" w14:textId="77777777" w:rsidR="000E5F2A" w:rsidRPr="000E5F2A" w:rsidRDefault="000E5F2A">
            <w:pPr>
              <w:jc w:val="right"/>
              <w:rPr>
                <w:rFonts w:ascii="Arial" w:hAnsi="Arial" w:cs="Arial"/>
                <w:color w:val="000000" w:themeColor="text1"/>
                <w:sz w:val="18"/>
                <w:szCs w:val="18"/>
              </w:rPr>
            </w:pPr>
            <w:r w:rsidRPr="000E5F2A">
              <w:rPr>
                <w:rFonts w:ascii="Arial" w:hAnsi="Arial" w:cs="Arial"/>
                <w:color w:val="000000" w:themeColor="text1"/>
                <w:sz w:val="18"/>
                <w:szCs w:val="18"/>
              </w:rPr>
              <w:t>[0.041, 0.221]</w:t>
            </w:r>
          </w:p>
        </w:tc>
        <w:tc>
          <w:tcPr>
            <w:tcW w:w="0" w:type="auto"/>
            <w:tcMar>
              <w:top w:w="60" w:type="dxa"/>
              <w:left w:w="120" w:type="dxa"/>
              <w:bottom w:w="60" w:type="dxa"/>
              <w:right w:w="120" w:type="dxa"/>
            </w:tcMar>
            <w:vAlign w:val="center"/>
            <w:hideMark/>
          </w:tcPr>
          <w:p w14:paraId="1A1F9781" w14:textId="77777777" w:rsidR="000E5F2A" w:rsidRPr="000E5F2A" w:rsidRDefault="000E5F2A">
            <w:pPr>
              <w:jc w:val="right"/>
              <w:rPr>
                <w:rFonts w:ascii="Arial" w:hAnsi="Arial" w:cs="Arial"/>
                <w:color w:val="000000" w:themeColor="text1"/>
                <w:sz w:val="18"/>
                <w:szCs w:val="18"/>
              </w:rPr>
            </w:pPr>
            <w:r w:rsidRPr="000E5F2A">
              <w:rPr>
                <w:rFonts w:ascii="Arial" w:hAnsi="Arial" w:cs="Arial"/>
                <w:color w:val="000000" w:themeColor="text1"/>
                <w:sz w:val="18"/>
                <w:szCs w:val="18"/>
              </w:rPr>
              <w:t>[0.006, 0.247]</w:t>
            </w:r>
          </w:p>
        </w:tc>
      </w:tr>
    </w:tbl>
    <w:p w14:paraId="6A4EA07A" w14:textId="77777777" w:rsidR="000E5F2A" w:rsidRDefault="000E5F2A" w:rsidP="000E5F2A">
      <w:pPr>
        <w:spacing w:line="360" w:lineRule="auto"/>
        <w:jc w:val="center"/>
        <w:rPr>
          <w:b/>
          <w:bCs/>
        </w:rPr>
      </w:pPr>
    </w:p>
    <w:p w14:paraId="33DA3AFC" w14:textId="77777777" w:rsidR="000E5F2A" w:rsidRDefault="000E5F2A" w:rsidP="000E5F2A">
      <w:pPr>
        <w:spacing w:line="360" w:lineRule="auto"/>
        <w:ind w:firstLine="720"/>
        <w:jc w:val="both"/>
      </w:pPr>
    </w:p>
    <w:p w14:paraId="6F8AF9A7" w14:textId="282FECCA" w:rsidR="000E5F2A" w:rsidRPr="000E5F2A" w:rsidRDefault="000E5F2A" w:rsidP="000E5F2A">
      <w:pPr>
        <w:spacing w:line="360" w:lineRule="auto"/>
        <w:ind w:firstLine="720"/>
        <w:jc w:val="both"/>
      </w:pPr>
      <w:r>
        <w:t>Following the plots, confidence intervals were calculated to evaluate the statistical significance of the differences between treatments. The resulting intervals strongly suggest that</w:t>
      </w:r>
      <w:r w:rsidRPr="000E5F2A">
        <w:t xml:space="preserve"> </w:t>
      </w:r>
      <w:r w:rsidRPr="000E5F2A">
        <w:lastRenderedPageBreak/>
        <w:t>the Rosi</w:t>
      </w:r>
      <w:r>
        <w:t>glitazone</w:t>
      </w:r>
      <w:r w:rsidRPr="000E5F2A">
        <w:t xml:space="preserve"> treatment is </w:t>
      </w:r>
      <w:r>
        <w:t xml:space="preserve">the </w:t>
      </w:r>
      <w:r w:rsidRPr="000E5F2A">
        <w:t>stronge</w:t>
      </w:r>
      <w:r>
        <w:t>st</w:t>
      </w:r>
      <w:r w:rsidRPr="000E5F2A">
        <w:t xml:space="preserve"> </w:t>
      </w:r>
      <w:r>
        <w:t>overall</w:t>
      </w:r>
      <w:r w:rsidRPr="000E5F2A">
        <w:t xml:space="preserve"> treatment. The </w:t>
      </w:r>
      <w:r w:rsidRPr="000E5F2A">
        <w:t>Rosi</w:t>
      </w:r>
      <w:r>
        <w:t>glitazone</w:t>
      </w:r>
      <w:r w:rsidRPr="000E5F2A">
        <w:t xml:space="preserve"> treatment had a positive effect over the </w:t>
      </w:r>
      <w:r>
        <w:t>Metformin</w:t>
      </w:r>
      <w:r w:rsidRPr="000E5F2A">
        <w:t xml:space="preserve"> treatment at all three confidence levels. The Rosi treatment also had a positive effect over the Lifestyle treatment at the 90</w:t>
      </w:r>
      <w:r w:rsidRPr="000E5F2A">
        <w:t xml:space="preserve">% </w:t>
      </w:r>
      <w:r>
        <w:t xml:space="preserve">confidence </w:t>
      </w:r>
      <w:r w:rsidRPr="000E5F2A">
        <w:t xml:space="preserve">level. </w:t>
      </w:r>
      <w:r>
        <w:t>While the results were not conclusive enough to reject the null hypothesis that the</w:t>
      </w:r>
      <w:r w:rsidR="005B5D17">
        <w:t xml:space="preserve"> average</w:t>
      </w:r>
      <w:r>
        <w:t xml:space="preserve"> </w:t>
      </w:r>
      <w:r w:rsidR="005B5D17">
        <w:t>difference between the Rosiglitazone and lifestyle</w:t>
      </w:r>
      <w:r>
        <w:t xml:space="preserve"> changes treatment</w:t>
      </w:r>
      <w:r w:rsidR="005B5D17">
        <w:t>s was equal to zero</w:t>
      </w:r>
      <w:r>
        <w:t xml:space="preserve"> at the 95% and 99% confidence intervals, its dominance over the Metformin treatment and statistical significance at the 90% level suggest that it is the strongest overall treatment. </w:t>
      </w:r>
      <w:r w:rsidR="005B5D17">
        <w:t xml:space="preserve">However, the lack of statistical significance at the 95% and 99% confidence levels should be a sign to use discretion when picking treatment. </w:t>
      </w:r>
      <w:proofErr w:type="spellStart"/>
      <w:r w:rsidRPr="000E5F2A">
        <w:t>There</w:t>
      </w:r>
      <w:proofErr w:type="spellEnd"/>
      <w:r w:rsidRPr="000E5F2A">
        <w:t xml:space="preserve"> is not enough evidence to </w:t>
      </w:r>
      <w:r w:rsidRPr="000E5F2A">
        <w:t>determine</w:t>
      </w:r>
      <w:r w:rsidRPr="000E5F2A">
        <w:t xml:space="preserve"> which treatment had a stronger effect between the met and lifestyle treatments, as 0 is present on all </w:t>
      </w:r>
      <w:r w:rsidRPr="000E5F2A">
        <w:t>three</w:t>
      </w:r>
      <w:r w:rsidRPr="000E5F2A">
        <w:t xml:space="preserve"> confidence intervals</w:t>
      </w:r>
      <w:r>
        <w:t>, suggesting that the difference is not statistically significant.</w:t>
      </w:r>
    </w:p>
    <w:p w14:paraId="797D505C" w14:textId="77777777" w:rsidR="000E5F2A" w:rsidRPr="000E5F2A" w:rsidRDefault="000E5F2A" w:rsidP="000E5F2A">
      <w:pPr>
        <w:spacing w:line="360" w:lineRule="auto"/>
        <w:jc w:val="both"/>
        <w:rPr>
          <w:b/>
          <w:bCs/>
        </w:rPr>
      </w:pPr>
    </w:p>
    <w:sectPr w:rsidR="000E5F2A" w:rsidRPr="000E5F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0CAEE" w14:textId="77777777" w:rsidR="00380370" w:rsidRDefault="00380370" w:rsidP="000E5F2A">
      <w:r>
        <w:separator/>
      </w:r>
    </w:p>
  </w:endnote>
  <w:endnote w:type="continuationSeparator" w:id="0">
    <w:p w14:paraId="3FA08C79" w14:textId="77777777" w:rsidR="00380370" w:rsidRDefault="00380370" w:rsidP="000E5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294C1" w14:textId="77777777" w:rsidR="00380370" w:rsidRDefault="00380370" w:rsidP="000E5F2A">
      <w:r>
        <w:separator/>
      </w:r>
    </w:p>
  </w:footnote>
  <w:footnote w:type="continuationSeparator" w:id="0">
    <w:p w14:paraId="73D751BA" w14:textId="77777777" w:rsidR="00380370" w:rsidRDefault="00380370" w:rsidP="000E5F2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F2A"/>
    <w:rsid w:val="000E5F2A"/>
    <w:rsid w:val="00113BB8"/>
    <w:rsid w:val="00255F27"/>
    <w:rsid w:val="00380370"/>
    <w:rsid w:val="00596651"/>
    <w:rsid w:val="005B5D17"/>
    <w:rsid w:val="00893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DE8703"/>
  <w15:chartTrackingRefBased/>
  <w15:docId w15:val="{6822C687-CE5A-054B-993A-89037E255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F2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E5F2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E5F2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E5F2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E5F2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E5F2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E5F2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E5F2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E5F2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E5F2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F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F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F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F2A"/>
    <w:rPr>
      <w:rFonts w:eastAsiaTheme="majorEastAsia" w:cstheme="majorBidi"/>
      <w:color w:val="272727" w:themeColor="text1" w:themeTint="D8"/>
    </w:rPr>
  </w:style>
  <w:style w:type="paragraph" w:styleId="Title">
    <w:name w:val="Title"/>
    <w:basedOn w:val="Normal"/>
    <w:next w:val="Normal"/>
    <w:link w:val="TitleChar"/>
    <w:uiPriority w:val="10"/>
    <w:qFormat/>
    <w:rsid w:val="000E5F2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E5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F2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E5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F2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E5F2A"/>
    <w:rPr>
      <w:i/>
      <w:iCs/>
      <w:color w:val="404040" w:themeColor="text1" w:themeTint="BF"/>
    </w:rPr>
  </w:style>
  <w:style w:type="paragraph" w:styleId="ListParagraph">
    <w:name w:val="List Paragraph"/>
    <w:basedOn w:val="Normal"/>
    <w:uiPriority w:val="34"/>
    <w:qFormat/>
    <w:rsid w:val="000E5F2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0E5F2A"/>
    <w:rPr>
      <w:i/>
      <w:iCs/>
      <w:color w:val="0F4761" w:themeColor="accent1" w:themeShade="BF"/>
    </w:rPr>
  </w:style>
  <w:style w:type="paragraph" w:styleId="IntenseQuote">
    <w:name w:val="Intense Quote"/>
    <w:basedOn w:val="Normal"/>
    <w:next w:val="Normal"/>
    <w:link w:val="IntenseQuoteChar"/>
    <w:uiPriority w:val="30"/>
    <w:qFormat/>
    <w:rsid w:val="000E5F2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E5F2A"/>
    <w:rPr>
      <w:i/>
      <w:iCs/>
      <w:color w:val="0F4761" w:themeColor="accent1" w:themeShade="BF"/>
    </w:rPr>
  </w:style>
  <w:style w:type="character" w:styleId="IntenseReference">
    <w:name w:val="Intense Reference"/>
    <w:basedOn w:val="DefaultParagraphFont"/>
    <w:uiPriority w:val="32"/>
    <w:qFormat/>
    <w:rsid w:val="000E5F2A"/>
    <w:rPr>
      <w:b/>
      <w:bCs/>
      <w:smallCaps/>
      <w:color w:val="0F4761" w:themeColor="accent1" w:themeShade="BF"/>
      <w:spacing w:val="5"/>
    </w:rPr>
  </w:style>
  <w:style w:type="paragraph" w:styleId="Header">
    <w:name w:val="header"/>
    <w:basedOn w:val="Normal"/>
    <w:link w:val="HeaderChar"/>
    <w:uiPriority w:val="99"/>
    <w:unhideWhenUsed/>
    <w:rsid w:val="000E5F2A"/>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0E5F2A"/>
  </w:style>
  <w:style w:type="paragraph" w:styleId="Footer">
    <w:name w:val="footer"/>
    <w:basedOn w:val="Normal"/>
    <w:link w:val="FooterChar"/>
    <w:uiPriority w:val="99"/>
    <w:unhideWhenUsed/>
    <w:rsid w:val="000E5F2A"/>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0E5F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373110">
      <w:bodyDiv w:val="1"/>
      <w:marLeft w:val="0"/>
      <w:marRight w:val="0"/>
      <w:marTop w:val="0"/>
      <w:marBottom w:val="0"/>
      <w:divBdr>
        <w:top w:val="none" w:sz="0" w:space="0" w:color="auto"/>
        <w:left w:val="none" w:sz="0" w:space="0" w:color="auto"/>
        <w:bottom w:val="none" w:sz="0" w:space="0" w:color="auto"/>
        <w:right w:val="none" w:sz="0" w:space="0" w:color="auto"/>
      </w:divBdr>
    </w:div>
    <w:div w:id="366639592">
      <w:bodyDiv w:val="1"/>
      <w:marLeft w:val="0"/>
      <w:marRight w:val="0"/>
      <w:marTop w:val="0"/>
      <w:marBottom w:val="0"/>
      <w:divBdr>
        <w:top w:val="none" w:sz="0" w:space="0" w:color="auto"/>
        <w:left w:val="none" w:sz="0" w:space="0" w:color="auto"/>
        <w:bottom w:val="none" w:sz="0" w:space="0" w:color="auto"/>
        <w:right w:val="none" w:sz="0" w:space="0" w:color="auto"/>
      </w:divBdr>
    </w:div>
    <w:div w:id="374499912">
      <w:bodyDiv w:val="1"/>
      <w:marLeft w:val="0"/>
      <w:marRight w:val="0"/>
      <w:marTop w:val="0"/>
      <w:marBottom w:val="0"/>
      <w:divBdr>
        <w:top w:val="none" w:sz="0" w:space="0" w:color="auto"/>
        <w:left w:val="none" w:sz="0" w:space="0" w:color="auto"/>
        <w:bottom w:val="none" w:sz="0" w:space="0" w:color="auto"/>
        <w:right w:val="none" w:sz="0" w:space="0" w:color="auto"/>
      </w:divBdr>
    </w:div>
    <w:div w:id="1139609879">
      <w:bodyDiv w:val="1"/>
      <w:marLeft w:val="0"/>
      <w:marRight w:val="0"/>
      <w:marTop w:val="0"/>
      <w:marBottom w:val="0"/>
      <w:divBdr>
        <w:top w:val="none" w:sz="0" w:space="0" w:color="auto"/>
        <w:left w:val="none" w:sz="0" w:space="0" w:color="auto"/>
        <w:bottom w:val="none" w:sz="0" w:space="0" w:color="auto"/>
        <w:right w:val="none" w:sz="0" w:space="0" w:color="auto"/>
      </w:divBdr>
    </w:div>
    <w:div w:id="1369449825">
      <w:bodyDiv w:val="1"/>
      <w:marLeft w:val="0"/>
      <w:marRight w:val="0"/>
      <w:marTop w:val="0"/>
      <w:marBottom w:val="0"/>
      <w:divBdr>
        <w:top w:val="none" w:sz="0" w:space="0" w:color="auto"/>
        <w:left w:val="none" w:sz="0" w:space="0" w:color="auto"/>
        <w:bottom w:val="none" w:sz="0" w:space="0" w:color="auto"/>
        <w:right w:val="none" w:sz="0" w:space="0" w:color="auto"/>
      </w:divBdr>
      <w:divsChild>
        <w:div w:id="716392465">
          <w:marLeft w:val="0"/>
          <w:marRight w:val="0"/>
          <w:marTop w:val="0"/>
          <w:marBottom w:val="0"/>
          <w:divBdr>
            <w:top w:val="none" w:sz="0" w:space="0" w:color="auto"/>
            <w:left w:val="none" w:sz="0" w:space="0" w:color="auto"/>
            <w:bottom w:val="none" w:sz="0" w:space="0" w:color="auto"/>
            <w:right w:val="none" w:sz="0" w:space="0" w:color="auto"/>
          </w:divBdr>
          <w:divsChild>
            <w:div w:id="22973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86781">
      <w:bodyDiv w:val="1"/>
      <w:marLeft w:val="0"/>
      <w:marRight w:val="0"/>
      <w:marTop w:val="0"/>
      <w:marBottom w:val="0"/>
      <w:divBdr>
        <w:top w:val="none" w:sz="0" w:space="0" w:color="auto"/>
        <w:left w:val="none" w:sz="0" w:space="0" w:color="auto"/>
        <w:bottom w:val="none" w:sz="0" w:space="0" w:color="auto"/>
        <w:right w:val="none" w:sz="0" w:space="0" w:color="auto"/>
      </w:divBdr>
      <w:divsChild>
        <w:div w:id="28535425">
          <w:marLeft w:val="0"/>
          <w:marRight w:val="0"/>
          <w:marTop w:val="0"/>
          <w:marBottom w:val="0"/>
          <w:divBdr>
            <w:top w:val="none" w:sz="0" w:space="0" w:color="auto"/>
            <w:left w:val="none" w:sz="0" w:space="0" w:color="auto"/>
            <w:bottom w:val="none" w:sz="0" w:space="0" w:color="auto"/>
            <w:right w:val="none" w:sz="0" w:space="0" w:color="auto"/>
          </w:divBdr>
          <w:divsChild>
            <w:div w:id="32894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436</Words>
  <Characters>2489</Characters>
  <Application>Microsoft Office Word</Application>
  <DocSecurity>0</DocSecurity>
  <Lines>20</Lines>
  <Paragraphs>5</Paragraphs>
  <ScaleCrop>false</ScaleCrop>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Mallory, Luke D</dc:creator>
  <cp:keywords/>
  <dc:description/>
  <cp:lastModifiedBy>Mallory, Luke D</cp:lastModifiedBy>
  <cp:revision>3</cp:revision>
  <dcterms:created xsi:type="dcterms:W3CDTF">2026-10-12T22:44:00Z</dcterms:created>
  <dcterms:modified xsi:type="dcterms:W3CDTF">2026-10-12T23:38:00Z</dcterms:modified>
</cp:coreProperties>
</file>