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Rowing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$8,540.00</w:t>
            </w:r>
          </w:p>
        </w:tc>
        <w:tc>
          <w:tcPr>
            <w:tcW w:w="1870" w:type="dxa"/>
          </w:tcPr>
          <w:p w14:paraId="7D1343F8" w14:textId="08CA18D9" w:rsidR="00C93EE6" w:rsidRPr="005D4C78" w:rsidRDefault="00C93EE6" w:rsidP="00C93EE6">
            <w:pPr>
              <w:rPr>
                <w:sz w:val="14"/>
                <w:szCs w:val="14"/>
              </w:rPr>
            </w:pPr>
            <w:r>
              <w:t>$9,452.00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$4,200.00</w:t>
            </w:r>
          </w:p>
        </w:tc>
        <w:tc>
          <w:tcPr>
            <w:tcW w:w="1870" w:type="dxa"/>
          </w:tcPr>
          <w:p w14:paraId="206C3647" w14:textId="15D17129" w:rsidR="00C93EE6" w:rsidRPr="005D4C78" w:rsidRDefault="005D4C78" w:rsidP="00C93EE6">
            <w:pPr>
              <w:rPr>
                <w:sz w:val="14"/>
                <w:szCs w:val="14"/>
              </w:rPr>
            </w:pPr>
            <w:r>
              <w:t>$4,200.00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$4,900.00</w:t>
            </w:r>
          </w:p>
        </w:tc>
        <w:tc>
          <w:tcPr>
            <w:tcW w:w="1870" w:type="dxa"/>
          </w:tcPr>
          <w:p w14:paraId="253E7478" w14:textId="6A8426DC" w:rsidR="00C93EE6" w:rsidRPr="005D4C78" w:rsidRDefault="005D4C78" w:rsidP="00C93EE6">
            <w:pPr>
              <w:rPr>
                <w:sz w:val="14"/>
                <w:szCs w:val="14"/>
              </w:rPr>
            </w:pPr>
            <w:r>
              <w:t>$11,500.00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$2,150.00</w:t>
            </w:r>
          </w:p>
        </w:tc>
        <w:tc>
          <w:tcPr>
            <w:tcW w:w="1870" w:type="dxa"/>
          </w:tcPr>
          <w:p w14:paraId="26ABA39A" w14:textId="502B10DF" w:rsidR="00C93EE6" w:rsidRPr="005D4C78" w:rsidRDefault="005D4C78" w:rsidP="00C93EE6">
            <w:pPr>
              <w:rPr>
                <w:sz w:val="14"/>
                <w:szCs w:val="14"/>
              </w:rPr>
            </w:pPr>
            <w:r>
              <w:t>$2,450.00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$1,800.00</w:t>
            </w:r>
          </w:p>
        </w:tc>
        <w:tc>
          <w:tcPr>
            <w:tcW w:w="1870" w:type="dxa"/>
          </w:tcPr>
          <w:p w14:paraId="307D6533" w14:textId="50E0B369" w:rsidR="00C93EE6" w:rsidRPr="005D4C78" w:rsidRDefault="005D4C78" w:rsidP="00C93EE6">
            <w:pPr>
              <w:rPr>
                <w:sz w:val="14"/>
                <w:szCs w:val="14"/>
              </w:rPr>
            </w:pPr>
            <w:r>
              <w:t>$2,500.00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$21,590.00</w:t>
            </w:r>
          </w:p>
        </w:tc>
        <w:tc>
          <w:tcPr>
            <w:tcW w:w="1870" w:type="dxa"/>
          </w:tcPr>
          <w:p w14:paraId="3D7A04F8" w14:textId="574FACDE" w:rsidR="00C93EE6" w:rsidRPr="005D4C78" w:rsidRDefault="005D4C78" w:rsidP="00C93EE6">
            <w:pPr>
              <w:rPr>
                <w:sz w:val="14"/>
                <w:szCs w:val="14"/>
              </w:rPr>
            </w:pPr>
            <w:r>
              <w:t>$30,102.00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3.0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2.0</w:t>
            </w:r>
          </w:p>
        </w:tc>
        <w:tc>
          <w:tcPr>
            <w:tcW w:w="1212" w:type="pct"/>
          </w:tcPr>
          <w:p w14:paraId="789D9094" w14:textId="23D18E6E" w:rsidR="000E2171" w:rsidRPr="004953A5" w:rsidRDefault="00633872" w:rsidP="00736E2B">
            <w:pPr>
              <w:rPr>
                <w:sz w:val="14"/>
                <w:szCs w:val="14"/>
              </w:rPr>
            </w:pPr>
            <w:r>
              <w:t>Middle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5.0</w:t>
            </w:r>
          </w:p>
        </w:tc>
        <w:tc>
          <w:tcPr>
            <w:tcW w:w="1212" w:type="pct"/>
          </w:tcPr>
          <w:p w14:paraId="13D251A4" w14:textId="4C88A0EC" w:rsidR="000E2171" w:rsidRPr="004953A5" w:rsidRDefault="00633872" w:rsidP="00736E2B">
            <w:pPr>
              <w:rPr>
                <w:sz w:val="14"/>
                <w:szCs w:val="14"/>
              </w:rPr>
            </w:pPr>
            <w:r>
              <w:t>Top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1.0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2.9</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Botttom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3.9</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3.1</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Middle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3.4</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Middle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24.3</w:t>
            </w:r>
          </w:p>
        </w:tc>
        <w:tc>
          <w:tcPr>
            <w:tcW w:w="1212" w:type="pct"/>
          </w:tcPr>
          <w:p w14:paraId="16DE7E66" w14:textId="09F7A4B7" w:rsidR="006C03C7" w:rsidRPr="00B937E4" w:rsidRDefault="00B937E4" w:rsidP="00736E2B">
            <w:pPr>
              <w:rPr>
                <w:rFonts w:ascii="Calibri" w:hAnsi="Calibri" w:cs="Calibri"/>
                <w:color w:val="000000"/>
                <w:sz w:val="14"/>
                <w:szCs w:val="14"/>
              </w:rPr>
            </w:pPr>
            <w:r>
              <w:t>Middle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21.1</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33.8</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59.1</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98.2</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68.4</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98.2</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59.6</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4.8</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66.7</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91.7</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8.3</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33.3</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83.3</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58.3</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Yes</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89.5</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57.8</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Yes</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16.0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31.3</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2.9</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51.6</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Yes</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93.3</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Yes</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3.2</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56.1</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4.0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100.0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Yes</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Good presentation and provided some good evidence around what is happening in Rowing. They are on top of things and building relationships with local clubs and schools. Identified KPI's and showed testing data over a period of time that showed improvements. Data is informing technical decisions. Gaps in coaching have been identified and mentorship is being deployed to support coaches. EE funds used to fill the gap of Canada Games and Rowing will be back in the CG in 2029.</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Rowing BC outlined the performance metrics they are tracking well, as well as how they are supporting coaches. It's great that there is more of an initiative to travel to individual clubs to work 1:1 with the coaches and I like that a coach education session was provided! An area to address could be how the performance testing is going to impact an athletes YTP as well as specific breakdown in funding allocation to these initiatives.</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Strong presentation and quality evidence of provincial programming.  Good to see the evolution of BC Rowing with Terry in Technical leadership position.  Clear that he is able to build trust with local coaches.  Recommend continuing relationship with CSI Pacific on LOU and leveraging other performance services.  CSI Pacific could assist in creating report cards based on current data which would help drive discussion with coaches and value add for those athletes attending Rowing BC project.  Also recommend to update targeted coach list to include coaches having an impact on provincial programming and ensure NCCP locker is up to date.</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Terry had a stronger presentation this year that last in areas of fitness testing and use of EE funds for project based and csi opportunities. There is a lot of general erg testing but no clear, by athlete, intervention mapping that demonstrates why they are seeing change in erg testing to the positive. Highly dependent on the prep school model to talent. Despite the strong link for talent, there is a lack of visibility in to the DTE or ability to connect athlete training to provincial programing. So good one on one coaching work and nice to see some progress on the advancing coaches in the prep environment to the Comp Dev standard. Demonstrated ability to link athlete to strong schools in the US and still see them return. It would be great to see if they can get more contact in the college DTE.</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