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Rugby</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$500.00</w:t>
            </w:r>
          </w:p>
        </w:tc>
        <w:tc>
          <w:tcPr>
            <w:tcW w:w="1870" w:type="dxa"/>
          </w:tcPr>
          <w:p w14:paraId="7D1343F8" w14:textId="08CA18D9" w:rsidR="00C93EE6" w:rsidRPr="005D4C78" w:rsidRDefault="00C93EE6" w:rsidP="00C93EE6">
            <w:pPr>
              <w:rPr>
                <w:sz w:val="14"/>
                <w:szCs w:val="14"/>
              </w:rPr>
            </w:pPr>
            <w:r>
              <w:t>$500.00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$1,000.00</w:t>
            </w:r>
          </w:p>
        </w:tc>
        <w:tc>
          <w:tcPr>
            <w:tcW w:w="1870" w:type="dxa"/>
          </w:tcPr>
          <w:p w14:paraId="206C3647" w14:textId="15D17129" w:rsidR="00C93EE6" w:rsidRPr="005D4C78" w:rsidRDefault="005D4C78" w:rsidP="00C93EE6">
            <w:pPr>
              <w:rPr>
                <w:sz w:val="14"/>
                <w:szCs w:val="14"/>
              </w:rPr>
            </w:pPr>
            <w:r>
              <w:t>$1,000.00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$4,800.00</w:t>
            </w:r>
          </w:p>
        </w:tc>
        <w:tc>
          <w:tcPr>
            <w:tcW w:w="1870" w:type="dxa"/>
          </w:tcPr>
          <w:p w14:paraId="253E7478" w14:textId="6A8426DC" w:rsidR="00C93EE6" w:rsidRPr="005D4C78" w:rsidRDefault="005D4C78" w:rsidP="00C93EE6">
            <w:pPr>
              <w:rPr>
                <w:sz w:val="14"/>
                <w:szCs w:val="14"/>
              </w:rPr>
            </w:pPr>
            <w:r>
              <w:t>$12,000.00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$200.00</w:t>
            </w:r>
          </w:p>
        </w:tc>
        <w:tc>
          <w:tcPr>
            <w:tcW w:w="1870" w:type="dxa"/>
          </w:tcPr>
          <w:p w14:paraId="26ABA39A" w14:textId="502B10DF" w:rsidR="00C93EE6" w:rsidRPr="005D4C78" w:rsidRDefault="005D4C78" w:rsidP="00C93EE6">
            <w:pPr>
              <w:rPr>
                <w:sz w:val="14"/>
                <w:szCs w:val="14"/>
              </w:rPr>
            </w:pPr>
            <w:r>
              <w:t>$200.00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$1,000.00</w:t>
            </w:r>
          </w:p>
        </w:tc>
        <w:tc>
          <w:tcPr>
            <w:tcW w:w="1870" w:type="dxa"/>
          </w:tcPr>
          <w:p w14:paraId="307D6533" w14:textId="50E0B369" w:rsidR="00C93EE6" w:rsidRPr="005D4C78" w:rsidRDefault="005D4C78" w:rsidP="00C93EE6">
            <w:pPr>
              <w:rPr>
                <w:sz w:val="14"/>
                <w:szCs w:val="14"/>
              </w:rPr>
            </w:pPr>
            <w:r>
              <w:t>$2,000.00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$7,500.00</w:t>
            </w:r>
          </w:p>
        </w:tc>
        <w:tc>
          <w:tcPr>
            <w:tcW w:w="1870" w:type="dxa"/>
          </w:tcPr>
          <w:p w14:paraId="3D7A04F8" w14:textId="574FACDE" w:rsidR="00C93EE6" w:rsidRPr="005D4C78" w:rsidRDefault="005D4C78" w:rsidP="00C93EE6">
            <w:pPr>
              <w:rPr>
                <w:sz w:val="14"/>
                <w:szCs w:val="14"/>
              </w:rPr>
            </w:pPr>
            <w:r>
              <w:t>$15,700.00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0.0</w:t>
            </w:r>
          </w:p>
        </w:tc>
        <w:tc>
          <w:tcPr>
            <w:tcW w:w="1212" w:type="pct"/>
          </w:tcPr>
          <w:p w14:paraId="4399878A" w14:textId="13F56985" w:rsidR="000E2171" w:rsidRPr="004953A5" w:rsidRDefault="00633872" w:rsidP="00736E2B">
            <w:pPr>
              <w:rPr>
                <w:sz w:val="14"/>
                <w:szCs w:val="14"/>
              </w:rPr>
            </w:pPr>
            <w:r>
              <w:t>Botttom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1.0</w:t>
            </w:r>
          </w:p>
        </w:tc>
        <w:tc>
          <w:tcPr>
            <w:tcW w:w="1212" w:type="pct"/>
          </w:tcPr>
          <w:p w14:paraId="789D9094" w14:textId="23D18E6E" w:rsidR="000E2171" w:rsidRPr="004953A5" w:rsidRDefault="00633872" w:rsidP="00736E2B">
            <w:pPr>
              <w:rPr>
                <w:sz w:val="14"/>
                <w:szCs w:val="14"/>
              </w:rPr>
            </w:pPr>
            <w:r>
              <w:t>Botttom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4.0</w:t>
            </w:r>
          </w:p>
        </w:tc>
        <w:tc>
          <w:tcPr>
            <w:tcW w:w="1212" w:type="pct"/>
          </w:tcPr>
          <w:p w14:paraId="13D251A4" w14:textId="4C88A0EC" w:rsidR="000E2171" w:rsidRPr="004953A5" w:rsidRDefault="00633872" w:rsidP="00736E2B">
            <w:pPr>
              <w:rPr>
                <w:sz w:val="14"/>
                <w:szCs w:val="14"/>
              </w:rPr>
            </w:pPr>
            <w:r>
              <w:t>Top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2.0</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Botttom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2.8</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2.5</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Botttom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1.3</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Botttom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13.7</w:t>
            </w:r>
          </w:p>
        </w:tc>
        <w:tc>
          <w:tcPr>
            <w:tcW w:w="1212" w:type="pct"/>
          </w:tcPr>
          <w:p w14:paraId="16DE7E66" w14:textId="09F7A4B7" w:rsidR="006C03C7" w:rsidRPr="00B937E4" w:rsidRDefault="00B937E4" w:rsidP="00736E2B">
            <w:pPr>
              <w:rPr>
                <w:rFonts w:ascii="Calibri" w:hAnsi="Calibri" w:cs="Calibri"/>
                <w:color w:val="000000"/>
                <w:sz w:val="14"/>
                <w:szCs w:val="14"/>
              </w:rPr>
            </w:pPr>
            <w:r>
              <w:t>Botttom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25.5</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0.0</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0.0</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78.2</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70.9</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54.5</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65.5</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18.2</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1.6</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Yes</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48.6</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25.7</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0.0</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25.7</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20.0</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25.7</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27.3</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62.5</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Yes</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27.0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Yes</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29.0</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3.1</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41.6</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Yes</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37.5</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Yes</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5.5</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54.5</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0.0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74.5</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About 80% of the presentation was geared toward performance participation and largely focused on Age grade competitions.  That said, BC Rugby influencing competition structure at senior level to help support national team identification.  Women's pathway is well identified with legitimate USPORT opportunities for best players and BC Rugby supporting some programming at this level.  Men's pathway is hard to articulate beyond U18/19.  No indication on how EE funds are being used to enhance programming.  Possibly 3 enhancements could be identified, 1. International Sevens tournament in December, 2. Testing implementation, but need for better off-field programming and data tracking, 3. Need to target and identify coaches for Comp-Dev training (i.e. if RC cannot deliver this, then pay for coaches to go to NZ to do it).  It would be good to articulate a team sport strategy that directs EE funding as this may help PSO to influence Local level and inform better programming.  (i.e. High Quality Competition, Sport Science embedded programming, targeted coach development).</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Good presentation, lots of information on athletes and presented the schedules and possible progression opportunities over the next 2 years. Presented thorough information on coaching development program and how they are addressing the challenges of certification through World Rugby.</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limited visibility on use of funds, Dave identified areas of EE fund priority more than John did. Coaching gaps at the tactical level meet desired level, but technical and testing skills are lacking. No current solve for this, but there is a change to introduce a Comp Int Advance that may be an opportunity to strengthen given the restriction on Comp Dev access. PSO athlete monitoring has improved and more evidence of technical and fitness tools used to measure. Limited buy in or alignment with Club or NSO. Targeted international tour. Starting to see IST in the U17. Not clear around targeted outcomes and pathway has limited ability to target talent or 7s v 15s target. There is not a lot of opportunity for PSO visibility given the seasonal plan. There are clear opportunities to better regulate athlete load but not a clear strategy to engage in change management or get school and club sport to buy in.</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