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Swimming</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$163.00</w:t>
            </w:r>
          </w:p>
        </w:tc>
        <w:tc>
          <w:tcPr>
            <w:tcW w:w="1870" w:type="dxa"/>
          </w:tcPr>
          <w:p w14:paraId="7D1343F8" w14:textId="08CA18D9" w:rsidR="00C93EE6" w:rsidRPr="005D4C78" w:rsidRDefault="00C93EE6" w:rsidP="00C93EE6">
            <w:pPr>
              <w:rPr>
                <w:sz w:val="14"/>
                <w:szCs w:val="14"/>
              </w:rPr>
            </w:pPr>
            <w:r>
              <w:t>$163.00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$2,500.00</w:t>
            </w:r>
          </w:p>
        </w:tc>
        <w:tc>
          <w:tcPr>
            <w:tcW w:w="1870" w:type="dxa"/>
          </w:tcPr>
          <w:p w14:paraId="206C3647" w14:textId="15D17129" w:rsidR="00C93EE6" w:rsidRPr="005D4C78" w:rsidRDefault="005D4C78" w:rsidP="00C93EE6">
            <w:pPr>
              <w:rPr>
                <w:sz w:val="14"/>
                <w:szCs w:val="14"/>
              </w:rPr>
            </w:pPr>
            <w:r>
              <w:t>$3,000.00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$5,000.00</w:t>
            </w:r>
          </w:p>
        </w:tc>
        <w:tc>
          <w:tcPr>
            <w:tcW w:w="1870" w:type="dxa"/>
          </w:tcPr>
          <w:p w14:paraId="253E7478" w14:textId="6A8426DC" w:rsidR="00C93EE6" w:rsidRPr="005D4C78" w:rsidRDefault="005D4C78" w:rsidP="00C93EE6">
            <w:pPr>
              <w:rPr>
                <w:sz w:val="14"/>
                <w:szCs w:val="14"/>
              </w:rPr>
            </w:pPr>
            <w:r>
              <w:t>$6,300.00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$400.00</w:t>
            </w:r>
          </w:p>
        </w:tc>
        <w:tc>
          <w:tcPr>
            <w:tcW w:w="1870" w:type="dxa"/>
          </w:tcPr>
          <w:p w14:paraId="26ABA39A" w14:textId="502B10DF" w:rsidR="00C93EE6" w:rsidRPr="005D4C78" w:rsidRDefault="005D4C78" w:rsidP="00C93EE6">
            <w:pPr>
              <w:rPr>
                <w:sz w:val="14"/>
                <w:szCs w:val="14"/>
              </w:rPr>
            </w:pPr>
            <w:r>
              <w:t>$250.00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w:t>
            </w:r>
          </w:p>
        </w:tc>
        <w:tc>
          <w:tcPr>
            <w:tcW w:w="1870" w:type="dxa"/>
          </w:tcPr>
          <w:p w14:paraId="307D6533" w14:textId="50E0B369" w:rsidR="00C93EE6" w:rsidRPr="005D4C78" w:rsidRDefault="005D4C78" w:rsidP="00C93EE6">
            <w:pPr>
              <w:rPr>
                <w:sz w:val="14"/>
                <w:szCs w:val="14"/>
              </w:rPr>
            </w:pPr>
            <w:r>
              <w:t>$-</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$8,063.00</w:t>
            </w:r>
          </w:p>
        </w:tc>
        <w:tc>
          <w:tcPr>
            <w:tcW w:w="1870" w:type="dxa"/>
          </w:tcPr>
          <w:p w14:paraId="3D7A04F8" w14:textId="574FACDE" w:rsidR="00C93EE6" w:rsidRPr="005D4C78" w:rsidRDefault="005D4C78" w:rsidP="00C93EE6">
            <w:pPr>
              <w:rPr>
                <w:sz w:val="14"/>
                <w:szCs w:val="14"/>
              </w:rPr>
            </w:pPr>
            <w:r>
              <w:t>$9,713.00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5.0</w:t>
            </w:r>
          </w:p>
        </w:tc>
        <w:tc>
          <w:tcPr>
            <w:tcW w:w="1212" w:type="pct"/>
          </w:tcPr>
          <w:p w14:paraId="4399878A" w14:textId="13F56985" w:rsidR="000E2171" w:rsidRPr="004953A5" w:rsidRDefault="00633872" w:rsidP="00736E2B">
            <w:pPr>
              <w:rPr>
                <w:sz w:val="14"/>
                <w:szCs w:val="14"/>
              </w:rPr>
            </w:pPr>
            <w:r>
              <w:t>Top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0.0</w:t>
            </w:r>
          </w:p>
        </w:tc>
        <w:tc>
          <w:tcPr>
            <w:tcW w:w="1212" w:type="pct"/>
          </w:tcPr>
          <w:p w14:paraId="789D9094" w14:textId="23D18E6E" w:rsidR="000E2171" w:rsidRPr="004953A5" w:rsidRDefault="00633872" w:rsidP="00736E2B">
            <w:pPr>
              <w:rPr>
                <w:sz w:val="14"/>
                <w:szCs w:val="14"/>
              </w:rPr>
            </w:pPr>
            <w:r>
              <w:t>Botttom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0.0</w:t>
            </w:r>
          </w:p>
        </w:tc>
        <w:tc>
          <w:tcPr>
            <w:tcW w:w="1212" w:type="pct"/>
          </w:tcPr>
          <w:p w14:paraId="13D251A4" w14:textId="4C88A0EC" w:rsidR="000E2171" w:rsidRPr="004953A5" w:rsidRDefault="00633872" w:rsidP="00736E2B">
            <w:pPr>
              <w:rPr>
                <w:sz w:val="14"/>
                <w:szCs w:val="14"/>
              </w:rPr>
            </w:pPr>
            <w:r>
              <w:t>Botttom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3.0</w:t>
            </w:r>
          </w:p>
        </w:tc>
        <w:tc>
          <w:tcPr>
            <w:tcW w:w="1212" w:type="pct"/>
            <w:shd w:val="clear" w:color="auto" w:fill="FFFFFF" w:themeFill="background1"/>
          </w:tcPr>
          <w:p w14:paraId="3B6B1872" w14:textId="15A22211" w:rsidR="000E2171" w:rsidRPr="004953A5" w:rsidRDefault="00633872" w:rsidP="00736E2B">
            <w:pPr>
              <w:rPr>
                <w:sz w:val="14"/>
                <w:szCs w:val="14"/>
              </w:rPr>
            </w:pPr>
            <w:r>
              <w:t>Top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3.3</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Middle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3.3</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3.5</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Middle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4.3</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Top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22.3</w:t>
            </w:r>
          </w:p>
        </w:tc>
        <w:tc>
          <w:tcPr>
            <w:tcW w:w="1212" w:type="pct"/>
          </w:tcPr>
          <w:p w14:paraId="16DE7E66" w14:textId="09F7A4B7" w:rsidR="006C03C7" w:rsidRPr="00B937E4" w:rsidRDefault="00B937E4" w:rsidP="00736E2B">
            <w:pPr>
              <w:rPr>
                <w:rFonts w:ascii="Calibri" w:hAnsi="Calibri" w:cs="Calibri"/>
                <w:color w:val="000000"/>
                <w:sz w:val="14"/>
                <w:szCs w:val="14"/>
              </w:rPr>
            </w:pPr>
            <w:r>
              <w:t>Middle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25.5</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No</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286.0</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Yes</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34.9</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Yes</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100.0</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Yes</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25.5</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No</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100.0</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Yes</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100.0</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Yes</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12.3</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No</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4.4</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No</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58.3</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No</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62.5</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No</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12.5</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No</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50.0</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37.5</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No</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25.0</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30.2</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No</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14.8</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6.0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No</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33.3</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No</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2.7</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No</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21.0</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22.9</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21.2</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100.0</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Yes</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100.0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Yes</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100.0</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Yes</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Good evidence of well monitored athletes with improvements to monitoring and testing in Camp settings. Well managed engagement with clubs to get a variety of testing data. Some are more science based and others more test set exclusive. Gaps for each swimmer were clear as was coach interventions but there is limited ability for the PSO to lean in to ensure outcomes are being seen. Great coach engagement and clearly gap to intervention strategy. Para development steps are excellent. Clear budget strategy and enhancements. Race Tech evidence is great, would love to see the uptake rate over time. Opportunity to engage CSI in camp to get some level set across the athlete population.</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Good presentation and shared some relevant information. Registration numbers across the province are outpacing population share. Identified that clubs are not accountable to Swim BC so they are trying to build relationships with clubs by providing resources. Good work being done in the coach ed space in particular in the area of PD through the Swim BC Congress.</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Swimming BC provided a great outline of their in-water performance tracking metrics, as well as the breakdown in funding allocation. Some areas of improvement could be around offering performance testing during camp settings which would allow for some standardized results. Also, this could be paired with the application of biomechanics, strength and conditioning, to see how it impacts metrics collected from their software.</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t>Very strong presentation that covered all of the areas required.  Excellent process of going out to selected coaches to get an update on targeted athletes.  Interesting whether that type of debrief is could be formalized.  Good tool (data) to inform athlete performance data and tracking, however, KPI testing at the club level is quite varied (Can it be standardized and for what purpose?).  Curious whether project based funding approach would have a bigger impact particularly with this type of sport which lacks a provincial program, but supports club based development pathways.  Some good opportunity to engage CSI Pacific for Sport science whether on individual athlete level (Nutrition or MPC) versus group based access (Physiology or S&amp;C).</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