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Volleyball</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$8,200.00</w:t>
            </w:r>
          </w:p>
        </w:tc>
        <w:tc>
          <w:tcPr>
            <w:tcW w:w="1870" w:type="dxa"/>
          </w:tcPr>
          <w:p w14:paraId="7D1343F8" w14:textId="08CA18D9" w:rsidR="00C93EE6" w:rsidRPr="005D4C78" w:rsidRDefault="00C93EE6" w:rsidP="00C93EE6">
            <w:pPr>
              <w:rPr>
                <w:sz w:val="14"/>
                <w:szCs w:val="14"/>
              </w:rPr>
            </w:pPr>
            <w:r>
              <w:t>$8,000.00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w:t>
            </w:r>
          </w:p>
        </w:tc>
        <w:tc>
          <w:tcPr>
            <w:tcW w:w="1870" w:type="dxa"/>
          </w:tcPr>
          <w:p w14:paraId="206C3647" w14:textId="15D17129" w:rsidR="00C93EE6" w:rsidRPr="005D4C78" w:rsidRDefault="005D4C78" w:rsidP="00C93EE6">
            <w:pPr>
              <w:rPr>
                <w:sz w:val="14"/>
                <w:szCs w:val="14"/>
              </w:rPr>
            </w:pPr>
            <w:r>
              <w:t>$-</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$5,050.00</w:t>
            </w:r>
          </w:p>
        </w:tc>
        <w:tc>
          <w:tcPr>
            <w:tcW w:w="1870" w:type="dxa"/>
          </w:tcPr>
          <w:p w14:paraId="253E7478" w14:textId="6A8426DC" w:rsidR="00C93EE6" w:rsidRPr="005D4C78" w:rsidRDefault="005D4C78" w:rsidP="00C93EE6">
            <w:pPr>
              <w:rPr>
                <w:sz w:val="14"/>
                <w:szCs w:val="14"/>
              </w:rPr>
            </w:pPr>
            <w:r>
              <w:t>$5,700.00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$9,700.00</w:t>
            </w:r>
          </w:p>
        </w:tc>
        <w:tc>
          <w:tcPr>
            <w:tcW w:w="1870" w:type="dxa"/>
          </w:tcPr>
          <w:p w14:paraId="26ABA39A" w14:textId="502B10DF" w:rsidR="00C93EE6" w:rsidRPr="005D4C78" w:rsidRDefault="005D4C78" w:rsidP="00C93EE6">
            <w:pPr>
              <w:rPr>
                <w:sz w:val="14"/>
                <w:szCs w:val="14"/>
              </w:rPr>
            </w:pPr>
            <w:r>
              <w:t>$8,500.00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$3,800.00</w:t>
            </w:r>
          </w:p>
        </w:tc>
        <w:tc>
          <w:tcPr>
            <w:tcW w:w="1870" w:type="dxa"/>
          </w:tcPr>
          <w:p w14:paraId="307D6533" w14:textId="50E0B369" w:rsidR="00C93EE6" w:rsidRPr="005D4C78" w:rsidRDefault="005D4C78" w:rsidP="00C93EE6">
            <w:pPr>
              <w:rPr>
                <w:sz w:val="14"/>
                <w:szCs w:val="14"/>
              </w:rPr>
            </w:pPr>
            <w:r>
              <w:t>$3,700.00</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$26,750.00</w:t>
            </w:r>
          </w:p>
        </w:tc>
        <w:tc>
          <w:tcPr>
            <w:tcW w:w="1870" w:type="dxa"/>
          </w:tcPr>
          <w:p w14:paraId="3D7A04F8" w14:textId="574FACDE" w:rsidR="00C93EE6" w:rsidRPr="005D4C78" w:rsidRDefault="005D4C78" w:rsidP="00C93EE6">
            <w:pPr>
              <w:rPr>
                <w:sz w:val="14"/>
                <w:szCs w:val="14"/>
              </w:rPr>
            </w:pPr>
            <w:r>
              <w:t>$25,900.00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2.0</w:t>
            </w:r>
          </w:p>
        </w:tc>
        <w:tc>
          <w:tcPr>
            <w:tcW w:w="1212" w:type="pct"/>
          </w:tcPr>
          <w:p w14:paraId="4399878A" w14:textId="13F56985" w:rsidR="000E2171" w:rsidRPr="004953A5" w:rsidRDefault="00633872" w:rsidP="00736E2B">
            <w:pPr>
              <w:rPr>
                <w:sz w:val="14"/>
                <w:szCs w:val="14"/>
              </w:rPr>
            </w:pPr>
            <w:r>
              <w:t>Middle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2.0</w:t>
            </w:r>
          </w:p>
        </w:tc>
        <w:tc>
          <w:tcPr>
            <w:tcW w:w="1212" w:type="pct"/>
          </w:tcPr>
          <w:p w14:paraId="789D9094" w14:textId="23D18E6E" w:rsidR="000E2171" w:rsidRPr="004953A5" w:rsidRDefault="00633872" w:rsidP="00736E2B">
            <w:pPr>
              <w:rPr>
                <w:sz w:val="14"/>
                <w:szCs w:val="14"/>
              </w:rPr>
            </w:pPr>
            <w:r>
              <w:t>Middle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1.0</w:t>
            </w:r>
          </w:p>
        </w:tc>
        <w:tc>
          <w:tcPr>
            <w:tcW w:w="1212" w:type="pct"/>
          </w:tcPr>
          <w:p w14:paraId="13D251A4" w14:textId="4C88A0EC" w:rsidR="000E2171" w:rsidRPr="004953A5" w:rsidRDefault="00633872" w:rsidP="00736E2B">
            <w:pPr>
              <w:rPr>
                <w:sz w:val="14"/>
                <w:szCs w:val="14"/>
              </w:rPr>
            </w:pPr>
            <w:r>
              <w:t>Botttom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0.0</w:t>
            </w:r>
          </w:p>
        </w:tc>
        <w:tc>
          <w:tcPr>
            <w:tcW w:w="1212" w:type="pct"/>
            <w:shd w:val="clear" w:color="auto" w:fill="FFFFFF" w:themeFill="background1"/>
          </w:tcPr>
          <w:p w14:paraId="3B6B1872" w14:textId="15A22211" w:rsidR="000E2171" w:rsidRPr="004953A5" w:rsidRDefault="00633872" w:rsidP="00736E2B">
            <w:pPr>
              <w:rPr>
                <w:sz w:val="14"/>
                <w:szCs w:val="14"/>
              </w:rPr>
            </w:pPr>
            <w:r>
              <w:t>Middle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2.4</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Botttom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2.3</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2.2</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Botttom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2.0</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Botttom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13.9</w:t>
            </w:r>
          </w:p>
        </w:tc>
        <w:tc>
          <w:tcPr>
            <w:tcW w:w="1212" w:type="pct"/>
          </w:tcPr>
          <w:p w14:paraId="16DE7E66" w14:textId="09F7A4B7" w:rsidR="006C03C7" w:rsidRPr="00B937E4" w:rsidRDefault="00B937E4" w:rsidP="00736E2B">
            <w:pPr>
              <w:rPr>
                <w:rFonts w:ascii="Calibri" w:hAnsi="Calibri" w:cs="Calibri"/>
                <w:color w:val="000000"/>
                <w:sz w:val="14"/>
                <w:szCs w:val="14"/>
              </w:rPr>
            </w:pPr>
            <w:r>
              <w:t>Botttom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53.1</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Yes</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15.9</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No</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11.4</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No</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100.0</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No</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54.3</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No</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0.0</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No</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76.5</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No</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6.2</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No</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4.3</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No</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73.7</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Yes</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89.5</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Yes</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5.3</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No</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57.9</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No</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36.8</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No</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26.3</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No</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43.2</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No</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21.2</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No</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3.0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No</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41.9</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Yes</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2.4</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No</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19.7</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No</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33.3</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No</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81.0</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No</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76.5</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No</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0.0</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No</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0.0</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No</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Adrian was well prepared for the meeting highlighting general athlete KPIs and Fitness testing.  Overall some good evidence of performance participation, with team BC programming providing the basis for targeted athlete support.  Some evidence of deploying S&amp;C programming to team BC athletes but little in the way of monitoring athlete compliance or integrated programming into the club system.  Also some enhancement in mental performance.  Coaching lacks progression toward Comp-Dev standard and it seems difficult to obtain training from Volleyball Canada.  Athlete pathway is not entirely clear with several changes to age grade standards (i.e. CSG age) as well as Volleyball Canada programming which provides enhance programming in the 18U pathway.  USPORT continues to be an opportunity to extend pathway, but limited evidence of how athlete are supported after youth programming.  It would seem that there is a critical number of 18-21 year old athletes who may benefit from  enhanced programming and are not longer under club jurisdiction and likely maturing in College or University programming. A more targeted approach to athlete programming may help to develop athletes who are not receiving high quality programming above 18U, while incentivizing Post Secondary coaches in athlete identification and program enhancement.</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Provided evidence of testing which is carried out through a contractor. Trying to work with clubs to build relationships, however don't have eyes on the athletes outside of Team BC camps. Recent changes in staffing are being worked through. Its clear that the sport structure makes it difficult for BC Volleyball to have their own stand alone programming throughout the year and they are looking at different opportunities to grow their presence.</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This meeting was better than past meetings. It was still not clear that they have good line of site to the athlete and there are long periods with no monitoring or clarity on the consistency of self monitoring/reporting. Increased evidence of short term use of MPC. Testing in camp settings could be improved but is standardized. I do like the skill analysis tool but it needs to permeated deeper in the club system to allow for better monitoring and working with club coaches to support gap analysis and athlete development. It would be interesting to understand athlete conversion to beach form a talent retention and re engaging them in the HP pathway post 6's career. Good injury and self perception monitoring. Video review sessions add value. Could there be additional enhancement beyond the Nationals, potentially for the targeted group of U18 if the CG focuses more on the U17</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rsidRPr="009070EB">
              <w:rPr>
                <w:rFonts w:ascii="Arial" w:hAnsi="Arial" w:cs="Arial"/>
                <w:sz w:val="16"/>
                <w:szCs w:val="16"/>
                <w:lang w:val="fr-FR"/>
              </w:rPr>
              <w:t>Comment 4</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