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80C" w:rsidRPr="00EF35A1" w:rsidRDefault="00E6480C" w:rsidP="00E6480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</w:rPr>
      </w:pPr>
      <w:proofErr w:type="gramStart"/>
      <w:r w:rsidRPr="00EF35A1">
        <w:rPr>
          <w:rFonts w:ascii="微软雅黑" w:eastAsia="微软雅黑" w:hAnsi="微软雅黑"/>
          <w:b/>
        </w:rPr>
        <w:t>多资产</w:t>
      </w:r>
      <w:proofErr w:type="gramEnd"/>
      <w:r w:rsidRPr="00EF35A1">
        <w:rPr>
          <w:rFonts w:ascii="微软雅黑" w:eastAsia="微软雅黑" w:hAnsi="微软雅黑"/>
          <w:b/>
        </w:rPr>
        <w:t>风险平价模型回测</w:t>
      </w:r>
    </w:p>
    <w:p w:rsidR="004A3C1E" w:rsidRDefault="006D3174" w:rsidP="00E6480C">
      <w:pPr>
        <w:ind w:firstLine="420"/>
        <w:rPr>
          <w:rFonts w:hint="eastAsia"/>
        </w:rPr>
      </w:pPr>
      <w:r>
        <w:t>将</w:t>
      </w:r>
      <w:r w:rsidRPr="006D3174">
        <w:rPr>
          <w:rFonts w:hint="eastAsia"/>
        </w:rPr>
        <w:t>上证</w:t>
      </w:r>
      <w:r w:rsidRPr="006D3174">
        <w:rPr>
          <w:rFonts w:hint="eastAsia"/>
        </w:rPr>
        <w:t>50</w:t>
      </w:r>
      <w:r>
        <w:rPr>
          <w:rFonts w:hint="eastAsia"/>
        </w:rPr>
        <w:t>，</w:t>
      </w:r>
      <w:r w:rsidRPr="006D3174">
        <w:rPr>
          <w:rFonts w:hint="eastAsia"/>
        </w:rPr>
        <w:t>中证</w:t>
      </w:r>
      <w:r>
        <w:rPr>
          <w:rFonts w:hint="eastAsia"/>
        </w:rPr>
        <w:t>500</w:t>
      </w:r>
      <w:r>
        <w:rPr>
          <w:rFonts w:hint="eastAsia"/>
        </w:rPr>
        <w:t>，</w:t>
      </w:r>
      <w:r w:rsidRPr="006D3174">
        <w:rPr>
          <w:rFonts w:hint="eastAsia"/>
        </w:rPr>
        <w:t>中债固定利率债券全价</w:t>
      </w:r>
      <w:r>
        <w:rPr>
          <w:rFonts w:hint="eastAsia"/>
        </w:rPr>
        <w:t>，</w:t>
      </w:r>
      <w:r w:rsidRPr="006D3174">
        <w:rPr>
          <w:rFonts w:hint="eastAsia"/>
        </w:rPr>
        <w:t>上清</w:t>
      </w:r>
      <w:proofErr w:type="gramStart"/>
      <w:r w:rsidRPr="006D3174">
        <w:rPr>
          <w:rFonts w:hint="eastAsia"/>
        </w:rPr>
        <w:t>所银行</w:t>
      </w:r>
      <w:proofErr w:type="gramEnd"/>
      <w:r w:rsidRPr="006D3174">
        <w:rPr>
          <w:rFonts w:hint="eastAsia"/>
        </w:rPr>
        <w:t>间信用</w:t>
      </w:r>
      <w:proofErr w:type="gramStart"/>
      <w:r w:rsidRPr="006D3174">
        <w:rPr>
          <w:rFonts w:hint="eastAsia"/>
        </w:rPr>
        <w:t>债综合</w:t>
      </w:r>
      <w:proofErr w:type="gramEnd"/>
      <w:r w:rsidRPr="006D3174">
        <w:rPr>
          <w:rFonts w:hint="eastAsia"/>
        </w:rPr>
        <w:t>指数</w:t>
      </w:r>
      <w:r>
        <w:rPr>
          <w:rFonts w:hint="eastAsia"/>
        </w:rPr>
        <w:t>，</w:t>
      </w:r>
      <w:r w:rsidRPr="006D3174">
        <w:rPr>
          <w:rFonts w:hint="eastAsia"/>
        </w:rPr>
        <w:t>WIND</w:t>
      </w:r>
      <w:r w:rsidRPr="006D3174">
        <w:rPr>
          <w:rFonts w:hint="eastAsia"/>
        </w:rPr>
        <w:t>商品指数</w:t>
      </w:r>
      <w:r>
        <w:rPr>
          <w:rFonts w:hint="eastAsia"/>
        </w:rPr>
        <w:t>，</w:t>
      </w:r>
      <w:r w:rsidRPr="006D3174">
        <w:rPr>
          <w:rFonts w:hint="eastAsia"/>
        </w:rPr>
        <w:t>WIND</w:t>
      </w:r>
      <w:r w:rsidRPr="006D3174">
        <w:rPr>
          <w:rFonts w:hint="eastAsia"/>
        </w:rPr>
        <w:t>黄金指数</w:t>
      </w:r>
      <w:r>
        <w:rPr>
          <w:rFonts w:hint="eastAsia"/>
        </w:rPr>
        <w:t>，</w:t>
      </w:r>
      <w:r w:rsidRPr="006D3174">
        <w:rPr>
          <w:rFonts w:hint="eastAsia"/>
        </w:rPr>
        <w:t>恒生指数</w:t>
      </w:r>
      <w:r w:rsidR="00090BD4">
        <w:rPr>
          <w:rFonts w:hint="eastAsia"/>
        </w:rPr>
        <w:t>一起加入平价模型</w:t>
      </w:r>
      <w:r w:rsidR="001021A8">
        <w:rPr>
          <w:rFonts w:hint="eastAsia"/>
        </w:rPr>
        <w:t>。</w:t>
      </w:r>
      <w:r w:rsidR="004A3C1E">
        <w:rPr>
          <w:rFonts w:hint="eastAsia"/>
        </w:rPr>
        <w:t>回溯时间</w:t>
      </w:r>
      <w:r w:rsidR="004A3C1E">
        <w:rPr>
          <w:rFonts w:hint="eastAsia"/>
        </w:rPr>
        <w:t>2</w:t>
      </w:r>
      <w:r w:rsidR="004A3C1E">
        <w:t>25</w:t>
      </w:r>
      <w:r w:rsidR="004A3C1E">
        <w:t>天</w:t>
      </w:r>
      <w:r w:rsidR="004A3C1E">
        <w:rPr>
          <w:rFonts w:hint="eastAsia"/>
        </w:rPr>
        <w:t>。</w:t>
      </w:r>
      <w:r w:rsidR="002977A7">
        <w:rPr>
          <w:rFonts w:hint="eastAsia"/>
        </w:rPr>
        <w:t>由于在不限制权重下限的情况下，债券（利率债与信用债）的权重过大，所以目前限制各资产权重下限为</w:t>
      </w:r>
      <w:r w:rsidR="002977A7">
        <w:rPr>
          <w:rFonts w:hint="eastAsia"/>
        </w:rPr>
        <w:t>5%</w:t>
      </w:r>
      <w:r w:rsidR="002977A7">
        <w:rPr>
          <w:rFonts w:hint="eastAsia"/>
        </w:rPr>
        <w:t>。</w:t>
      </w:r>
    </w:p>
    <w:p w:rsidR="00090BD4" w:rsidRDefault="00090BD4">
      <w:pPr>
        <w:rPr>
          <w:rFonts w:hint="eastAsia"/>
        </w:rPr>
      </w:pPr>
      <w:r>
        <w:rPr>
          <w:noProof/>
        </w:rPr>
        <w:drawing>
          <wp:inline distT="0" distB="0" distL="0" distR="0" wp14:anchorId="6AE51172" wp14:editId="2630469A">
            <wp:extent cx="2754290" cy="1637968"/>
            <wp:effectExtent l="0" t="0" r="825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1381" cy="16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BD4" w:rsidRDefault="002977A7">
      <w:r>
        <w:rPr>
          <w:noProof/>
        </w:rPr>
        <w:drawing>
          <wp:inline distT="0" distB="0" distL="0" distR="0" wp14:anchorId="31EBFAF0" wp14:editId="005319D2">
            <wp:extent cx="5274310" cy="2865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A7" w:rsidRDefault="002977A7">
      <w:r>
        <w:rPr>
          <w:noProof/>
        </w:rPr>
        <w:lastRenderedPageBreak/>
        <w:drawing>
          <wp:inline distT="0" distB="0" distL="0" distR="0" wp14:anchorId="4DC02C95" wp14:editId="7BAFA1D4">
            <wp:extent cx="5274310" cy="3752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CB" w:rsidRDefault="00295528">
      <w:r>
        <w:rPr>
          <w:noProof/>
        </w:rPr>
        <w:drawing>
          <wp:inline distT="0" distB="0" distL="0" distR="0" wp14:anchorId="7614DBDB" wp14:editId="0035C098">
            <wp:extent cx="5453956" cy="2910177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2745" cy="293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28" w:rsidRDefault="00295528" w:rsidP="00EF6D90">
      <w:pPr>
        <w:ind w:left="210" w:hangingChars="100" w:hanging="21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noProof/>
        </w:rPr>
        <w:drawing>
          <wp:inline distT="0" distB="0" distL="0" distR="0" wp14:anchorId="57FB650B" wp14:editId="6260497C">
            <wp:extent cx="2590768" cy="145508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9926" cy="146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D90" w:rsidRDefault="00EF6D90" w:rsidP="00EF6D90">
      <w:pPr>
        <w:ind w:left="210" w:hangingChars="100" w:hanging="210"/>
        <w:rPr>
          <w:rFonts w:hint="eastAsia"/>
        </w:rPr>
      </w:pPr>
      <w:r>
        <w:t>接下来看更短期的波动率来计算权重</w:t>
      </w:r>
      <w:r>
        <w:rPr>
          <w:rFonts w:hint="eastAsia"/>
        </w:rPr>
        <w:t>。</w:t>
      </w:r>
    </w:p>
    <w:p w:rsidR="00287207" w:rsidRDefault="00EF35A1">
      <w:r>
        <w:rPr>
          <w:rFonts w:hint="eastAsia"/>
        </w:rPr>
        <w:t>回溯时间为</w:t>
      </w:r>
      <w:r w:rsidR="00A93EF6">
        <w:rPr>
          <w:rFonts w:hint="eastAsia"/>
        </w:rPr>
        <w:t>两周</w:t>
      </w:r>
      <w:r w:rsidR="00A93EF6">
        <w:rPr>
          <w:rFonts w:hint="eastAsia"/>
        </w:rPr>
        <w:t>10</w:t>
      </w:r>
      <w:r w:rsidR="00A93EF6">
        <w:rPr>
          <w:rFonts w:hint="eastAsia"/>
        </w:rPr>
        <w:t>个交易日</w:t>
      </w:r>
      <w:r>
        <w:rPr>
          <w:rFonts w:hint="eastAsia"/>
        </w:rPr>
        <w:t>。</w:t>
      </w:r>
    </w:p>
    <w:p w:rsidR="00287207" w:rsidRDefault="00287207">
      <w:r>
        <w:rPr>
          <w:noProof/>
        </w:rPr>
        <w:lastRenderedPageBreak/>
        <w:drawing>
          <wp:inline distT="0" distB="0" distL="0" distR="0" wp14:anchorId="613CE69E" wp14:editId="51059D27">
            <wp:extent cx="2838615" cy="171469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1211" cy="173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207" w:rsidRDefault="00287207">
      <w:pPr>
        <w:rPr>
          <w:rFonts w:hint="eastAsia"/>
        </w:rPr>
      </w:pPr>
      <w:r>
        <w:t>可以看出</w:t>
      </w:r>
      <w:proofErr w:type="gramStart"/>
      <w:r>
        <w:t>年化收益</w:t>
      </w:r>
      <w:proofErr w:type="gramEnd"/>
      <w:r>
        <w:t>和累计收益都高了一些</w:t>
      </w:r>
    </w:p>
    <w:p w:rsidR="002977A7" w:rsidRDefault="00287207">
      <w:r>
        <w:rPr>
          <w:noProof/>
        </w:rPr>
        <w:drawing>
          <wp:inline distT="0" distB="0" distL="0" distR="0" wp14:anchorId="10414496" wp14:editId="0FB37815">
            <wp:extent cx="5274310" cy="29356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207" w:rsidRDefault="00287207">
      <w:pPr>
        <w:rPr>
          <w:rFonts w:hint="eastAsia"/>
        </w:rPr>
      </w:pPr>
      <w:r>
        <w:rPr>
          <w:rFonts w:hint="eastAsia"/>
        </w:rPr>
        <w:t>只看</w:t>
      </w:r>
      <w:r>
        <w:rPr>
          <w:rFonts w:hint="eastAsia"/>
        </w:rPr>
        <w:t>10</w:t>
      </w:r>
      <w:r>
        <w:rPr>
          <w:rFonts w:hint="eastAsia"/>
        </w:rPr>
        <w:t>个交易日可以看出</w:t>
      </w:r>
    </w:p>
    <w:p w:rsidR="00287207" w:rsidRDefault="00287207">
      <w:r>
        <w:rPr>
          <w:noProof/>
        </w:rPr>
        <w:drawing>
          <wp:inline distT="0" distB="0" distL="0" distR="0" wp14:anchorId="53EEFAC0" wp14:editId="2ADA277F">
            <wp:extent cx="5274310" cy="28924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207" w:rsidRDefault="00287207">
      <w:r>
        <w:rPr>
          <w:noProof/>
        </w:rPr>
        <w:lastRenderedPageBreak/>
        <w:drawing>
          <wp:inline distT="0" distB="0" distL="0" distR="0" wp14:anchorId="549FC394" wp14:editId="0231B212">
            <wp:extent cx="2003729" cy="1083562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3765" cy="108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9B" w:rsidRDefault="000E279B">
      <w:pPr>
        <w:rPr>
          <w:rFonts w:hint="eastAsia"/>
        </w:rPr>
      </w:pPr>
      <w:r>
        <w:t>股票和商品权重更高后</w:t>
      </w:r>
      <w:r>
        <w:rPr>
          <w:rFonts w:hint="eastAsia"/>
        </w:rPr>
        <w:t>，</w:t>
      </w:r>
      <w:r>
        <w:t>在上升阶段给组合带来更多收益</w:t>
      </w:r>
      <w:r w:rsidR="005A456E">
        <w:t>或者更多亏损</w:t>
      </w:r>
      <w:r>
        <w:rPr>
          <w:rFonts w:hint="eastAsia"/>
        </w:rPr>
        <w:t>。</w:t>
      </w:r>
    </w:p>
    <w:p w:rsidR="00287207" w:rsidRDefault="00287207">
      <w:r>
        <w:rPr>
          <w:noProof/>
        </w:rPr>
        <w:drawing>
          <wp:inline distT="0" distB="0" distL="0" distR="0" wp14:anchorId="601B8EE3" wp14:editId="01B00637">
            <wp:extent cx="5274310" cy="29483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207" w:rsidRDefault="00287207">
      <w:r>
        <w:rPr>
          <w:noProof/>
        </w:rPr>
        <w:drawing>
          <wp:inline distT="0" distB="0" distL="0" distR="0" wp14:anchorId="4157821B" wp14:editId="00DAE1A5">
            <wp:extent cx="2419350" cy="12858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207" w:rsidRDefault="00FE6A8A">
      <w:r>
        <w:rPr>
          <w:rFonts w:hint="eastAsia"/>
        </w:rPr>
        <w:t>接下来测试不同回溯天数</w:t>
      </w:r>
      <w:proofErr w:type="gramStart"/>
      <w:r>
        <w:rPr>
          <w:rFonts w:hint="eastAsia"/>
        </w:rPr>
        <w:t>对回测</w:t>
      </w:r>
      <w:r w:rsidR="007D2317">
        <w:rPr>
          <w:rFonts w:hint="eastAsia"/>
        </w:rPr>
        <w:t>结果</w:t>
      </w:r>
      <w:proofErr w:type="gramEnd"/>
      <w:r w:rsidR="007D2317">
        <w:rPr>
          <w:rFonts w:hint="eastAsia"/>
        </w:rPr>
        <w:t>的影响</w:t>
      </w:r>
      <w:r w:rsidR="00B0449E">
        <w:rPr>
          <w:rFonts w:hint="eastAsia"/>
        </w:rPr>
        <w:t>。</w:t>
      </w:r>
    </w:p>
    <w:p w:rsidR="00B0449E" w:rsidRDefault="001237B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4D28A2" wp14:editId="6E9B295C">
            <wp:extent cx="1962734" cy="5501058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6250" cy="553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9E" w:rsidRDefault="00B0449E">
      <w:r>
        <w:t>回溯天数</w:t>
      </w:r>
      <w:r>
        <w:t>10</w:t>
      </w:r>
      <w:r>
        <w:t>天时</w:t>
      </w:r>
      <w:r>
        <w:rPr>
          <w:rFonts w:hint="eastAsia"/>
        </w:rPr>
        <w:t>，</w:t>
      </w:r>
      <w:r w:rsidR="008D66C5">
        <w:t>夏普比率</w:t>
      </w:r>
      <w:r w:rsidR="004B34E0">
        <w:t>最高</w:t>
      </w:r>
      <w:r w:rsidR="004B34E0">
        <w:rPr>
          <w:rFonts w:hint="eastAsia"/>
        </w:rPr>
        <w:t>，</w:t>
      </w:r>
      <w:r>
        <w:t>为</w:t>
      </w:r>
      <w:r>
        <w:rPr>
          <w:rFonts w:hint="eastAsia"/>
        </w:rPr>
        <w:t>0.9111</w:t>
      </w:r>
      <w:r w:rsidR="005057E2">
        <w:rPr>
          <w:rFonts w:hint="eastAsia"/>
        </w:rPr>
        <w:t>。</w:t>
      </w:r>
    </w:p>
    <w:p w:rsidR="008D66C5" w:rsidRPr="00EF35A1" w:rsidRDefault="004B34E0" w:rsidP="00043AC4">
      <w:pPr>
        <w:pStyle w:val="a3"/>
        <w:numPr>
          <w:ilvl w:val="0"/>
          <w:numId w:val="1"/>
        </w:numPr>
        <w:ind w:firstLineChars="0"/>
        <w:rPr>
          <w:b/>
        </w:rPr>
      </w:pPr>
      <w:r w:rsidRPr="00EF35A1">
        <w:rPr>
          <w:rFonts w:hint="eastAsia"/>
          <w:b/>
        </w:rPr>
        <w:t>当前策略回溯天数</w:t>
      </w:r>
    </w:p>
    <w:p w:rsidR="00737F66" w:rsidRDefault="00737F66" w:rsidP="00737F66">
      <w:pPr>
        <w:rPr>
          <w:rFonts w:hint="eastAsia"/>
        </w:rPr>
      </w:pPr>
      <w:r>
        <w:rPr>
          <w:rFonts w:hint="eastAsia"/>
        </w:rPr>
        <w:t>当前模型里有沪深</w:t>
      </w:r>
      <w:r>
        <w:rPr>
          <w:rFonts w:hint="eastAsia"/>
        </w:rPr>
        <w:t>300</w:t>
      </w:r>
      <w:r>
        <w:rPr>
          <w:rFonts w:hint="eastAsia"/>
        </w:rPr>
        <w:t>指数、南华商品指数、恒生</w:t>
      </w:r>
      <w:r>
        <w:rPr>
          <w:rFonts w:hint="eastAsia"/>
        </w:rPr>
        <w:t>ETF</w:t>
      </w:r>
      <w:r>
        <w:rPr>
          <w:rFonts w:hint="eastAsia"/>
        </w:rPr>
        <w:t>、国债期货，回测时间</w:t>
      </w:r>
      <w:r w:rsidR="00CA41FA">
        <w:rPr>
          <w:rFonts w:hint="eastAsia"/>
        </w:rPr>
        <w:t>225</w:t>
      </w:r>
      <w:r w:rsidR="00CA41FA">
        <w:rPr>
          <w:rFonts w:hint="eastAsia"/>
        </w:rPr>
        <w:t>天，策略时间为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日至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日。</w:t>
      </w:r>
    </w:p>
    <w:p w:rsidR="00043AC4" w:rsidRDefault="00737F66" w:rsidP="00043AC4">
      <w:r>
        <w:rPr>
          <w:noProof/>
        </w:rPr>
        <w:drawing>
          <wp:inline distT="0" distB="0" distL="0" distR="0" wp14:anchorId="002AE27C" wp14:editId="03FE03DC">
            <wp:extent cx="2708278" cy="1478805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149" cy="149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66" w:rsidRDefault="00737F66" w:rsidP="00043AC4">
      <w:r>
        <w:rPr>
          <w:noProof/>
        </w:rPr>
        <w:lastRenderedPageBreak/>
        <w:drawing>
          <wp:inline distT="0" distB="0" distL="0" distR="0" wp14:anchorId="0621CC29" wp14:editId="49A0872B">
            <wp:extent cx="5274310" cy="281368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66" w:rsidRDefault="00737F66" w:rsidP="00043AC4">
      <w:r>
        <w:rPr>
          <w:noProof/>
        </w:rPr>
        <w:drawing>
          <wp:inline distT="0" distB="0" distL="0" distR="0" wp14:anchorId="5DF30545" wp14:editId="27297B67">
            <wp:extent cx="5274310" cy="294830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66" w:rsidRDefault="00737F66" w:rsidP="00043AC4">
      <w:r>
        <w:rPr>
          <w:noProof/>
        </w:rPr>
        <w:lastRenderedPageBreak/>
        <w:drawing>
          <wp:inline distT="0" distB="0" distL="0" distR="0" wp14:anchorId="231240DF" wp14:editId="33681878">
            <wp:extent cx="5274310" cy="300101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66" w:rsidRDefault="00737F66" w:rsidP="00737F66">
      <w:r>
        <w:rPr>
          <w:rFonts w:hint="eastAsia"/>
        </w:rPr>
        <w:t>接下来测试不同回溯天数</w:t>
      </w:r>
      <w:r>
        <w:rPr>
          <w:rFonts w:hint="eastAsia"/>
        </w:rPr>
        <w:t>下表现有何不同</w:t>
      </w:r>
      <w:r>
        <w:rPr>
          <w:rFonts w:hint="eastAsia"/>
        </w:rPr>
        <w:t>。</w:t>
      </w:r>
    </w:p>
    <w:p w:rsidR="00737F66" w:rsidRDefault="00083003" w:rsidP="00043AC4">
      <w:r>
        <w:rPr>
          <w:noProof/>
        </w:rPr>
        <w:drawing>
          <wp:inline distT="0" distB="0" distL="0" distR="0" wp14:anchorId="67CED855" wp14:editId="7ACCF475">
            <wp:extent cx="1876425" cy="51816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003" w:rsidRDefault="00083003" w:rsidP="00043AC4">
      <w:r>
        <w:lastRenderedPageBreak/>
        <w:t>可以看出模型的夏普比率较为稳定</w:t>
      </w:r>
      <w:r>
        <w:rPr>
          <w:rFonts w:hint="eastAsia"/>
        </w:rPr>
        <w:t>，基本都稳定在</w:t>
      </w:r>
      <w:r>
        <w:rPr>
          <w:rFonts w:hint="eastAsia"/>
        </w:rPr>
        <w:t>1.9</w:t>
      </w:r>
      <w:r>
        <w:rPr>
          <w:rFonts w:hint="eastAsia"/>
        </w:rPr>
        <w:t>至</w:t>
      </w:r>
      <w:r>
        <w:rPr>
          <w:rFonts w:hint="eastAsia"/>
        </w:rPr>
        <w:t>2.0</w:t>
      </w:r>
      <w:r>
        <w:rPr>
          <w:rFonts w:hint="eastAsia"/>
        </w:rPr>
        <w:t>。</w:t>
      </w:r>
    </w:p>
    <w:p w:rsidR="00CA41FA" w:rsidRDefault="00CA41FA" w:rsidP="00043AC4">
      <w:r>
        <w:t>我们重点来看下回溯时间</w:t>
      </w:r>
      <w:r>
        <w:rPr>
          <w:rFonts w:hint="eastAsia"/>
        </w:rPr>
        <w:t>20</w:t>
      </w:r>
      <w:r>
        <w:rPr>
          <w:rFonts w:hint="eastAsia"/>
        </w:rPr>
        <w:t>天与回溯时间</w:t>
      </w:r>
      <w:r>
        <w:rPr>
          <w:rFonts w:hint="eastAsia"/>
        </w:rPr>
        <w:t>225</w:t>
      </w:r>
      <w:r>
        <w:rPr>
          <w:rFonts w:hint="eastAsia"/>
        </w:rPr>
        <w:t>天的权重区别和近期净值表现</w:t>
      </w:r>
    </w:p>
    <w:p w:rsidR="00CA41FA" w:rsidRDefault="00CA41FA" w:rsidP="00043AC4">
      <w:pPr>
        <w:rPr>
          <w:rFonts w:hint="eastAsia"/>
        </w:rPr>
      </w:pPr>
      <w:r>
        <w:rPr>
          <w:rFonts w:hint="eastAsia"/>
        </w:rPr>
        <w:t>225</w:t>
      </w:r>
      <w:r>
        <w:rPr>
          <w:rFonts w:hint="eastAsia"/>
        </w:rPr>
        <w:t>天的权重变化较为平缓。</w:t>
      </w:r>
    </w:p>
    <w:p w:rsidR="00CA41FA" w:rsidRDefault="00CA41FA" w:rsidP="00043AC4">
      <w:r>
        <w:rPr>
          <w:noProof/>
        </w:rPr>
        <w:drawing>
          <wp:inline distT="0" distB="0" distL="0" distR="0" wp14:anchorId="37E07F04" wp14:editId="3A7590E6">
            <wp:extent cx="5274310" cy="2948305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1FA" w:rsidRDefault="00CA41FA" w:rsidP="00043AC4">
      <w:r>
        <w:rPr>
          <w:rFonts w:hint="eastAsia"/>
        </w:rPr>
        <w:t>回溯</w:t>
      </w:r>
      <w:r>
        <w:rPr>
          <w:rFonts w:hint="eastAsia"/>
        </w:rPr>
        <w:t>20</w:t>
      </w:r>
      <w:r>
        <w:rPr>
          <w:rFonts w:hint="eastAsia"/>
        </w:rPr>
        <w:t>天时权重变化更大，近期来看，股票份额与期货份额明显减小。</w:t>
      </w:r>
    </w:p>
    <w:p w:rsidR="00CA41FA" w:rsidRDefault="00CA41FA" w:rsidP="00043AC4">
      <w:r>
        <w:rPr>
          <w:noProof/>
        </w:rPr>
        <w:drawing>
          <wp:inline distT="0" distB="0" distL="0" distR="0" wp14:anchorId="436F9C5C" wp14:editId="63BFF026">
            <wp:extent cx="5274310" cy="307467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1FA" w:rsidRDefault="00B147BD" w:rsidP="00043AC4">
      <w:r>
        <w:t>半年</w:t>
      </w:r>
      <w:r w:rsidR="006C47A0">
        <w:t>净值区别如下</w:t>
      </w:r>
      <w:r w:rsidR="006C47A0">
        <w:rPr>
          <w:rFonts w:hint="eastAsia"/>
        </w:rPr>
        <w:t>：</w:t>
      </w:r>
      <w:bookmarkStart w:id="0" w:name="_GoBack"/>
      <w:bookmarkEnd w:id="0"/>
    </w:p>
    <w:p w:rsidR="006C47A0" w:rsidRDefault="00571ADA" w:rsidP="00043AC4">
      <w:r>
        <w:rPr>
          <w:noProof/>
        </w:rPr>
        <w:lastRenderedPageBreak/>
        <w:drawing>
          <wp:inline distT="0" distB="0" distL="0" distR="0" wp14:anchorId="0858C689" wp14:editId="1BFE2577">
            <wp:extent cx="5274310" cy="318198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ADA" w:rsidRPr="00737F66" w:rsidRDefault="00571ADA" w:rsidP="00EF35A1">
      <w:pPr>
        <w:ind w:firstLine="420"/>
        <w:rPr>
          <w:rFonts w:hint="eastAsia"/>
        </w:rPr>
      </w:pPr>
      <w:r>
        <w:t>半年以来</w:t>
      </w:r>
      <w:r>
        <w:rPr>
          <w:rFonts w:hint="eastAsia"/>
        </w:rPr>
        <w:t>，回溯</w:t>
      </w:r>
      <w:r>
        <w:rPr>
          <w:rFonts w:hint="eastAsia"/>
        </w:rPr>
        <w:t>225</w:t>
      </w:r>
      <w:r>
        <w:rPr>
          <w:rFonts w:hint="eastAsia"/>
        </w:rPr>
        <w:t>天表现更好，差距大多实在</w:t>
      </w:r>
      <w:r>
        <w:rPr>
          <w:rFonts w:hint="eastAsia"/>
        </w:rPr>
        <w:t>8</w:t>
      </w:r>
      <w:r>
        <w:rPr>
          <w:rFonts w:hint="eastAsia"/>
        </w:rPr>
        <w:t>月与</w:t>
      </w:r>
      <w:r>
        <w:rPr>
          <w:rFonts w:hint="eastAsia"/>
        </w:rPr>
        <w:t>10</w:t>
      </w:r>
      <w:r>
        <w:rPr>
          <w:rFonts w:hint="eastAsia"/>
        </w:rPr>
        <w:t>月拉开的。这一段时间大盘上涨，所以股票权重更高的组合获益更多。</w:t>
      </w:r>
    </w:p>
    <w:sectPr w:rsidR="00571ADA" w:rsidRPr="00737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475313"/>
    <w:multiLevelType w:val="hybridMultilevel"/>
    <w:tmpl w:val="1BDA04BE"/>
    <w:lvl w:ilvl="0" w:tplc="353CABD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B7"/>
    <w:rsid w:val="00043AC4"/>
    <w:rsid w:val="00083003"/>
    <w:rsid w:val="00090BD4"/>
    <w:rsid w:val="000E279B"/>
    <w:rsid w:val="001021A8"/>
    <w:rsid w:val="001237B4"/>
    <w:rsid w:val="00287207"/>
    <w:rsid w:val="00295528"/>
    <w:rsid w:val="002977A7"/>
    <w:rsid w:val="00485AB7"/>
    <w:rsid w:val="004A3C1E"/>
    <w:rsid w:val="004B34E0"/>
    <w:rsid w:val="005057E2"/>
    <w:rsid w:val="00571ADA"/>
    <w:rsid w:val="005A456E"/>
    <w:rsid w:val="006712CB"/>
    <w:rsid w:val="006C47A0"/>
    <w:rsid w:val="006D3174"/>
    <w:rsid w:val="00737F66"/>
    <w:rsid w:val="007D2317"/>
    <w:rsid w:val="008D66C5"/>
    <w:rsid w:val="00A024D0"/>
    <w:rsid w:val="00A93EF6"/>
    <w:rsid w:val="00B0449E"/>
    <w:rsid w:val="00B147BD"/>
    <w:rsid w:val="00CA41FA"/>
    <w:rsid w:val="00E6480C"/>
    <w:rsid w:val="00EF35A1"/>
    <w:rsid w:val="00EF6D90"/>
    <w:rsid w:val="00FE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2F80D-5D22-49F2-B741-D4D715F5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8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9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KC002</dc:creator>
  <cp:keywords/>
  <dc:description/>
  <cp:lastModifiedBy>KC002</cp:lastModifiedBy>
  <cp:revision>24</cp:revision>
  <dcterms:created xsi:type="dcterms:W3CDTF">2017-12-05T08:18:00Z</dcterms:created>
  <dcterms:modified xsi:type="dcterms:W3CDTF">2017-12-06T08:09:00Z</dcterms:modified>
</cp:coreProperties>
</file>