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A75" w:rsidRPr="00114A75" w:rsidRDefault="00EE0E9C" w:rsidP="00D21F65">
      <w:pPr>
        <w:ind w:firstLine="420"/>
        <w:jc w:val="center"/>
        <w:rPr>
          <w:rFonts w:ascii="微软雅黑" w:eastAsia="微软雅黑" w:hAnsi="微软雅黑" w:cs="宋体"/>
          <w:color w:val="000000"/>
          <w:kern w:val="0"/>
          <w:sz w:val="28"/>
          <w:szCs w:val="28"/>
          <w:shd w:val="clear" w:color="auto" w:fill="FFFFFF"/>
        </w:rPr>
      </w:pPr>
      <w:r>
        <w:rPr>
          <w:rFonts w:ascii="微软雅黑" w:eastAsia="微软雅黑" w:hAnsi="微软雅黑" w:cs="宋体" w:hint="eastAsia"/>
          <w:color w:val="000000"/>
          <w:kern w:val="0"/>
          <w:sz w:val="28"/>
          <w:szCs w:val="28"/>
          <w:shd w:val="clear" w:color="auto" w:fill="FFFFFF"/>
        </w:rPr>
        <w:t>利用均线间距变化提前预判趋势在风险平价模型的应用</w:t>
      </w:r>
      <w:bookmarkStart w:id="0" w:name="_GoBack"/>
      <w:bookmarkEnd w:id="0"/>
    </w:p>
    <w:p w:rsidR="00114A75" w:rsidRDefault="00114A75" w:rsidP="00DF486A">
      <w:pPr>
        <w:ind w:firstLine="420"/>
      </w:pPr>
    </w:p>
    <w:p w:rsidR="00114A75" w:rsidRDefault="00FC520A" w:rsidP="00114A75">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Pr>
          <w:rFonts w:ascii="微软雅黑" w:eastAsia="微软雅黑" w:hAnsi="微软雅黑" w:cs="宋体" w:hint="eastAsia"/>
          <w:color w:val="000000"/>
          <w:kern w:val="0"/>
          <w:szCs w:val="21"/>
          <w:shd w:val="clear" w:color="auto" w:fill="FFFFFF"/>
        </w:rPr>
        <w:t>简介</w:t>
      </w:r>
    </w:p>
    <w:p w:rsidR="00114A75" w:rsidRPr="00FC520A" w:rsidRDefault="00114A75" w:rsidP="00FC520A">
      <w:pPr>
        <w:pStyle w:val="a5"/>
        <w:widowControl/>
        <w:numPr>
          <w:ilvl w:val="1"/>
          <w:numId w:val="14"/>
        </w:numPr>
        <w:shd w:val="clear" w:color="auto" w:fill="FFFFFF"/>
        <w:spacing w:line="315" w:lineRule="atLeast"/>
        <w:ind w:firstLineChars="0"/>
        <w:rPr>
          <w:rFonts w:ascii="微软雅黑" w:eastAsia="微软雅黑" w:hAnsi="微软雅黑" w:cs="宋体"/>
          <w:color w:val="000000"/>
          <w:kern w:val="0"/>
          <w:szCs w:val="21"/>
        </w:rPr>
      </w:pPr>
      <w:r w:rsidRPr="00FC520A">
        <w:rPr>
          <w:rFonts w:ascii="微软雅黑" w:eastAsia="微软雅黑" w:hAnsi="微软雅黑" w:cs="宋体" w:hint="eastAsia"/>
          <w:color w:val="000000"/>
          <w:kern w:val="0"/>
          <w:szCs w:val="21"/>
          <w:shd w:val="clear" w:color="auto" w:fill="FFFFFF"/>
        </w:rPr>
        <w:t>风险平价</w:t>
      </w:r>
      <w:r w:rsidR="002B6032" w:rsidRPr="00FC520A">
        <w:rPr>
          <w:rFonts w:ascii="微软雅黑" w:eastAsia="微软雅黑" w:hAnsi="微软雅黑" w:cs="宋体" w:hint="eastAsia"/>
          <w:color w:val="000000"/>
          <w:kern w:val="0"/>
          <w:szCs w:val="21"/>
          <w:shd w:val="clear" w:color="auto" w:fill="FFFFFF"/>
        </w:rPr>
        <w:t>模型</w:t>
      </w:r>
      <w:r w:rsidRPr="00FC520A">
        <w:rPr>
          <w:rFonts w:ascii="微软雅黑" w:eastAsia="微软雅黑" w:hAnsi="微软雅黑" w:cs="宋体" w:hint="eastAsia"/>
          <w:color w:val="000000"/>
          <w:kern w:val="0"/>
          <w:szCs w:val="21"/>
        </w:rPr>
        <w:t>简介</w:t>
      </w:r>
    </w:p>
    <w:p w:rsidR="00114A75" w:rsidRPr="00EE05F3" w:rsidRDefault="00114A75" w:rsidP="00114A75">
      <w:pPr>
        <w:ind w:firstLine="420"/>
      </w:pPr>
      <w:r w:rsidRPr="00EE05F3">
        <w:rPr>
          <w:rFonts w:hint="eastAsia"/>
        </w:rPr>
        <w:t>风险平价策略旨在同时考虑组合中单个资产的风险及资产之间协同风险，使各资产的风险贡献相同，以达到优化组合风险的目的。</w:t>
      </w:r>
      <w:r>
        <w:rPr>
          <w:rFonts w:hint="eastAsia"/>
        </w:rPr>
        <w:t>本文将股票、商品、国债、现金按照目标策略来配置资产比例，其中，股票使用沪深</w:t>
      </w:r>
      <w:r>
        <w:rPr>
          <w:rFonts w:hint="eastAsia"/>
        </w:rPr>
        <w:t>300</w:t>
      </w:r>
      <w:r>
        <w:rPr>
          <w:rFonts w:hint="eastAsia"/>
        </w:rPr>
        <w:t>指数，商品使用</w:t>
      </w:r>
      <w:r w:rsidRPr="008059D1">
        <w:rPr>
          <w:rFonts w:hint="eastAsia"/>
        </w:rPr>
        <w:t>南华</w:t>
      </w:r>
      <w:r>
        <w:rPr>
          <w:rFonts w:hint="eastAsia"/>
        </w:rPr>
        <w:t>商品</w:t>
      </w:r>
      <w:r w:rsidRPr="008059D1">
        <w:rPr>
          <w:rFonts w:hint="eastAsia"/>
        </w:rPr>
        <w:t>指数</w:t>
      </w:r>
      <w:r>
        <w:rPr>
          <w:rFonts w:hint="eastAsia"/>
        </w:rPr>
        <w:t>，国债使用</w:t>
      </w:r>
      <w:r>
        <w:rPr>
          <w:rFonts w:hint="eastAsia"/>
        </w:rPr>
        <w:t>10</w:t>
      </w:r>
      <w:r>
        <w:rPr>
          <w:rFonts w:hint="eastAsia"/>
        </w:rPr>
        <w:t>年期国债收益率换算成的国债现券价格，现金使用逆回购收益率计算，代码为</w:t>
      </w:r>
      <w:r>
        <w:rPr>
          <w:rFonts w:hint="eastAsia"/>
        </w:rPr>
        <w:t>204001.SH</w:t>
      </w:r>
      <w:r>
        <w:rPr>
          <w:rFonts w:hint="eastAsia"/>
        </w:rPr>
        <w:t>。</w:t>
      </w:r>
    </w:p>
    <w:p w:rsidR="00114A75" w:rsidRDefault="00114A75" w:rsidP="00114A75">
      <w:pPr>
        <w:ind w:firstLine="420"/>
      </w:pPr>
      <w:r>
        <w:rPr>
          <w:rFonts w:hint="eastAsia"/>
        </w:rPr>
        <w:t>每个月调仓一次，总资本为</w:t>
      </w:r>
      <w:r>
        <w:rPr>
          <w:rFonts w:hint="eastAsia"/>
        </w:rPr>
        <w:t>3</w:t>
      </w:r>
      <w:r>
        <w:rPr>
          <w:rFonts w:hint="eastAsia"/>
        </w:rPr>
        <w:t>亿。数据回溯</w:t>
      </w:r>
      <w:r>
        <w:rPr>
          <w:rFonts w:hint="eastAsia"/>
        </w:rPr>
        <w:t>60</w:t>
      </w:r>
      <w:r>
        <w:rPr>
          <w:rFonts w:hint="eastAsia"/>
        </w:rPr>
        <w:t>个交易日计算资产配置比例。</w:t>
      </w:r>
    </w:p>
    <w:p w:rsidR="002B6032" w:rsidRPr="00FC520A" w:rsidRDefault="00115DED" w:rsidP="00115DED">
      <w:pPr>
        <w:pStyle w:val="a5"/>
        <w:widowControl/>
        <w:numPr>
          <w:ilvl w:val="1"/>
          <w:numId w:val="14"/>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115DED">
        <w:rPr>
          <w:rFonts w:ascii="微软雅黑" w:eastAsia="微软雅黑" w:hAnsi="微软雅黑" w:cs="宋体" w:hint="eastAsia"/>
          <w:color w:val="000000"/>
          <w:kern w:val="0"/>
          <w:szCs w:val="21"/>
          <w:shd w:val="clear" w:color="auto" w:fill="FFFFFF"/>
        </w:rPr>
        <w:t>利用均线间距变化提前预判趋势</w:t>
      </w:r>
    </w:p>
    <w:p w:rsidR="002B6032" w:rsidRDefault="00115DED" w:rsidP="002B6032">
      <w:pPr>
        <w:ind w:firstLine="420"/>
      </w:pPr>
      <w:r>
        <w:t>传统双均线系统中</w:t>
      </w:r>
      <w:r>
        <w:rPr>
          <w:rFonts w:hint="eastAsia"/>
        </w:rPr>
        <w:t>，</w:t>
      </w:r>
      <w:r>
        <w:t>金叉的出现代表市场向上趋势形成</w:t>
      </w:r>
      <w:r>
        <w:rPr>
          <w:rFonts w:hint="eastAsia"/>
        </w:rPr>
        <w:t>，</w:t>
      </w:r>
      <w:r>
        <w:t>死叉的出现代表市场向下趋势形成</w:t>
      </w:r>
      <w:r>
        <w:rPr>
          <w:rFonts w:hint="eastAsia"/>
        </w:rPr>
        <w:t>。</w:t>
      </w:r>
      <w:r>
        <w:t>均线在形成金叉或者死叉前</w:t>
      </w:r>
      <w:r>
        <w:rPr>
          <w:rFonts w:hint="eastAsia"/>
        </w:rPr>
        <w:t>，</w:t>
      </w:r>
      <w:r>
        <w:t>均线间距一定要缓慢收窄的</w:t>
      </w:r>
      <w:r>
        <w:rPr>
          <w:rFonts w:hint="eastAsia"/>
        </w:rPr>
        <w:t>，</w:t>
      </w:r>
      <w:r>
        <w:t>所以我们定义</w:t>
      </w:r>
      <w:r>
        <w:rPr>
          <w:rFonts w:hint="eastAsia"/>
        </w:rPr>
        <w:t>：</w:t>
      </w:r>
    </w:p>
    <w:p w:rsidR="00115DED" w:rsidRDefault="00115DED" w:rsidP="002B6032">
      <w:pPr>
        <w:ind w:firstLine="420"/>
      </w:pPr>
      <w:r>
        <w:t>均线间距</w:t>
      </w:r>
      <w:r>
        <w:rPr>
          <w:rFonts w:hint="eastAsia"/>
        </w:rPr>
        <w:t>=</w:t>
      </w:r>
      <w:r>
        <w:t>快线点位</w:t>
      </w:r>
      <w:r>
        <w:rPr>
          <w:rFonts w:hint="eastAsia"/>
        </w:rPr>
        <w:t>-</w:t>
      </w:r>
      <w:r>
        <w:t>慢线点位</w:t>
      </w:r>
    </w:p>
    <w:p w:rsidR="00115DED" w:rsidRDefault="00115DED" w:rsidP="00115DED">
      <w:pPr>
        <w:pStyle w:val="a5"/>
        <w:numPr>
          <w:ilvl w:val="0"/>
          <w:numId w:val="15"/>
        </w:numPr>
        <w:ind w:firstLineChars="0"/>
      </w:pPr>
      <w:r>
        <w:rPr>
          <w:rFonts w:hint="eastAsia"/>
        </w:rPr>
        <w:t>均线间距为正，均线间距收窄，短期下穿长期，死叉形成，看空。</w:t>
      </w:r>
    </w:p>
    <w:p w:rsidR="00115DED" w:rsidRDefault="00115DED" w:rsidP="00115DED">
      <w:pPr>
        <w:pStyle w:val="a5"/>
        <w:numPr>
          <w:ilvl w:val="0"/>
          <w:numId w:val="15"/>
        </w:numPr>
        <w:ind w:firstLineChars="0"/>
      </w:pPr>
      <w:r>
        <w:t>均线间距为负</w:t>
      </w:r>
      <w:r>
        <w:rPr>
          <w:rFonts w:hint="eastAsia"/>
        </w:rPr>
        <w:t>，</w:t>
      </w:r>
      <w:r>
        <w:t>均线间距扩大</w:t>
      </w:r>
      <w:r>
        <w:rPr>
          <w:rFonts w:hint="eastAsia"/>
        </w:rPr>
        <w:t>，</w:t>
      </w:r>
      <w:r>
        <w:t>看空</w:t>
      </w:r>
      <w:r>
        <w:rPr>
          <w:rFonts w:hint="eastAsia"/>
        </w:rPr>
        <w:t>。</w:t>
      </w:r>
    </w:p>
    <w:p w:rsidR="00115DED" w:rsidRDefault="00115DED" w:rsidP="00115DED">
      <w:pPr>
        <w:pStyle w:val="a5"/>
        <w:numPr>
          <w:ilvl w:val="0"/>
          <w:numId w:val="15"/>
        </w:numPr>
        <w:ind w:firstLineChars="0"/>
      </w:pPr>
      <w:r>
        <w:rPr>
          <w:rFonts w:hint="eastAsia"/>
        </w:rPr>
        <w:t>均线间距为负，均线间距收窄，短期上穿长期，金叉形成，看多。</w:t>
      </w:r>
    </w:p>
    <w:p w:rsidR="00115DED" w:rsidRDefault="00115DED" w:rsidP="00115DED">
      <w:pPr>
        <w:pStyle w:val="a5"/>
        <w:numPr>
          <w:ilvl w:val="0"/>
          <w:numId w:val="15"/>
        </w:numPr>
        <w:ind w:firstLineChars="0"/>
      </w:pPr>
      <w:r>
        <w:rPr>
          <w:rFonts w:hint="eastAsia"/>
        </w:rPr>
        <w:t>均线间距为正，均线间距扩大，看多。</w:t>
      </w:r>
    </w:p>
    <w:p w:rsidR="00115DED" w:rsidRDefault="00115DED" w:rsidP="00115DED">
      <w:pPr>
        <w:ind w:firstLine="420"/>
      </w:pPr>
      <w:r>
        <w:t>因此</w:t>
      </w:r>
      <w:r>
        <w:rPr>
          <w:rFonts w:hint="eastAsia"/>
        </w:rPr>
        <w:t>，</w:t>
      </w:r>
      <w:r>
        <w:t>在金叉或死叉出现之前</w:t>
      </w:r>
      <w:r>
        <w:rPr>
          <w:rFonts w:hint="eastAsia"/>
        </w:rPr>
        <w:t>，</w:t>
      </w:r>
      <w:r>
        <w:t>我们可以通过上述方法预测金叉或者死叉的出现</w:t>
      </w:r>
      <w:r>
        <w:rPr>
          <w:rFonts w:hint="eastAsia"/>
        </w:rPr>
        <w:t>，</w:t>
      </w:r>
      <w:r>
        <w:t>相同于在传统双均线做多或者做空信号出现之前</w:t>
      </w:r>
      <w:r>
        <w:rPr>
          <w:rFonts w:hint="eastAsia"/>
        </w:rPr>
        <w:t>，</w:t>
      </w:r>
      <w:r>
        <w:t>提前预判信号的出现并触发交易</w:t>
      </w:r>
      <w:r>
        <w:rPr>
          <w:rFonts w:hint="eastAsia"/>
        </w:rPr>
        <w:t>，</w:t>
      </w:r>
      <w:r>
        <w:t>降低趋势跟踪系统的延迟</w:t>
      </w:r>
      <w:r>
        <w:rPr>
          <w:rFonts w:hint="eastAsia"/>
        </w:rPr>
        <w:t>。</w:t>
      </w:r>
    </w:p>
    <w:p w:rsidR="00FC520A" w:rsidRPr="00FC520A" w:rsidRDefault="000A394E" w:rsidP="00FC520A">
      <w:pPr>
        <w:pStyle w:val="a5"/>
        <w:widowControl/>
        <w:numPr>
          <w:ilvl w:val="1"/>
          <w:numId w:val="14"/>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115DED">
        <w:rPr>
          <w:rFonts w:ascii="微软雅黑" w:eastAsia="微软雅黑" w:hAnsi="微软雅黑" w:cs="宋体" w:hint="eastAsia"/>
          <w:color w:val="000000"/>
          <w:kern w:val="0"/>
          <w:szCs w:val="21"/>
          <w:shd w:val="clear" w:color="auto" w:fill="FFFFFF"/>
        </w:rPr>
        <w:t>利用均线间距变化提前预判趋势</w:t>
      </w:r>
      <w:r w:rsidR="00FC520A" w:rsidRPr="00FC520A">
        <w:rPr>
          <w:rFonts w:ascii="微软雅黑" w:eastAsia="微软雅黑" w:hAnsi="微软雅黑" w:cs="宋体"/>
          <w:color w:val="000000"/>
          <w:kern w:val="0"/>
          <w:szCs w:val="21"/>
          <w:shd w:val="clear" w:color="auto" w:fill="FFFFFF"/>
        </w:rPr>
        <w:t>在风险平价模型的应用</w:t>
      </w:r>
    </w:p>
    <w:p w:rsidR="00FC520A" w:rsidRPr="009841F8" w:rsidRDefault="00D21F65" w:rsidP="00D21F65">
      <w:pPr>
        <w:ind w:firstLine="420"/>
      </w:pPr>
      <w:r>
        <w:t>本文先让资产按照风险平价模型在约束下计算权重</w:t>
      </w:r>
      <w:r>
        <w:rPr>
          <w:rFonts w:hint="eastAsia"/>
        </w:rPr>
        <w:t>，</w:t>
      </w:r>
      <w:r>
        <w:t>然后利用</w:t>
      </w:r>
      <w:r w:rsidR="000A394E">
        <w:rPr>
          <w:rFonts w:hint="eastAsia"/>
        </w:rPr>
        <w:t>该</w:t>
      </w:r>
      <w:r>
        <w:t>择时系统给出多空信号</w:t>
      </w:r>
      <w:r w:rsidR="00414BEE">
        <w:rPr>
          <w:rFonts w:hint="eastAsia"/>
        </w:rPr>
        <w:t>，根据结果调仓。</w:t>
      </w:r>
    </w:p>
    <w:p w:rsidR="00114A75" w:rsidRDefault="00114A75" w:rsidP="00FC520A">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F87444">
        <w:rPr>
          <w:rFonts w:ascii="微软雅黑" w:eastAsia="微软雅黑" w:hAnsi="微软雅黑" w:cs="宋体" w:hint="eastAsia"/>
          <w:color w:val="000000"/>
          <w:kern w:val="0"/>
          <w:szCs w:val="21"/>
          <w:shd w:val="clear" w:color="auto" w:fill="FFFFFF"/>
        </w:rPr>
        <w:t>策略表现</w:t>
      </w:r>
    </w:p>
    <w:p w:rsidR="005F40E1" w:rsidRDefault="009841F8" w:rsidP="00AF74B2">
      <w:pPr>
        <w:widowControl/>
        <w:shd w:val="clear" w:color="auto" w:fill="FFFFFF"/>
        <w:spacing w:line="315" w:lineRule="atLeast"/>
        <w:ind w:firstLine="420"/>
      </w:pPr>
      <w:r>
        <w:t>经过调试</w:t>
      </w:r>
      <w:r>
        <w:rPr>
          <w:rFonts w:hint="eastAsia"/>
        </w:rPr>
        <w:t>，</w:t>
      </w:r>
      <w:r w:rsidR="005C00EA">
        <w:rPr>
          <w:rFonts w:hint="eastAsia"/>
        </w:rPr>
        <w:t>风险平价模型</w:t>
      </w:r>
      <w:r>
        <w:rPr>
          <w:rFonts w:hint="eastAsia"/>
        </w:rPr>
        <w:t>计算</w:t>
      </w:r>
      <w:r w:rsidR="005C00EA">
        <w:rPr>
          <w:rFonts w:hint="eastAsia"/>
        </w:rPr>
        <w:t>资产权重的窗口长度是</w:t>
      </w:r>
      <w:r w:rsidR="005C00EA">
        <w:rPr>
          <w:rFonts w:hint="eastAsia"/>
        </w:rPr>
        <w:t>60</w:t>
      </w:r>
      <w:r w:rsidR="005C00EA">
        <w:rPr>
          <w:rFonts w:hint="eastAsia"/>
        </w:rPr>
        <w:t>天</w:t>
      </w:r>
      <w:r w:rsidR="005F40E1">
        <w:rPr>
          <w:rFonts w:hint="eastAsia"/>
        </w:rPr>
        <w:t>。</w:t>
      </w:r>
    </w:p>
    <w:p w:rsidR="009841F8" w:rsidRDefault="005C00EA" w:rsidP="00AF74B2">
      <w:pPr>
        <w:widowControl/>
        <w:shd w:val="clear" w:color="auto" w:fill="FFFFFF"/>
        <w:spacing w:line="315" w:lineRule="atLeast"/>
        <w:ind w:firstLine="420"/>
      </w:pPr>
      <w:r w:rsidRPr="005C00EA">
        <w:rPr>
          <w:rFonts w:hint="eastAsia"/>
        </w:rPr>
        <w:t>利用均线间距变化提前预判趋势</w:t>
      </w:r>
      <w:r>
        <w:rPr>
          <w:rFonts w:hint="eastAsia"/>
        </w:rPr>
        <w:t>的窗口长度，即判断多空的窗口长度是</w:t>
      </w:r>
      <w:r>
        <w:rPr>
          <w:rFonts w:hint="eastAsia"/>
        </w:rPr>
        <w:t>3</w:t>
      </w:r>
      <w:r>
        <w:rPr>
          <w:rFonts w:hint="eastAsia"/>
        </w:rPr>
        <w:t>天。</w:t>
      </w:r>
      <w:r w:rsidR="005F40E1">
        <w:rPr>
          <w:rFonts w:hint="eastAsia"/>
        </w:rPr>
        <w:t>其他长度表现没有</w:t>
      </w:r>
      <w:r w:rsidR="005F40E1">
        <w:rPr>
          <w:rFonts w:hint="eastAsia"/>
        </w:rPr>
        <w:t>3</w:t>
      </w:r>
      <w:r w:rsidR="005F40E1">
        <w:rPr>
          <w:rFonts w:hint="eastAsia"/>
        </w:rPr>
        <w:t>天好，或者是窗口长度太长，已经失去了提前于金叉死叉来判断信号的意义。</w:t>
      </w:r>
    </w:p>
    <w:p w:rsidR="00AF74B2" w:rsidRDefault="00AF74B2" w:rsidP="00AF74B2">
      <w:pPr>
        <w:widowControl/>
        <w:shd w:val="clear" w:color="auto" w:fill="FFFFFF"/>
        <w:spacing w:line="315" w:lineRule="atLeast"/>
        <w:ind w:firstLine="420"/>
      </w:pPr>
      <w:r>
        <w:t>我们定义</w:t>
      </w:r>
      <w:r>
        <w:rPr>
          <w:rFonts w:hint="eastAsia"/>
        </w:rPr>
        <w:t>：</w:t>
      </w:r>
      <w:r>
        <w:t>风险资产权重</w:t>
      </w:r>
      <w:r>
        <w:rPr>
          <w:rFonts w:hint="eastAsia"/>
        </w:rPr>
        <w:t xml:space="preserve"> =</w:t>
      </w:r>
      <w:r>
        <w:t xml:space="preserve"> </w:t>
      </w:r>
      <w:r>
        <w:rPr>
          <w:rFonts w:hint="eastAsia"/>
        </w:rPr>
        <w:t>（</w:t>
      </w:r>
      <w:r>
        <w:t>股票权重</w:t>
      </w:r>
      <w:r>
        <w:rPr>
          <w:rFonts w:hint="eastAsia"/>
        </w:rPr>
        <w:t>+</w:t>
      </w:r>
      <w:r>
        <w:rPr>
          <w:rFonts w:hint="eastAsia"/>
        </w:rPr>
        <w:t>商品</w:t>
      </w:r>
      <w:r>
        <w:t>期货权重</w:t>
      </w:r>
      <w:r>
        <w:rPr>
          <w:rFonts w:hint="eastAsia"/>
        </w:rPr>
        <w:t>）</w:t>
      </w:r>
      <w:r>
        <w:rPr>
          <w:rFonts w:hint="eastAsia"/>
        </w:rPr>
        <w:t>/</w:t>
      </w:r>
      <w:r>
        <w:rPr>
          <w:rFonts w:hint="eastAsia"/>
        </w:rPr>
        <w:t>（国债权重</w:t>
      </w:r>
      <w:r>
        <w:rPr>
          <w:rFonts w:hint="eastAsia"/>
        </w:rPr>
        <w:t>+</w:t>
      </w:r>
      <w:r>
        <w:rPr>
          <w:rFonts w:hint="eastAsia"/>
        </w:rPr>
        <w:t>逆回购权重）</w:t>
      </w:r>
    </w:p>
    <w:p w:rsidR="00AA4F96" w:rsidRPr="009841F8" w:rsidRDefault="00AA4F96" w:rsidP="00D21F65">
      <w:pPr>
        <w:widowControl/>
        <w:shd w:val="clear" w:color="auto" w:fill="FFFFFF"/>
        <w:spacing w:line="315" w:lineRule="atLeast"/>
      </w:pPr>
      <w:r>
        <w:tab/>
      </w:r>
      <w:r w:rsidR="002C62A1">
        <w:t>我们</w:t>
      </w:r>
      <w:r>
        <w:t>选择</w:t>
      </w:r>
      <w:r w:rsidR="002C62A1">
        <w:rPr>
          <w:rFonts w:hint="eastAsia"/>
        </w:rPr>
        <w:t>7</w:t>
      </w:r>
      <w:r>
        <w:rPr>
          <w:rFonts w:hint="eastAsia"/>
        </w:rPr>
        <w:t>0%</w:t>
      </w:r>
      <w:r>
        <w:rPr>
          <w:rFonts w:hint="eastAsia"/>
        </w:rPr>
        <w:t>的风险资产权重来分析策略表现。</w:t>
      </w:r>
    </w:p>
    <w:p w:rsidR="00114A75" w:rsidRDefault="00114A75" w:rsidP="00114A75">
      <w:r>
        <w:tab/>
      </w:r>
      <w:r>
        <w:rPr>
          <w:rFonts w:hint="eastAsia"/>
        </w:rPr>
        <w:t>策略</w:t>
      </w:r>
      <w:r w:rsidR="005870C8">
        <w:rPr>
          <w:rFonts w:hint="eastAsia"/>
        </w:rPr>
        <w:t>从</w:t>
      </w:r>
      <w:r w:rsidR="005870C8">
        <w:rPr>
          <w:rFonts w:hint="eastAsia"/>
        </w:rPr>
        <w:t>2013</w:t>
      </w:r>
      <w:r w:rsidR="005870C8">
        <w:rPr>
          <w:rFonts w:hint="eastAsia"/>
        </w:rPr>
        <w:t>年</w:t>
      </w:r>
      <w:r w:rsidR="005870C8">
        <w:rPr>
          <w:rFonts w:hint="eastAsia"/>
        </w:rPr>
        <w:t>2</w:t>
      </w:r>
      <w:r w:rsidR="005870C8">
        <w:rPr>
          <w:rFonts w:hint="eastAsia"/>
        </w:rPr>
        <w:t>月</w:t>
      </w:r>
      <w:r w:rsidR="005870C8">
        <w:rPr>
          <w:rFonts w:hint="eastAsia"/>
        </w:rPr>
        <w:t>4</w:t>
      </w:r>
      <w:r w:rsidR="005870C8">
        <w:rPr>
          <w:rFonts w:hint="eastAsia"/>
        </w:rPr>
        <w:t>日到</w:t>
      </w:r>
      <w:r w:rsidR="005870C8">
        <w:rPr>
          <w:rFonts w:hint="eastAsia"/>
        </w:rPr>
        <w:t>2017</w:t>
      </w:r>
      <w:r w:rsidR="005870C8">
        <w:rPr>
          <w:rFonts w:hint="eastAsia"/>
        </w:rPr>
        <w:t>年</w:t>
      </w:r>
      <w:r w:rsidR="00A87531">
        <w:rPr>
          <w:rFonts w:hint="eastAsia"/>
        </w:rPr>
        <w:t>3</w:t>
      </w:r>
      <w:r w:rsidR="005870C8">
        <w:rPr>
          <w:rFonts w:hint="eastAsia"/>
        </w:rPr>
        <w:t>月</w:t>
      </w:r>
      <w:r w:rsidR="00A87531">
        <w:rPr>
          <w:rFonts w:hint="eastAsia"/>
        </w:rPr>
        <w:t>14</w:t>
      </w:r>
      <w:r w:rsidR="005870C8">
        <w:rPr>
          <w:rFonts w:hint="eastAsia"/>
        </w:rPr>
        <w:t>日</w:t>
      </w:r>
      <w:r>
        <w:rPr>
          <w:rFonts w:hint="eastAsia"/>
        </w:rPr>
        <w:t>表现如下：</w:t>
      </w:r>
    </w:p>
    <w:p w:rsidR="00114A75" w:rsidRDefault="00A87531" w:rsidP="00114A75">
      <w:r>
        <w:rPr>
          <w:noProof/>
        </w:rPr>
        <w:lastRenderedPageBreak/>
        <w:drawing>
          <wp:inline distT="0" distB="0" distL="0" distR="0" wp14:anchorId="412FF3DF" wp14:editId="5BF6673A">
            <wp:extent cx="5274310" cy="28174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17495"/>
                    </a:xfrm>
                    <a:prstGeom prst="rect">
                      <a:avLst/>
                    </a:prstGeom>
                  </pic:spPr>
                </pic:pic>
              </a:graphicData>
            </a:graphic>
          </wp:inline>
        </w:drawing>
      </w:r>
    </w:p>
    <w:p w:rsidR="00114A75" w:rsidRDefault="00114A75" w:rsidP="00114A75">
      <w:r>
        <w:tab/>
      </w:r>
    </w:p>
    <w:p w:rsidR="00114A75" w:rsidRDefault="00114A75" w:rsidP="00114A75">
      <w:pPr>
        <w:ind w:firstLine="420"/>
      </w:pPr>
      <w:r>
        <w:rPr>
          <w:rFonts w:hint="eastAsia"/>
        </w:rPr>
        <w:t>该策略指标如下</w:t>
      </w:r>
      <w:r w:rsidR="00457C4A">
        <w:rPr>
          <w:rFonts w:hint="eastAsia"/>
        </w:rPr>
        <w:t>，右侧为</w:t>
      </w:r>
      <w:r w:rsidR="00457C4A">
        <w:rPr>
          <w:rFonts w:hint="eastAsia"/>
        </w:rPr>
        <w:t>LLT</w:t>
      </w:r>
      <w:r w:rsidR="00457C4A">
        <w:rPr>
          <w:rFonts w:hint="eastAsia"/>
        </w:rPr>
        <w:t>在风险平价模型的表现</w:t>
      </w:r>
      <w:r>
        <w:rPr>
          <w:rFonts w:hint="eastAsia"/>
        </w:rPr>
        <w:t>：</w:t>
      </w:r>
    </w:p>
    <w:tbl>
      <w:tblPr>
        <w:tblStyle w:val="a6"/>
        <w:tblpPr w:leftFromText="180" w:rightFromText="180" w:vertAnchor="text" w:horzAnchor="page" w:tblpX="2340" w:tblpY="100"/>
        <w:tblW w:w="4424" w:type="dxa"/>
        <w:tblLook w:val="04A0" w:firstRow="1" w:lastRow="0" w:firstColumn="1" w:lastColumn="0" w:noHBand="0" w:noVBand="1"/>
      </w:tblPr>
      <w:tblGrid>
        <w:gridCol w:w="1580"/>
        <w:gridCol w:w="1422"/>
        <w:gridCol w:w="1422"/>
      </w:tblGrid>
      <w:tr w:rsidR="00457C4A" w:rsidRPr="00343121" w:rsidTr="00EF42E3">
        <w:trPr>
          <w:trHeight w:val="270"/>
        </w:trPr>
        <w:tc>
          <w:tcPr>
            <w:tcW w:w="1580" w:type="dxa"/>
            <w:noWrap/>
            <w:hideMark/>
          </w:tcPr>
          <w:p w:rsidR="00457C4A" w:rsidRPr="00343121" w:rsidRDefault="00457C4A" w:rsidP="00457C4A">
            <w:r w:rsidRPr="00343121">
              <w:rPr>
                <w:rFonts w:hint="eastAsia"/>
              </w:rPr>
              <w:t>累计盈亏</w:t>
            </w:r>
          </w:p>
        </w:tc>
        <w:tc>
          <w:tcPr>
            <w:tcW w:w="1422" w:type="dxa"/>
            <w:noWrap/>
            <w:vAlign w:val="bottom"/>
            <w:hideMark/>
          </w:tcPr>
          <w:p w:rsidR="00457C4A" w:rsidRDefault="00457C4A" w:rsidP="00457C4A">
            <w:pPr>
              <w:widowControl/>
              <w:jc w:val="right"/>
              <w:rPr>
                <w:color w:val="000000"/>
                <w:sz w:val="22"/>
              </w:rPr>
            </w:pPr>
            <w:r>
              <w:rPr>
                <w:rFonts w:hint="eastAsia"/>
                <w:color w:val="000000"/>
                <w:sz w:val="22"/>
              </w:rPr>
              <w:t xml:space="preserve">45,492,092 </w:t>
            </w:r>
          </w:p>
        </w:tc>
        <w:tc>
          <w:tcPr>
            <w:tcW w:w="1422" w:type="dxa"/>
            <w:vAlign w:val="bottom"/>
          </w:tcPr>
          <w:p w:rsidR="00457C4A" w:rsidRDefault="00457C4A" w:rsidP="00457C4A">
            <w:pPr>
              <w:widowControl/>
              <w:jc w:val="right"/>
              <w:rPr>
                <w:color w:val="000000"/>
                <w:sz w:val="22"/>
              </w:rPr>
            </w:pPr>
            <w:r>
              <w:rPr>
                <w:rFonts w:hint="eastAsia"/>
                <w:color w:val="000000"/>
                <w:sz w:val="22"/>
              </w:rPr>
              <w:t xml:space="preserve">114,909,781 </w:t>
            </w:r>
          </w:p>
        </w:tc>
      </w:tr>
      <w:tr w:rsidR="00457C4A" w:rsidRPr="00343121" w:rsidTr="00EF42E3">
        <w:trPr>
          <w:trHeight w:val="270"/>
        </w:trPr>
        <w:tc>
          <w:tcPr>
            <w:tcW w:w="1580" w:type="dxa"/>
            <w:noWrap/>
            <w:hideMark/>
          </w:tcPr>
          <w:p w:rsidR="00457C4A" w:rsidRPr="00343121" w:rsidRDefault="00457C4A" w:rsidP="00457C4A">
            <w:r w:rsidRPr="00343121">
              <w:rPr>
                <w:rFonts w:hint="eastAsia"/>
              </w:rPr>
              <w:t>收益率</w:t>
            </w:r>
          </w:p>
        </w:tc>
        <w:tc>
          <w:tcPr>
            <w:tcW w:w="1422" w:type="dxa"/>
            <w:noWrap/>
            <w:vAlign w:val="bottom"/>
            <w:hideMark/>
          </w:tcPr>
          <w:p w:rsidR="00457C4A" w:rsidRDefault="00457C4A" w:rsidP="00457C4A">
            <w:pPr>
              <w:jc w:val="right"/>
              <w:rPr>
                <w:color w:val="000000"/>
                <w:sz w:val="22"/>
              </w:rPr>
            </w:pPr>
            <w:r>
              <w:rPr>
                <w:rFonts w:hint="eastAsia"/>
                <w:color w:val="000000"/>
                <w:sz w:val="22"/>
              </w:rPr>
              <w:t>15.16%</w:t>
            </w:r>
          </w:p>
        </w:tc>
        <w:tc>
          <w:tcPr>
            <w:tcW w:w="1422" w:type="dxa"/>
            <w:vAlign w:val="bottom"/>
          </w:tcPr>
          <w:p w:rsidR="00457C4A" w:rsidRDefault="00457C4A" w:rsidP="00457C4A">
            <w:pPr>
              <w:jc w:val="right"/>
              <w:rPr>
                <w:color w:val="000000"/>
                <w:sz w:val="22"/>
              </w:rPr>
            </w:pPr>
            <w:r>
              <w:rPr>
                <w:rFonts w:hint="eastAsia"/>
                <w:color w:val="000000"/>
                <w:sz w:val="22"/>
              </w:rPr>
              <w:t>38.30%</w:t>
            </w:r>
          </w:p>
        </w:tc>
      </w:tr>
      <w:tr w:rsidR="00457C4A" w:rsidRPr="00343121" w:rsidTr="00EF42E3">
        <w:trPr>
          <w:trHeight w:val="270"/>
        </w:trPr>
        <w:tc>
          <w:tcPr>
            <w:tcW w:w="1580" w:type="dxa"/>
            <w:noWrap/>
            <w:hideMark/>
          </w:tcPr>
          <w:p w:rsidR="00457C4A" w:rsidRPr="00343121" w:rsidRDefault="00457C4A" w:rsidP="00457C4A">
            <w:r w:rsidRPr="00343121">
              <w:rPr>
                <w:rFonts w:hint="eastAsia"/>
              </w:rPr>
              <w:t>最大回撤</w:t>
            </w:r>
          </w:p>
        </w:tc>
        <w:tc>
          <w:tcPr>
            <w:tcW w:w="1422" w:type="dxa"/>
            <w:noWrap/>
            <w:vAlign w:val="bottom"/>
            <w:hideMark/>
          </w:tcPr>
          <w:p w:rsidR="00457C4A" w:rsidRDefault="00457C4A" w:rsidP="00457C4A">
            <w:pPr>
              <w:jc w:val="right"/>
              <w:rPr>
                <w:color w:val="000000"/>
                <w:sz w:val="22"/>
              </w:rPr>
            </w:pPr>
            <w:r>
              <w:rPr>
                <w:rFonts w:hint="eastAsia"/>
                <w:color w:val="000000"/>
                <w:sz w:val="22"/>
              </w:rPr>
              <w:t>-9.54%</w:t>
            </w:r>
          </w:p>
        </w:tc>
        <w:tc>
          <w:tcPr>
            <w:tcW w:w="1422" w:type="dxa"/>
            <w:vAlign w:val="bottom"/>
          </w:tcPr>
          <w:p w:rsidR="00457C4A" w:rsidRDefault="00457C4A" w:rsidP="00457C4A">
            <w:pPr>
              <w:jc w:val="right"/>
              <w:rPr>
                <w:color w:val="000000"/>
                <w:sz w:val="22"/>
              </w:rPr>
            </w:pPr>
            <w:r>
              <w:rPr>
                <w:rFonts w:hint="eastAsia"/>
                <w:color w:val="000000"/>
                <w:sz w:val="22"/>
              </w:rPr>
              <w:t>-8.20%</w:t>
            </w:r>
          </w:p>
        </w:tc>
      </w:tr>
      <w:tr w:rsidR="00457C4A" w:rsidRPr="00343121" w:rsidTr="00EF42E3">
        <w:trPr>
          <w:trHeight w:val="270"/>
        </w:trPr>
        <w:tc>
          <w:tcPr>
            <w:tcW w:w="1580" w:type="dxa"/>
            <w:noWrap/>
            <w:hideMark/>
          </w:tcPr>
          <w:p w:rsidR="00457C4A" w:rsidRPr="00343121" w:rsidRDefault="00457C4A" w:rsidP="00457C4A">
            <w:r w:rsidRPr="00343121">
              <w:rPr>
                <w:rFonts w:hint="eastAsia"/>
              </w:rPr>
              <w:t>年化收益率</w:t>
            </w:r>
          </w:p>
        </w:tc>
        <w:tc>
          <w:tcPr>
            <w:tcW w:w="1422" w:type="dxa"/>
            <w:noWrap/>
            <w:vAlign w:val="bottom"/>
            <w:hideMark/>
          </w:tcPr>
          <w:p w:rsidR="00457C4A" w:rsidRDefault="00457C4A" w:rsidP="00457C4A">
            <w:pPr>
              <w:jc w:val="right"/>
              <w:rPr>
                <w:color w:val="000000"/>
                <w:sz w:val="22"/>
              </w:rPr>
            </w:pPr>
            <w:r>
              <w:rPr>
                <w:rFonts w:hint="eastAsia"/>
                <w:color w:val="000000"/>
                <w:sz w:val="22"/>
              </w:rPr>
              <w:t>3.57%</w:t>
            </w:r>
          </w:p>
        </w:tc>
        <w:tc>
          <w:tcPr>
            <w:tcW w:w="1422" w:type="dxa"/>
            <w:vAlign w:val="bottom"/>
          </w:tcPr>
          <w:p w:rsidR="00457C4A" w:rsidRDefault="00457C4A" w:rsidP="00457C4A">
            <w:pPr>
              <w:jc w:val="right"/>
              <w:rPr>
                <w:color w:val="000000"/>
                <w:sz w:val="22"/>
              </w:rPr>
            </w:pPr>
            <w:r>
              <w:rPr>
                <w:rFonts w:hint="eastAsia"/>
                <w:color w:val="000000"/>
                <w:sz w:val="22"/>
              </w:rPr>
              <w:t>8.20%</w:t>
            </w:r>
          </w:p>
        </w:tc>
      </w:tr>
      <w:tr w:rsidR="00457C4A" w:rsidRPr="00343121" w:rsidTr="00EF42E3">
        <w:trPr>
          <w:trHeight w:val="270"/>
        </w:trPr>
        <w:tc>
          <w:tcPr>
            <w:tcW w:w="1580" w:type="dxa"/>
            <w:noWrap/>
            <w:hideMark/>
          </w:tcPr>
          <w:p w:rsidR="00457C4A" w:rsidRPr="00343121" w:rsidRDefault="00457C4A" w:rsidP="00457C4A">
            <w:r w:rsidRPr="00343121">
              <w:rPr>
                <w:rFonts w:hint="eastAsia"/>
              </w:rPr>
              <w:t>年化波动率</w:t>
            </w:r>
          </w:p>
        </w:tc>
        <w:tc>
          <w:tcPr>
            <w:tcW w:w="1422" w:type="dxa"/>
            <w:noWrap/>
            <w:vAlign w:val="bottom"/>
            <w:hideMark/>
          </w:tcPr>
          <w:p w:rsidR="00457C4A" w:rsidRDefault="00457C4A" w:rsidP="00457C4A">
            <w:pPr>
              <w:jc w:val="right"/>
              <w:rPr>
                <w:color w:val="000000"/>
                <w:sz w:val="22"/>
              </w:rPr>
            </w:pPr>
            <w:r>
              <w:rPr>
                <w:rFonts w:hint="eastAsia"/>
                <w:color w:val="000000"/>
                <w:sz w:val="22"/>
              </w:rPr>
              <w:t xml:space="preserve">0.08 </w:t>
            </w:r>
          </w:p>
        </w:tc>
        <w:tc>
          <w:tcPr>
            <w:tcW w:w="1422" w:type="dxa"/>
            <w:vAlign w:val="bottom"/>
          </w:tcPr>
          <w:p w:rsidR="00457C4A" w:rsidRDefault="00457C4A" w:rsidP="00457C4A">
            <w:pPr>
              <w:jc w:val="right"/>
              <w:rPr>
                <w:color w:val="000000"/>
                <w:sz w:val="22"/>
              </w:rPr>
            </w:pPr>
            <w:r>
              <w:rPr>
                <w:rFonts w:hint="eastAsia"/>
                <w:color w:val="000000"/>
                <w:sz w:val="22"/>
              </w:rPr>
              <w:t xml:space="preserve">0.07 </w:t>
            </w:r>
          </w:p>
        </w:tc>
      </w:tr>
      <w:tr w:rsidR="00457C4A" w:rsidRPr="00343121" w:rsidTr="00EF42E3">
        <w:trPr>
          <w:trHeight w:val="270"/>
        </w:trPr>
        <w:tc>
          <w:tcPr>
            <w:tcW w:w="1580" w:type="dxa"/>
            <w:noWrap/>
            <w:hideMark/>
          </w:tcPr>
          <w:p w:rsidR="00457C4A" w:rsidRPr="00343121" w:rsidRDefault="00457C4A" w:rsidP="00457C4A">
            <w:r w:rsidRPr="00343121">
              <w:rPr>
                <w:rFonts w:hint="eastAsia"/>
              </w:rPr>
              <w:t>年化夏普率</w:t>
            </w:r>
          </w:p>
        </w:tc>
        <w:tc>
          <w:tcPr>
            <w:tcW w:w="1422" w:type="dxa"/>
            <w:noWrap/>
            <w:vAlign w:val="bottom"/>
            <w:hideMark/>
          </w:tcPr>
          <w:p w:rsidR="00457C4A" w:rsidRDefault="00457C4A" w:rsidP="00457C4A">
            <w:pPr>
              <w:jc w:val="right"/>
              <w:rPr>
                <w:color w:val="000000"/>
                <w:sz w:val="22"/>
              </w:rPr>
            </w:pPr>
            <w:r>
              <w:rPr>
                <w:rFonts w:hint="eastAsia"/>
                <w:color w:val="000000"/>
                <w:sz w:val="22"/>
              </w:rPr>
              <w:t xml:space="preserve">0.47 </w:t>
            </w:r>
          </w:p>
        </w:tc>
        <w:tc>
          <w:tcPr>
            <w:tcW w:w="1422" w:type="dxa"/>
            <w:vAlign w:val="bottom"/>
          </w:tcPr>
          <w:p w:rsidR="00457C4A" w:rsidRDefault="00457C4A" w:rsidP="00457C4A">
            <w:pPr>
              <w:jc w:val="right"/>
              <w:rPr>
                <w:color w:val="000000"/>
                <w:sz w:val="22"/>
              </w:rPr>
            </w:pPr>
            <w:r>
              <w:rPr>
                <w:rFonts w:hint="eastAsia"/>
                <w:color w:val="000000"/>
                <w:sz w:val="22"/>
              </w:rPr>
              <w:t xml:space="preserve">1.12 </w:t>
            </w:r>
          </w:p>
        </w:tc>
      </w:tr>
    </w:tbl>
    <w:p w:rsidR="00114A75" w:rsidRDefault="00114A75" w:rsidP="00114A75"/>
    <w:p w:rsidR="00114A75" w:rsidRDefault="00114A75" w:rsidP="00114A75"/>
    <w:p w:rsidR="00114A75" w:rsidRDefault="00114A75" w:rsidP="00114A75"/>
    <w:p w:rsidR="00114A75" w:rsidRDefault="00114A75" w:rsidP="00114A75"/>
    <w:p w:rsidR="00114A75" w:rsidRDefault="00114A75" w:rsidP="00114A75"/>
    <w:p w:rsidR="00114A75" w:rsidRDefault="00114A75" w:rsidP="00114A75"/>
    <w:p w:rsidR="00CC53B8" w:rsidRDefault="00CC53B8" w:rsidP="00114A75"/>
    <w:p w:rsidR="00114A75" w:rsidRDefault="00114A75" w:rsidP="00114A75">
      <w:pPr>
        <w:pStyle w:val="a5"/>
        <w:ind w:left="420" w:firstLineChars="0" w:firstLine="0"/>
      </w:pPr>
      <w:bookmarkStart w:id="1" w:name="OLE_LINK5"/>
      <w:r>
        <w:rPr>
          <w:rFonts w:hint="eastAsia"/>
        </w:rPr>
        <w:t>当前</w:t>
      </w:r>
      <w:bookmarkEnd w:id="1"/>
      <w:r>
        <w:rPr>
          <w:rFonts w:hint="eastAsia"/>
        </w:rPr>
        <w:t>策略涉及多种资产，每种资产在策略中的累计盈亏如下：</w:t>
      </w:r>
    </w:p>
    <w:p w:rsidR="00114A75" w:rsidRDefault="00A87531" w:rsidP="00114A75">
      <w:r>
        <w:rPr>
          <w:noProof/>
        </w:rPr>
        <w:drawing>
          <wp:inline distT="0" distB="0" distL="0" distR="0" wp14:anchorId="649D8C48" wp14:editId="00790A5E">
            <wp:extent cx="5274310" cy="29483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48305"/>
                    </a:xfrm>
                    <a:prstGeom prst="rect">
                      <a:avLst/>
                    </a:prstGeom>
                  </pic:spPr>
                </pic:pic>
              </a:graphicData>
            </a:graphic>
          </wp:inline>
        </w:drawing>
      </w:r>
    </w:p>
    <w:p w:rsidR="00114A75" w:rsidRDefault="00114A75" w:rsidP="00114A75">
      <w:r>
        <w:tab/>
      </w:r>
    </w:p>
    <w:p w:rsidR="00114A75" w:rsidRPr="00846B55" w:rsidRDefault="00114A75" w:rsidP="00114A75">
      <w:pPr>
        <w:ind w:firstLine="420"/>
      </w:pPr>
      <w:r>
        <w:rPr>
          <w:rFonts w:hint="eastAsia"/>
        </w:rPr>
        <w:t>本策略配置比例图如下：</w:t>
      </w:r>
    </w:p>
    <w:p w:rsidR="00114A75" w:rsidRDefault="00A87531" w:rsidP="00114A75">
      <w:r>
        <w:rPr>
          <w:noProof/>
        </w:rPr>
        <w:lastRenderedPageBreak/>
        <w:drawing>
          <wp:inline distT="0" distB="0" distL="0" distR="0" wp14:anchorId="161E45A1" wp14:editId="0DCF40B0">
            <wp:extent cx="5274310" cy="29127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12745"/>
                    </a:xfrm>
                    <a:prstGeom prst="rect">
                      <a:avLst/>
                    </a:prstGeom>
                  </pic:spPr>
                </pic:pic>
              </a:graphicData>
            </a:graphic>
          </wp:inline>
        </w:drawing>
      </w:r>
    </w:p>
    <w:p w:rsidR="00114A75" w:rsidRDefault="00114A75" w:rsidP="00114A75">
      <w:pPr>
        <w:pStyle w:val="a5"/>
        <w:ind w:left="420" w:firstLineChars="0" w:firstLine="0"/>
      </w:pPr>
    </w:p>
    <w:p w:rsidR="00114A75" w:rsidRPr="00FC0835" w:rsidRDefault="00114A75" w:rsidP="00114A75">
      <w:r>
        <w:tab/>
      </w:r>
      <w:r>
        <w:rPr>
          <w:rFonts w:hint="eastAsia"/>
        </w:rPr>
        <w:t>看图后可知，</w:t>
      </w:r>
      <w:r w:rsidR="00CC53B8">
        <w:rPr>
          <w:rFonts w:hint="eastAsia"/>
        </w:rPr>
        <w:t>策略严格按照风险资产</w:t>
      </w:r>
      <w:r w:rsidR="00A87531">
        <w:rPr>
          <w:rFonts w:hint="eastAsia"/>
        </w:rPr>
        <w:t>7</w:t>
      </w:r>
      <w:r w:rsidR="00CC53B8">
        <w:rPr>
          <w:rFonts w:hint="eastAsia"/>
        </w:rPr>
        <w:t>0%</w:t>
      </w:r>
      <w:r w:rsidR="00CC53B8">
        <w:rPr>
          <w:rFonts w:hint="eastAsia"/>
        </w:rPr>
        <w:t>的比例分配资金。</w:t>
      </w:r>
    </w:p>
    <w:p w:rsidR="00114A75" w:rsidRPr="00327C5A" w:rsidRDefault="00114A75" w:rsidP="00327C5A">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327C5A">
        <w:rPr>
          <w:rFonts w:ascii="微软雅黑" w:eastAsia="微软雅黑" w:hAnsi="微软雅黑" w:cs="宋体" w:hint="eastAsia"/>
          <w:color w:val="000000"/>
          <w:kern w:val="0"/>
          <w:szCs w:val="21"/>
          <w:shd w:val="clear" w:color="auto" w:fill="FFFFFF"/>
        </w:rPr>
        <w:t>模型细节</w:t>
      </w:r>
    </w:p>
    <w:p w:rsidR="00114A75" w:rsidRDefault="00114A75" w:rsidP="00114A75">
      <w:r>
        <w:tab/>
      </w:r>
      <w:r>
        <w:rPr>
          <w:rFonts w:hint="eastAsia"/>
        </w:rPr>
        <w:t>长江证券《</w:t>
      </w:r>
      <w:r w:rsidRPr="008F4303">
        <w:rPr>
          <w:rFonts w:hint="eastAsia"/>
        </w:rPr>
        <w:t>基于风险平价模型的收益增强策略</w:t>
      </w:r>
      <w:r>
        <w:rPr>
          <w:rFonts w:hint="eastAsia"/>
        </w:rPr>
        <w:t>》研报中，求得风险平价下最优权重得求解式如下：</w:t>
      </w:r>
    </w:p>
    <w:p w:rsidR="00114A75" w:rsidRDefault="00114A75" w:rsidP="00114A75">
      <w:r>
        <w:tab/>
      </w:r>
      <w:r>
        <w:rPr>
          <w:rFonts w:hint="eastAsia"/>
          <w:noProof/>
        </w:rPr>
        <w:drawing>
          <wp:inline distT="0" distB="0" distL="0" distR="0" wp14:anchorId="502A228C" wp14:editId="7B7C2256">
            <wp:extent cx="4301337" cy="1247004"/>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JPG"/>
                    <pic:cNvPicPr/>
                  </pic:nvPicPr>
                  <pic:blipFill>
                    <a:blip r:embed="rId11">
                      <a:extLst>
                        <a:ext uri="{28A0092B-C50C-407E-A947-70E740481C1C}">
                          <a14:useLocalDpi xmlns:a14="http://schemas.microsoft.com/office/drawing/2010/main" val="0"/>
                        </a:ext>
                      </a:extLst>
                    </a:blip>
                    <a:stretch>
                      <a:fillRect/>
                    </a:stretch>
                  </pic:blipFill>
                  <pic:spPr>
                    <a:xfrm>
                      <a:off x="0" y="0"/>
                      <a:ext cx="4321448" cy="1252834"/>
                    </a:xfrm>
                    <a:prstGeom prst="rect">
                      <a:avLst/>
                    </a:prstGeom>
                  </pic:spPr>
                </pic:pic>
              </a:graphicData>
            </a:graphic>
          </wp:inline>
        </w:drawing>
      </w:r>
    </w:p>
    <w:p w:rsidR="00114A75" w:rsidRDefault="00114A75" w:rsidP="00114A75">
      <w:r>
        <w:tab/>
        <w:t>M</w:t>
      </w:r>
      <w:r>
        <w:rPr>
          <w:rFonts w:hint="eastAsia"/>
        </w:rPr>
        <w:t>atlab</w:t>
      </w:r>
      <w:r>
        <w:rPr>
          <w:rFonts w:hint="eastAsia"/>
        </w:rPr>
        <w:t>程序中，关于目标函数，我编写如下：</w:t>
      </w:r>
    </w:p>
    <w:p w:rsidR="00114A75" w:rsidRDefault="00114A75" w:rsidP="00114A75">
      <w:r>
        <w:tab/>
        <w:t>y = std ( Cov * x .* x )</w:t>
      </w:r>
    </w:p>
    <w:p w:rsidR="00A74EF3" w:rsidRDefault="00114A75" w:rsidP="00114A75">
      <w:r>
        <w:tab/>
      </w:r>
      <w:r>
        <w:rPr>
          <w:rFonts w:hint="eastAsia"/>
        </w:rPr>
        <w:t>其中</w:t>
      </w:r>
      <w:r>
        <w:rPr>
          <w:rFonts w:hint="eastAsia"/>
        </w:rPr>
        <w:t>x</w:t>
      </w:r>
      <w:r>
        <w:rPr>
          <w:rFonts w:hint="eastAsia"/>
        </w:rPr>
        <w:t>为权重向量，</w:t>
      </w:r>
      <w:r>
        <w:rPr>
          <w:rFonts w:hint="eastAsia"/>
        </w:rPr>
        <w:t>Cov</w:t>
      </w:r>
      <w:r>
        <w:rPr>
          <w:rFonts w:hint="eastAsia"/>
        </w:rPr>
        <w:t>为协方差矩阵，</w:t>
      </w:r>
      <w:r>
        <w:rPr>
          <w:rFonts w:hint="eastAsia"/>
        </w:rPr>
        <w:t>std</w:t>
      </w:r>
      <w:r>
        <w:rPr>
          <w:rFonts w:hint="eastAsia"/>
        </w:rPr>
        <w:t>为求标准差函数，求标准差实质上是求离差的平方和，而研报中的目标函数是求</w:t>
      </w:r>
      <w:r>
        <w:t>Cov * x .* x</w:t>
      </w:r>
      <w:r>
        <w:rPr>
          <w:rFonts w:hint="eastAsia"/>
        </w:rPr>
        <w:t>任意两项间的差的平方和。我认为他们的含义是类似的，在这里可以用来拟合。</w:t>
      </w:r>
    </w:p>
    <w:p w:rsidR="00114A75" w:rsidRPr="00327C5A" w:rsidRDefault="00114A75" w:rsidP="00327C5A">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327C5A">
        <w:rPr>
          <w:rFonts w:ascii="微软雅黑" w:eastAsia="微软雅黑" w:hAnsi="微软雅黑" w:cs="宋体" w:hint="eastAsia"/>
          <w:color w:val="000000"/>
          <w:kern w:val="0"/>
          <w:szCs w:val="21"/>
          <w:shd w:val="clear" w:color="auto" w:fill="FFFFFF"/>
        </w:rPr>
        <w:t>结论</w:t>
      </w:r>
    </w:p>
    <w:p w:rsidR="00E919B5" w:rsidRDefault="00114A75" w:rsidP="00114A75">
      <w:r>
        <w:tab/>
      </w:r>
      <w:r w:rsidR="00455C86" w:rsidRPr="00455C86">
        <w:rPr>
          <w:rFonts w:hint="eastAsia"/>
        </w:rPr>
        <w:t>利用均线间距变化提前预判趋势</w:t>
      </w:r>
      <w:r w:rsidR="00455C86">
        <w:rPr>
          <w:rFonts w:hint="eastAsia"/>
        </w:rPr>
        <w:t>有其在双均线系统中的创新意义，但是在本文中表现不佳，原因可能是该策略在震荡行情中表现不佳，比如该择时系统在股市</w:t>
      </w:r>
      <w:r w:rsidR="00455C86">
        <w:rPr>
          <w:rFonts w:hint="eastAsia"/>
        </w:rPr>
        <w:t>15</w:t>
      </w:r>
      <w:r w:rsidR="00455C86">
        <w:rPr>
          <w:rFonts w:hint="eastAsia"/>
        </w:rPr>
        <w:t>年中旬的大涨和大跌中都有盈利，却在</w:t>
      </w:r>
      <w:r w:rsidR="00455C86">
        <w:rPr>
          <w:rFonts w:hint="eastAsia"/>
        </w:rPr>
        <w:t>16</w:t>
      </w:r>
      <w:r w:rsidR="00455C86">
        <w:rPr>
          <w:rFonts w:hint="eastAsia"/>
        </w:rPr>
        <w:t>年初的震荡中遭遇亏损。</w:t>
      </w:r>
    </w:p>
    <w:p w:rsidR="0089343B" w:rsidRDefault="0089343B" w:rsidP="00114A75">
      <w:r>
        <w:tab/>
      </w:r>
      <w:r>
        <w:t>之后改进时可以扩大多空判断阈值</w:t>
      </w:r>
      <w:r>
        <w:rPr>
          <w:rFonts w:hint="eastAsia"/>
        </w:rPr>
        <w:t>，</w:t>
      </w:r>
      <w:r>
        <w:t>减少择时对短期震荡的敏感</w:t>
      </w:r>
      <w:r>
        <w:rPr>
          <w:rFonts w:hint="eastAsia"/>
        </w:rPr>
        <w:t>。</w:t>
      </w:r>
    </w:p>
    <w:sectPr w:rsidR="008934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1430" w:rsidRDefault="00081430" w:rsidP="00E168EC">
      <w:r>
        <w:separator/>
      </w:r>
    </w:p>
  </w:endnote>
  <w:endnote w:type="continuationSeparator" w:id="0">
    <w:p w:rsidR="00081430" w:rsidRDefault="00081430" w:rsidP="00E16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1430" w:rsidRDefault="00081430" w:rsidP="00E168EC">
      <w:r>
        <w:separator/>
      </w:r>
    </w:p>
  </w:footnote>
  <w:footnote w:type="continuationSeparator" w:id="0">
    <w:p w:rsidR="00081430" w:rsidRDefault="00081430" w:rsidP="00E168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A23E0"/>
    <w:multiLevelType w:val="multilevel"/>
    <w:tmpl w:val="F3849CA4"/>
    <w:lvl w:ilvl="0">
      <w:start w:val="5"/>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653A1A"/>
    <w:multiLevelType w:val="multilevel"/>
    <w:tmpl w:val="68F2A6D0"/>
    <w:lvl w:ilvl="0">
      <w:start w:val="3"/>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31C5DBF"/>
    <w:multiLevelType w:val="multilevel"/>
    <w:tmpl w:val="5DFACBB2"/>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D853DD0"/>
    <w:multiLevelType w:val="multilevel"/>
    <w:tmpl w:val="117E8518"/>
    <w:lvl w:ilvl="0">
      <w:start w:val="2"/>
      <w:numFmt w:val="decimal"/>
      <w:lvlText w:val="%1."/>
      <w:lvlJc w:val="left"/>
      <w:pPr>
        <w:ind w:left="495" w:hanging="495"/>
      </w:pPr>
      <w:rPr>
        <w:rFonts w:hint="default"/>
      </w:rPr>
    </w:lvl>
    <w:lvl w:ilvl="1">
      <w:start w:val="1"/>
      <w:numFmt w:val="decimal"/>
      <w:lvlText w:val="%1.%2、"/>
      <w:lvlJc w:val="left"/>
      <w:pPr>
        <w:ind w:left="1920" w:hanging="72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440" w:hanging="144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10200" w:hanging="1800"/>
      </w:pPr>
      <w:rPr>
        <w:rFonts w:hint="default"/>
      </w:rPr>
    </w:lvl>
    <w:lvl w:ilvl="8">
      <w:start w:val="1"/>
      <w:numFmt w:val="decimal"/>
      <w:lvlText w:val="%1.%2、%3.%4.%5.%6.%7.%8.%9."/>
      <w:lvlJc w:val="left"/>
      <w:pPr>
        <w:ind w:left="11400" w:hanging="1800"/>
      </w:pPr>
      <w:rPr>
        <w:rFonts w:hint="default"/>
      </w:rPr>
    </w:lvl>
  </w:abstractNum>
  <w:abstractNum w:abstractNumId="4" w15:restartNumberingAfterBreak="0">
    <w:nsid w:val="1FB0509C"/>
    <w:multiLevelType w:val="multilevel"/>
    <w:tmpl w:val="48762EC4"/>
    <w:lvl w:ilvl="0">
      <w:start w:val="2"/>
      <w:numFmt w:val="decimal"/>
      <w:lvlText w:val="%1."/>
      <w:lvlJc w:val="left"/>
      <w:pPr>
        <w:ind w:left="495" w:hanging="495"/>
      </w:pPr>
      <w:rPr>
        <w:rFonts w:hint="default"/>
      </w:rPr>
    </w:lvl>
    <w:lvl w:ilvl="1">
      <w:start w:val="1"/>
      <w:numFmt w:val="decimal"/>
      <w:lvlText w:val="%1.%2、"/>
      <w:lvlJc w:val="left"/>
      <w:pPr>
        <w:ind w:left="1920" w:hanging="72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6240" w:hanging="1440"/>
      </w:pPr>
      <w:rPr>
        <w:rFonts w:hint="default"/>
      </w:rPr>
    </w:lvl>
    <w:lvl w:ilvl="5">
      <w:start w:val="1"/>
      <w:numFmt w:val="decimal"/>
      <w:lvlText w:val="%1.%2、%3.%4.%5.%6."/>
      <w:lvlJc w:val="left"/>
      <w:pPr>
        <w:ind w:left="7440" w:hanging="1440"/>
      </w:pPr>
      <w:rPr>
        <w:rFonts w:hint="default"/>
      </w:rPr>
    </w:lvl>
    <w:lvl w:ilvl="6">
      <w:start w:val="1"/>
      <w:numFmt w:val="decimal"/>
      <w:lvlText w:val="%1.%2、%3.%4.%5.%6.%7."/>
      <w:lvlJc w:val="left"/>
      <w:pPr>
        <w:ind w:left="9000" w:hanging="1800"/>
      </w:pPr>
      <w:rPr>
        <w:rFonts w:hint="default"/>
      </w:rPr>
    </w:lvl>
    <w:lvl w:ilvl="7">
      <w:start w:val="1"/>
      <w:numFmt w:val="decimal"/>
      <w:lvlText w:val="%1.%2、%3.%4.%5.%6.%7.%8."/>
      <w:lvlJc w:val="left"/>
      <w:pPr>
        <w:ind w:left="10200" w:hanging="1800"/>
      </w:pPr>
      <w:rPr>
        <w:rFonts w:hint="default"/>
      </w:rPr>
    </w:lvl>
    <w:lvl w:ilvl="8">
      <w:start w:val="1"/>
      <w:numFmt w:val="decimal"/>
      <w:lvlText w:val="%1.%2、%3.%4.%5.%6.%7.%8.%9."/>
      <w:lvlJc w:val="left"/>
      <w:pPr>
        <w:ind w:left="11760" w:hanging="2160"/>
      </w:pPr>
      <w:rPr>
        <w:rFonts w:hint="default"/>
      </w:rPr>
    </w:lvl>
  </w:abstractNum>
  <w:abstractNum w:abstractNumId="5" w15:restartNumberingAfterBreak="0">
    <w:nsid w:val="32425343"/>
    <w:multiLevelType w:val="multilevel"/>
    <w:tmpl w:val="6A084F9E"/>
    <w:lvl w:ilvl="0">
      <w:start w:val="3"/>
      <w:numFmt w:val="decimal"/>
      <w:lvlText w:val="%1."/>
      <w:lvlJc w:val="left"/>
      <w:pPr>
        <w:ind w:left="495" w:hanging="495"/>
      </w:pPr>
      <w:rPr>
        <w:rFonts w:hint="default"/>
      </w:rPr>
    </w:lvl>
    <w:lvl w:ilvl="1">
      <w:start w:val="1"/>
      <w:numFmt w:val="decimal"/>
      <w:lvlText w:val="%1.%2、"/>
      <w:lvlJc w:val="left"/>
      <w:pPr>
        <w:ind w:left="720" w:hanging="720"/>
      </w:pPr>
      <w:rPr>
        <w:rFonts w:hint="default"/>
        <w:sz w:val="2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6046952"/>
    <w:multiLevelType w:val="multilevel"/>
    <w:tmpl w:val="6B9813AC"/>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F0E417A"/>
    <w:multiLevelType w:val="multilevel"/>
    <w:tmpl w:val="2A3A5874"/>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72A6CA3"/>
    <w:multiLevelType w:val="hybridMultilevel"/>
    <w:tmpl w:val="8DC8D45C"/>
    <w:lvl w:ilvl="0" w:tplc="3CBEC0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C201F71"/>
    <w:multiLevelType w:val="multilevel"/>
    <w:tmpl w:val="6B9813AC"/>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58A60E1"/>
    <w:multiLevelType w:val="multilevel"/>
    <w:tmpl w:val="E72E73F8"/>
    <w:lvl w:ilvl="0">
      <w:start w:val="4"/>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94E511B"/>
    <w:multiLevelType w:val="multilevel"/>
    <w:tmpl w:val="93FA78B8"/>
    <w:lvl w:ilvl="0">
      <w:start w:val="4"/>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99F727C"/>
    <w:multiLevelType w:val="hybridMultilevel"/>
    <w:tmpl w:val="3FEE0672"/>
    <w:lvl w:ilvl="0" w:tplc="8DCC3FA6">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5536228"/>
    <w:multiLevelType w:val="multilevel"/>
    <w:tmpl w:val="DA94E246"/>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AF744ED"/>
    <w:multiLevelType w:val="hybridMultilevel"/>
    <w:tmpl w:val="65CCC770"/>
    <w:lvl w:ilvl="0" w:tplc="83222BD6">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C8282012">
      <w:start w:val="2"/>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2"/>
  </w:num>
  <w:num w:numId="3">
    <w:abstractNumId w:val="6"/>
  </w:num>
  <w:num w:numId="4">
    <w:abstractNumId w:val="7"/>
  </w:num>
  <w:num w:numId="5">
    <w:abstractNumId w:val="1"/>
  </w:num>
  <w:num w:numId="6">
    <w:abstractNumId w:val="2"/>
  </w:num>
  <w:num w:numId="7">
    <w:abstractNumId w:val="10"/>
  </w:num>
  <w:num w:numId="8">
    <w:abstractNumId w:val="3"/>
  </w:num>
  <w:num w:numId="9">
    <w:abstractNumId w:val="5"/>
  </w:num>
  <w:num w:numId="10">
    <w:abstractNumId w:val="11"/>
  </w:num>
  <w:num w:numId="11">
    <w:abstractNumId w:val="0"/>
  </w:num>
  <w:num w:numId="12">
    <w:abstractNumId w:val="4"/>
  </w:num>
  <w:num w:numId="13">
    <w:abstractNumId w:val="9"/>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16B"/>
    <w:rsid w:val="0001505B"/>
    <w:rsid w:val="00020B8E"/>
    <w:rsid w:val="0004575E"/>
    <w:rsid w:val="000515B5"/>
    <w:rsid w:val="00072444"/>
    <w:rsid w:val="00073B43"/>
    <w:rsid w:val="00081430"/>
    <w:rsid w:val="00091CB8"/>
    <w:rsid w:val="000A394E"/>
    <w:rsid w:val="000D42D2"/>
    <w:rsid w:val="001018AE"/>
    <w:rsid w:val="00114A75"/>
    <w:rsid w:val="00115DED"/>
    <w:rsid w:val="001417F4"/>
    <w:rsid w:val="00197FA2"/>
    <w:rsid w:val="001D1785"/>
    <w:rsid w:val="001F159E"/>
    <w:rsid w:val="00201C7D"/>
    <w:rsid w:val="00227CAC"/>
    <w:rsid w:val="00273550"/>
    <w:rsid w:val="002741A6"/>
    <w:rsid w:val="002B25A2"/>
    <w:rsid w:val="002B6032"/>
    <w:rsid w:val="002C62A1"/>
    <w:rsid w:val="002D0641"/>
    <w:rsid w:val="002E4F67"/>
    <w:rsid w:val="002E79BF"/>
    <w:rsid w:val="002F0E4E"/>
    <w:rsid w:val="002F5281"/>
    <w:rsid w:val="00315250"/>
    <w:rsid w:val="00327C5A"/>
    <w:rsid w:val="00337198"/>
    <w:rsid w:val="00375BF5"/>
    <w:rsid w:val="00382A18"/>
    <w:rsid w:val="0039111B"/>
    <w:rsid w:val="004121FE"/>
    <w:rsid w:val="00414BEE"/>
    <w:rsid w:val="00441403"/>
    <w:rsid w:val="00442E3C"/>
    <w:rsid w:val="00455C86"/>
    <w:rsid w:val="00457C4A"/>
    <w:rsid w:val="00470282"/>
    <w:rsid w:val="00485C59"/>
    <w:rsid w:val="004D7CFA"/>
    <w:rsid w:val="00530050"/>
    <w:rsid w:val="0053747B"/>
    <w:rsid w:val="00553AFA"/>
    <w:rsid w:val="005707DB"/>
    <w:rsid w:val="005761C0"/>
    <w:rsid w:val="005870C8"/>
    <w:rsid w:val="0059544C"/>
    <w:rsid w:val="005B72BB"/>
    <w:rsid w:val="005C00EA"/>
    <w:rsid w:val="005C3A47"/>
    <w:rsid w:val="005E07CF"/>
    <w:rsid w:val="005F40E1"/>
    <w:rsid w:val="006035D3"/>
    <w:rsid w:val="00647897"/>
    <w:rsid w:val="00652EFA"/>
    <w:rsid w:val="00680478"/>
    <w:rsid w:val="00691325"/>
    <w:rsid w:val="006A26B4"/>
    <w:rsid w:val="00701469"/>
    <w:rsid w:val="007049F6"/>
    <w:rsid w:val="00706969"/>
    <w:rsid w:val="007508F4"/>
    <w:rsid w:val="007D416B"/>
    <w:rsid w:val="007D5D45"/>
    <w:rsid w:val="007E0CE9"/>
    <w:rsid w:val="007E4C11"/>
    <w:rsid w:val="0085589C"/>
    <w:rsid w:val="0089343B"/>
    <w:rsid w:val="00897347"/>
    <w:rsid w:val="008A23BC"/>
    <w:rsid w:val="008D1087"/>
    <w:rsid w:val="009841F8"/>
    <w:rsid w:val="009A781A"/>
    <w:rsid w:val="00A64F22"/>
    <w:rsid w:val="00A74EF3"/>
    <w:rsid w:val="00A87531"/>
    <w:rsid w:val="00AA4F96"/>
    <w:rsid w:val="00AC4DD1"/>
    <w:rsid w:val="00AF2088"/>
    <w:rsid w:val="00AF74B2"/>
    <w:rsid w:val="00B038A9"/>
    <w:rsid w:val="00B4163C"/>
    <w:rsid w:val="00B66B4F"/>
    <w:rsid w:val="00B91B92"/>
    <w:rsid w:val="00BE3B2C"/>
    <w:rsid w:val="00C43ACB"/>
    <w:rsid w:val="00C579CB"/>
    <w:rsid w:val="00C60DE0"/>
    <w:rsid w:val="00C6355E"/>
    <w:rsid w:val="00CC53B8"/>
    <w:rsid w:val="00CE483E"/>
    <w:rsid w:val="00CF2EBB"/>
    <w:rsid w:val="00D21F65"/>
    <w:rsid w:val="00D24BFB"/>
    <w:rsid w:val="00D54688"/>
    <w:rsid w:val="00D71CCF"/>
    <w:rsid w:val="00DA4D87"/>
    <w:rsid w:val="00DF486A"/>
    <w:rsid w:val="00E01393"/>
    <w:rsid w:val="00E168EC"/>
    <w:rsid w:val="00E252A3"/>
    <w:rsid w:val="00E85638"/>
    <w:rsid w:val="00E919B5"/>
    <w:rsid w:val="00EE0D1A"/>
    <w:rsid w:val="00EE0E9C"/>
    <w:rsid w:val="00EE2180"/>
    <w:rsid w:val="00F159FC"/>
    <w:rsid w:val="00F55DB0"/>
    <w:rsid w:val="00F716A3"/>
    <w:rsid w:val="00F87444"/>
    <w:rsid w:val="00FA7C3B"/>
    <w:rsid w:val="00FB01FC"/>
    <w:rsid w:val="00FC520A"/>
    <w:rsid w:val="00FD0BC6"/>
    <w:rsid w:val="00FD6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557BD5-7136-4352-BB62-53B30C5CD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68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68EC"/>
    <w:rPr>
      <w:sz w:val="18"/>
      <w:szCs w:val="18"/>
    </w:rPr>
  </w:style>
  <w:style w:type="paragraph" w:styleId="a4">
    <w:name w:val="footer"/>
    <w:basedOn w:val="a"/>
    <w:link w:val="Char0"/>
    <w:uiPriority w:val="99"/>
    <w:unhideWhenUsed/>
    <w:rsid w:val="00E168EC"/>
    <w:pPr>
      <w:tabs>
        <w:tab w:val="center" w:pos="4153"/>
        <w:tab w:val="right" w:pos="8306"/>
      </w:tabs>
      <w:snapToGrid w:val="0"/>
      <w:jc w:val="left"/>
    </w:pPr>
    <w:rPr>
      <w:sz w:val="18"/>
      <w:szCs w:val="18"/>
    </w:rPr>
  </w:style>
  <w:style w:type="character" w:customStyle="1" w:styleId="Char0">
    <w:name w:val="页脚 Char"/>
    <w:basedOn w:val="a0"/>
    <w:link w:val="a4"/>
    <w:uiPriority w:val="99"/>
    <w:rsid w:val="00E168EC"/>
    <w:rPr>
      <w:sz w:val="18"/>
      <w:szCs w:val="18"/>
    </w:rPr>
  </w:style>
  <w:style w:type="paragraph" w:styleId="a5">
    <w:name w:val="List Paragraph"/>
    <w:basedOn w:val="a"/>
    <w:uiPriority w:val="34"/>
    <w:qFormat/>
    <w:rsid w:val="00E168EC"/>
    <w:pPr>
      <w:ind w:firstLineChars="200" w:firstLine="420"/>
    </w:pPr>
  </w:style>
  <w:style w:type="table" w:styleId="a6">
    <w:name w:val="Table Grid"/>
    <w:basedOn w:val="a1"/>
    <w:uiPriority w:val="39"/>
    <w:rsid w:val="00114A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B416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3476">
      <w:bodyDiv w:val="1"/>
      <w:marLeft w:val="0"/>
      <w:marRight w:val="0"/>
      <w:marTop w:val="0"/>
      <w:marBottom w:val="0"/>
      <w:divBdr>
        <w:top w:val="none" w:sz="0" w:space="0" w:color="auto"/>
        <w:left w:val="none" w:sz="0" w:space="0" w:color="auto"/>
        <w:bottom w:val="none" w:sz="0" w:space="0" w:color="auto"/>
        <w:right w:val="none" w:sz="0" w:space="0" w:color="auto"/>
      </w:divBdr>
    </w:div>
    <w:div w:id="1225290098">
      <w:bodyDiv w:val="1"/>
      <w:marLeft w:val="0"/>
      <w:marRight w:val="0"/>
      <w:marTop w:val="0"/>
      <w:marBottom w:val="0"/>
      <w:divBdr>
        <w:top w:val="none" w:sz="0" w:space="0" w:color="auto"/>
        <w:left w:val="none" w:sz="0" w:space="0" w:color="auto"/>
        <w:bottom w:val="none" w:sz="0" w:space="0" w:color="auto"/>
        <w:right w:val="none" w:sz="0" w:space="0" w:color="auto"/>
      </w:divBdr>
    </w:div>
    <w:div w:id="1604612981">
      <w:bodyDiv w:val="1"/>
      <w:marLeft w:val="0"/>
      <w:marRight w:val="0"/>
      <w:marTop w:val="0"/>
      <w:marBottom w:val="0"/>
      <w:divBdr>
        <w:top w:val="none" w:sz="0" w:space="0" w:color="auto"/>
        <w:left w:val="none" w:sz="0" w:space="0" w:color="auto"/>
        <w:bottom w:val="none" w:sz="0" w:space="0" w:color="auto"/>
        <w:right w:val="none" w:sz="0" w:space="0" w:color="auto"/>
      </w:divBdr>
    </w:div>
    <w:div w:id="1933969516">
      <w:bodyDiv w:val="1"/>
      <w:marLeft w:val="0"/>
      <w:marRight w:val="0"/>
      <w:marTop w:val="0"/>
      <w:marBottom w:val="0"/>
      <w:divBdr>
        <w:top w:val="none" w:sz="0" w:space="0" w:color="auto"/>
        <w:left w:val="none" w:sz="0" w:space="0" w:color="auto"/>
        <w:bottom w:val="none" w:sz="0" w:space="0" w:color="auto"/>
        <w:right w:val="none" w:sz="0" w:space="0" w:color="auto"/>
      </w:divBdr>
    </w:div>
    <w:div w:id="1990356409">
      <w:bodyDiv w:val="1"/>
      <w:marLeft w:val="0"/>
      <w:marRight w:val="0"/>
      <w:marTop w:val="0"/>
      <w:marBottom w:val="0"/>
      <w:divBdr>
        <w:top w:val="none" w:sz="0" w:space="0" w:color="auto"/>
        <w:left w:val="none" w:sz="0" w:space="0" w:color="auto"/>
        <w:bottom w:val="none" w:sz="0" w:space="0" w:color="auto"/>
        <w:right w:val="none" w:sz="0" w:space="0" w:color="auto"/>
      </w:divBdr>
    </w:div>
    <w:div w:id="199610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1616C-EEA0-4711-8E25-55149B1EA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2606</TotalTime>
  <Pages>3</Pages>
  <Words>207</Words>
  <Characters>1180</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KC002</dc:creator>
  <cp:keywords/>
  <dc:description/>
  <cp:lastModifiedBy>KC002</cp:lastModifiedBy>
  <cp:revision>83</cp:revision>
  <cp:lastPrinted>2017-03-16T11:35:00Z</cp:lastPrinted>
  <dcterms:created xsi:type="dcterms:W3CDTF">2017-02-16T14:30:00Z</dcterms:created>
  <dcterms:modified xsi:type="dcterms:W3CDTF">2017-03-16T11:48:00Z</dcterms:modified>
</cp:coreProperties>
</file>