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E4" w:rsidRDefault="007C6FE4">
      <w:r>
        <w:t>一</w:t>
      </w:r>
      <w:r>
        <w:rPr>
          <w:rFonts w:hint="eastAsia"/>
        </w:rPr>
        <w:t>、</w:t>
      </w:r>
      <w:r>
        <w:t>将商品期限结构加入</w:t>
      </w:r>
      <w:proofErr w:type="gramStart"/>
      <w:r>
        <w:t>全天候回测</w:t>
      </w:r>
      <w:proofErr w:type="gramEnd"/>
      <w:r w:rsidR="0085008F">
        <w:tab/>
      </w:r>
    </w:p>
    <w:p w:rsidR="0085008F" w:rsidRDefault="0085008F" w:rsidP="007C6FE4">
      <w:pPr>
        <w:ind w:firstLine="420"/>
      </w:pPr>
      <w:r>
        <w:t>本文作为验证期限结构在全天候中是否有效的研究之一</w:t>
      </w:r>
      <w:r>
        <w:rPr>
          <w:rFonts w:hint="eastAsia"/>
        </w:rPr>
        <w:t>，将期现套利策略中的</w:t>
      </w:r>
      <w:r>
        <w:rPr>
          <w:rFonts w:hint="eastAsia"/>
        </w:rPr>
        <w:t>C</w:t>
      </w:r>
      <w:r>
        <w:rPr>
          <w:rFonts w:hint="eastAsia"/>
        </w:rPr>
        <w:t>值排名表应用到全天候策略中。</w:t>
      </w:r>
      <w:bookmarkStart w:id="0" w:name="_GoBack"/>
      <w:bookmarkEnd w:id="0"/>
    </w:p>
    <w:p w:rsidR="0085008F" w:rsidRDefault="0085008F">
      <w:r>
        <w:tab/>
      </w:r>
      <w:r>
        <w:t>策略的原理是</w:t>
      </w:r>
      <w:r>
        <w:rPr>
          <w:rFonts w:hint="eastAsia"/>
        </w:rPr>
        <w:t>，模型</w:t>
      </w:r>
      <w:r>
        <w:t>每次按照风险平价的原则分配资金到各资产后</w:t>
      </w:r>
      <w:r>
        <w:rPr>
          <w:rFonts w:hint="eastAsia"/>
        </w:rPr>
        <w:t>，</w:t>
      </w:r>
      <w:r>
        <w:t>LLT</w:t>
      </w:r>
      <w:r>
        <w:t>会</w:t>
      </w:r>
      <w:r w:rsidR="00527338">
        <w:t>对</w:t>
      </w:r>
      <w:r w:rsidR="00115D19">
        <w:t>各资产给出</w:t>
      </w:r>
      <w:r>
        <w:t>择时方向</w:t>
      </w:r>
      <w:r w:rsidR="00115D19">
        <w:rPr>
          <w:rFonts w:hint="eastAsia"/>
        </w:rPr>
        <w:t>。商品期货得到择时方向后，再从</w:t>
      </w:r>
      <w:r w:rsidR="00115D19">
        <w:rPr>
          <w:rFonts w:hint="eastAsia"/>
        </w:rPr>
        <w:t>C</w:t>
      </w:r>
      <w:r w:rsidR="00115D19">
        <w:rPr>
          <w:rFonts w:hint="eastAsia"/>
        </w:rPr>
        <w:t>值表中选出对应</w:t>
      </w:r>
      <w:proofErr w:type="spellStart"/>
      <w:r w:rsidR="00115D19">
        <w:rPr>
          <w:rFonts w:hint="eastAsia"/>
        </w:rPr>
        <w:t>nls</w:t>
      </w:r>
      <w:proofErr w:type="spellEnd"/>
      <w:proofErr w:type="gramStart"/>
      <w:r w:rsidR="00115D19">
        <w:rPr>
          <w:rFonts w:hint="eastAsia"/>
        </w:rPr>
        <w:t>个</w:t>
      </w:r>
      <w:proofErr w:type="gramEnd"/>
      <w:r w:rsidR="00115D19">
        <w:rPr>
          <w:rFonts w:hint="eastAsia"/>
        </w:rPr>
        <w:t>交易品种：</w:t>
      </w:r>
    </w:p>
    <w:p w:rsidR="00115D19" w:rsidRDefault="00115D19">
      <w:pPr>
        <w:rPr>
          <w:rFonts w:hint="eastAsia"/>
        </w:rPr>
      </w:pPr>
      <w:r>
        <w:tab/>
      </w:r>
      <w:r>
        <w:t>如果</w:t>
      </w:r>
      <w:r>
        <w:t>LLT</w:t>
      </w:r>
      <w:r>
        <w:t>做多</w:t>
      </w:r>
      <w:r>
        <w:rPr>
          <w:rFonts w:hint="eastAsia"/>
        </w:rPr>
        <w:t>，</w:t>
      </w:r>
      <w:r>
        <w:t>选择</w:t>
      </w:r>
      <w:r w:rsidR="00527338">
        <w:t>c</w:t>
      </w:r>
      <w:r w:rsidR="00527338">
        <w:t>值表中</w:t>
      </w:r>
      <w:r w:rsidR="00527338">
        <w:t>c</w:t>
      </w:r>
      <w:r w:rsidR="00527338">
        <w:t>值最低的</w:t>
      </w:r>
      <w:proofErr w:type="spellStart"/>
      <w:r w:rsidR="00527338">
        <w:t>nls</w:t>
      </w:r>
      <w:proofErr w:type="spellEnd"/>
      <w:proofErr w:type="gramStart"/>
      <w:r w:rsidR="00527338">
        <w:t>个</w:t>
      </w:r>
      <w:proofErr w:type="gramEnd"/>
      <w:r w:rsidR="00527338">
        <w:t>品种</w:t>
      </w:r>
      <w:r w:rsidR="00527338">
        <w:rPr>
          <w:rFonts w:hint="eastAsia"/>
        </w:rPr>
        <w:t>；</w:t>
      </w:r>
    </w:p>
    <w:p w:rsidR="00115D19" w:rsidRPr="0085008F" w:rsidRDefault="00115D19">
      <w:pPr>
        <w:rPr>
          <w:rFonts w:hint="eastAsia"/>
        </w:rPr>
      </w:pPr>
      <w:r>
        <w:tab/>
      </w:r>
      <w:r w:rsidR="00527338">
        <w:t>如果</w:t>
      </w:r>
      <w:r w:rsidR="00527338">
        <w:t>LLT</w:t>
      </w:r>
      <w:r w:rsidR="00527338">
        <w:t>做空</w:t>
      </w:r>
      <w:r w:rsidR="00527338">
        <w:rPr>
          <w:rFonts w:hint="eastAsia"/>
        </w:rPr>
        <w:t>，</w:t>
      </w:r>
      <w:r w:rsidR="00527338">
        <w:t>选择</w:t>
      </w:r>
      <w:r w:rsidR="00527338">
        <w:t>c</w:t>
      </w:r>
      <w:r w:rsidR="00527338">
        <w:t>值表中</w:t>
      </w:r>
      <w:r w:rsidR="00527338">
        <w:t>c</w:t>
      </w:r>
      <w:r w:rsidR="00527338">
        <w:t>值最高的</w:t>
      </w:r>
      <w:proofErr w:type="spellStart"/>
      <w:r w:rsidR="00527338">
        <w:t>nls</w:t>
      </w:r>
      <w:proofErr w:type="spellEnd"/>
      <w:proofErr w:type="gramStart"/>
      <w:r w:rsidR="00527338">
        <w:t>个</w:t>
      </w:r>
      <w:proofErr w:type="gramEnd"/>
      <w:r w:rsidR="00527338">
        <w:t>品种</w:t>
      </w:r>
      <w:r w:rsidR="00527338">
        <w:rPr>
          <w:rFonts w:hint="eastAsia"/>
        </w:rPr>
        <w:t>。</w:t>
      </w:r>
    </w:p>
    <w:p w:rsidR="0085008F" w:rsidRDefault="0085008F" w:rsidP="0085008F">
      <w:pPr>
        <w:ind w:firstLine="420"/>
      </w:pPr>
      <w:r>
        <w:t>策略总资金</w:t>
      </w:r>
      <w:r>
        <w:t>8</w:t>
      </w:r>
      <w:r>
        <w:rPr>
          <w:rFonts w:hint="eastAsia"/>
        </w:rPr>
        <w:t>00</w:t>
      </w:r>
      <w:r>
        <w:rPr>
          <w:rFonts w:hint="eastAsia"/>
        </w:rPr>
        <w:t>万，</w:t>
      </w:r>
      <w:proofErr w:type="gramStart"/>
      <w:r>
        <w:t>调仓时机</w:t>
      </w:r>
      <w:proofErr w:type="gramEnd"/>
      <w:r>
        <w:t>与期限结构表一致</w:t>
      </w:r>
      <w:r>
        <w:rPr>
          <w:rFonts w:hint="eastAsia"/>
        </w:rPr>
        <w:t>，</w:t>
      </w:r>
      <w:r>
        <w:t>保持在周一</w:t>
      </w:r>
      <w:r>
        <w:rPr>
          <w:rFonts w:hint="eastAsia"/>
        </w:rPr>
        <w:t>。</w:t>
      </w:r>
      <w:r>
        <w:t>策略时间为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t>日</w:t>
      </w:r>
      <w:r>
        <w:rPr>
          <w:rFonts w:hint="eastAsia"/>
        </w:rPr>
        <w:t>，这是因为先前的研究表明期限套利是一个阶段性有效的策略，所以策略时间尽可能接近期现套利策略表现良好的时期。</w:t>
      </w:r>
    </w:p>
    <w:p w:rsidR="00527338" w:rsidRDefault="00527338" w:rsidP="0085008F">
      <w:pPr>
        <w:ind w:firstLine="420"/>
      </w:pPr>
      <w:r>
        <w:rPr>
          <w:rFonts w:hint="eastAsia"/>
        </w:rPr>
        <w:t>参数为</w:t>
      </w:r>
      <w:proofErr w:type="spellStart"/>
      <w:r>
        <w:rPr>
          <w:rFonts w:hint="eastAsia"/>
        </w:rPr>
        <w:t>nls</w:t>
      </w:r>
      <w:proofErr w:type="spellEnd"/>
      <w:r>
        <w:rPr>
          <w:rFonts w:hint="eastAsia"/>
        </w:rPr>
        <w:t>，每次做多或者做空的商品品种数。</w:t>
      </w:r>
    </w:p>
    <w:p w:rsidR="00527338" w:rsidRDefault="00527338" w:rsidP="0085008F">
      <w:pPr>
        <w:ind w:firstLine="420"/>
      </w:pPr>
      <w:proofErr w:type="gramStart"/>
      <w:r>
        <w:t>回测结果</w:t>
      </w:r>
      <w:proofErr w:type="gramEnd"/>
      <w:r>
        <w:t>如下</w:t>
      </w:r>
      <w:r>
        <w:rPr>
          <w:rFonts w:hint="eastAsia"/>
        </w:rPr>
        <w:t>：</w:t>
      </w:r>
    </w:p>
    <w:p w:rsidR="00527338" w:rsidRDefault="00B61372" w:rsidP="0085008F">
      <w:pPr>
        <w:ind w:firstLine="420"/>
      </w:pPr>
      <w:r>
        <w:rPr>
          <w:noProof/>
        </w:rPr>
        <w:drawing>
          <wp:inline distT="0" distB="0" distL="0" distR="0" wp14:anchorId="5D21A556" wp14:editId="753B9E07">
            <wp:extent cx="43338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24" w:rsidRDefault="002A7524" w:rsidP="0085008F">
      <w:pPr>
        <w:ind w:firstLine="420"/>
      </w:pPr>
      <w:r>
        <w:t>可以看出</w:t>
      </w:r>
      <w:proofErr w:type="spellStart"/>
      <w:r>
        <w:t>nls</w:t>
      </w:r>
      <w:proofErr w:type="spellEnd"/>
      <w:r>
        <w:t>为</w:t>
      </w:r>
      <w:r>
        <w:rPr>
          <w:rFonts w:hint="eastAsia"/>
        </w:rPr>
        <w:t>4</w:t>
      </w:r>
      <w:r>
        <w:rPr>
          <w:rFonts w:hint="eastAsia"/>
        </w:rPr>
        <w:t>时</w:t>
      </w:r>
      <w:proofErr w:type="gramStart"/>
      <w:r>
        <w:rPr>
          <w:rFonts w:hint="eastAsia"/>
        </w:rPr>
        <w:t>年化收益</w:t>
      </w:r>
      <w:proofErr w:type="gramEnd"/>
      <w:r>
        <w:rPr>
          <w:rFonts w:hint="eastAsia"/>
        </w:rPr>
        <w:t>最高，</w:t>
      </w:r>
      <w:proofErr w:type="spellStart"/>
      <w:r>
        <w:rPr>
          <w:rFonts w:hint="eastAsia"/>
        </w:rPr>
        <w:t>nls</w:t>
      </w:r>
      <w:proofErr w:type="spell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时夏普比率最高，两个参数</w:t>
      </w:r>
      <w:proofErr w:type="gramStart"/>
      <w:r>
        <w:rPr>
          <w:rFonts w:hint="eastAsia"/>
        </w:rPr>
        <w:t>的回测结果</w:t>
      </w:r>
      <w:proofErr w:type="gramEnd"/>
      <w:r>
        <w:rPr>
          <w:rFonts w:hint="eastAsia"/>
        </w:rPr>
        <w:t>差别不大。</w:t>
      </w:r>
    </w:p>
    <w:p w:rsidR="007C6FE4" w:rsidRDefault="007C6FE4" w:rsidP="007C6FE4">
      <w:pPr>
        <w:rPr>
          <w:rFonts w:hint="eastAsia"/>
        </w:rPr>
      </w:pPr>
      <w:r>
        <w:t>二</w:t>
      </w:r>
      <w:r>
        <w:rPr>
          <w:rFonts w:hint="eastAsia"/>
        </w:rPr>
        <w:t>、与现有模型比较</w:t>
      </w:r>
    </w:p>
    <w:p w:rsidR="002A7524" w:rsidRDefault="002A7524" w:rsidP="0085008F">
      <w:pPr>
        <w:ind w:firstLine="420"/>
        <w:rPr>
          <w:rFonts w:hint="eastAsia"/>
        </w:rPr>
      </w:pPr>
      <w:r>
        <w:t>为了对比</w:t>
      </w:r>
      <w:r>
        <w:rPr>
          <w:rFonts w:hint="eastAsia"/>
        </w:rPr>
        <w:t>，</w:t>
      </w:r>
      <w:r>
        <w:t>我们拿出现阶段全天候的模型进行回测</w:t>
      </w:r>
      <w:r>
        <w:rPr>
          <w:rFonts w:hint="eastAsia"/>
        </w:rPr>
        <w:t>，同样的</w:t>
      </w:r>
      <w:r>
        <w:t>策略时间为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t>日</w:t>
      </w:r>
      <w:r>
        <w:rPr>
          <w:rFonts w:hint="eastAsia"/>
        </w:rPr>
        <w:t>，</w:t>
      </w:r>
      <w:proofErr w:type="gramStart"/>
      <w:r w:rsidR="007C6FE4">
        <w:t>调仓时间</w:t>
      </w:r>
      <w:proofErr w:type="gramEnd"/>
      <w:r w:rsidR="007C6FE4">
        <w:t>改为期限结构表日期</w:t>
      </w:r>
      <w:r w:rsidR="007C6FE4">
        <w:rPr>
          <w:rFonts w:hint="eastAsia"/>
        </w:rPr>
        <w:t>，与</w:t>
      </w:r>
      <w:r w:rsidR="007C6FE4">
        <w:t>第一部分保持一致</w:t>
      </w:r>
      <w:r w:rsidR="007C6FE4">
        <w:rPr>
          <w:rFonts w:hint="eastAsia"/>
        </w:rPr>
        <w:t>。</w:t>
      </w:r>
      <w:proofErr w:type="gramStart"/>
      <w:r w:rsidR="007C6FE4">
        <w:rPr>
          <w:rFonts w:hint="eastAsia"/>
        </w:rPr>
        <w:t>回测结果</w:t>
      </w:r>
      <w:proofErr w:type="gramEnd"/>
      <w:r w:rsidR="007C6FE4">
        <w:rPr>
          <w:rFonts w:hint="eastAsia"/>
        </w:rPr>
        <w:t>如下：</w:t>
      </w:r>
    </w:p>
    <w:p w:rsidR="002A7524" w:rsidRDefault="002A7524" w:rsidP="0085008F">
      <w:pPr>
        <w:ind w:firstLine="420"/>
      </w:pPr>
      <w:r>
        <w:rPr>
          <w:noProof/>
        </w:rPr>
        <w:drawing>
          <wp:inline distT="0" distB="0" distL="0" distR="0" wp14:anchorId="0E3756AC" wp14:editId="6CF858BD">
            <wp:extent cx="188595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E4" w:rsidRDefault="007C6FE4" w:rsidP="0085008F">
      <w:pPr>
        <w:ind w:firstLine="420"/>
      </w:pPr>
      <w:r>
        <w:t>可以看出</w:t>
      </w:r>
      <w:r>
        <w:rPr>
          <w:rFonts w:hint="eastAsia"/>
        </w:rPr>
        <w:t>，</w:t>
      </w:r>
      <w:r>
        <w:t>第一部分的策略与当前模型相比并</w:t>
      </w:r>
      <w:r w:rsidRPr="00A6443A">
        <w:rPr>
          <w:b/>
        </w:rPr>
        <w:t>没有优势</w:t>
      </w:r>
      <w:r>
        <w:rPr>
          <w:rFonts w:hint="eastAsia"/>
        </w:rPr>
        <w:t>，</w:t>
      </w:r>
      <w:r>
        <w:t>各项指标都没有现有模型强</w:t>
      </w:r>
      <w:r>
        <w:rPr>
          <w:rFonts w:hint="eastAsia"/>
        </w:rPr>
        <w:t>。</w:t>
      </w:r>
    </w:p>
    <w:p w:rsidR="00175F98" w:rsidRDefault="00175F98" w:rsidP="00FD73A5">
      <w:pPr>
        <w:ind w:firstLine="420"/>
      </w:pPr>
      <w:r>
        <w:rPr>
          <w:rFonts w:hint="eastAsia"/>
        </w:rPr>
        <w:t>仔细比较两者各资产的累计收益曲线。我们用第一部分的</w:t>
      </w:r>
      <w:proofErr w:type="spellStart"/>
      <w:r>
        <w:rPr>
          <w:rFonts w:hint="eastAsia"/>
        </w:rPr>
        <w:t>nls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4</w:t>
      </w:r>
      <w:r>
        <w:t>来比较</w:t>
      </w:r>
      <w:r w:rsidR="00FD73A5">
        <w:rPr>
          <w:rFonts w:hint="eastAsia"/>
        </w:rPr>
        <w:t>，累计盈亏曲线如下图，其中商品期货曲线为</w:t>
      </w:r>
      <w:r w:rsidR="00FD73A5" w:rsidRPr="00A6443A">
        <w:rPr>
          <w:rFonts w:hint="eastAsia"/>
          <w:b/>
        </w:rPr>
        <w:t>紫色</w:t>
      </w:r>
      <w:r w:rsidR="00FD73A5">
        <w:rPr>
          <w:rFonts w:hint="eastAsia"/>
        </w:rPr>
        <w:t>。</w:t>
      </w:r>
    </w:p>
    <w:p w:rsidR="00FD73A5" w:rsidRDefault="00FD73A5" w:rsidP="00FD73A5">
      <w:pPr>
        <w:ind w:firstLine="420"/>
        <w:rPr>
          <w:rFonts w:hint="eastAsia"/>
        </w:rPr>
      </w:pPr>
    </w:p>
    <w:p w:rsidR="00175F98" w:rsidRDefault="00175F98" w:rsidP="0085008F">
      <w:pPr>
        <w:ind w:firstLine="420"/>
      </w:pPr>
      <w:r>
        <w:rPr>
          <w:noProof/>
        </w:rPr>
        <w:lastRenderedPageBreak/>
        <w:drawing>
          <wp:inline distT="0" distB="0" distL="0" distR="0" wp14:anchorId="71EF52BB" wp14:editId="5F26E4E0">
            <wp:extent cx="3722703" cy="2225615"/>
            <wp:effectExtent l="0" t="0" r="0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201" cy="22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A5" w:rsidRDefault="00FD73A5" w:rsidP="0085008F">
      <w:pPr>
        <w:ind w:firstLine="420"/>
      </w:pPr>
      <w:r>
        <w:rPr>
          <w:rFonts w:hint="eastAsia"/>
        </w:rPr>
        <w:t>同时全天候当前模型的累计盈亏曲线如下图，其中商品期货曲线为</w:t>
      </w:r>
      <w:r w:rsidRPr="00A6443A">
        <w:rPr>
          <w:rFonts w:hint="eastAsia"/>
          <w:b/>
        </w:rPr>
        <w:t>红色</w:t>
      </w:r>
      <w:r>
        <w:rPr>
          <w:rFonts w:hint="eastAsia"/>
        </w:rPr>
        <w:t>：</w:t>
      </w:r>
    </w:p>
    <w:p w:rsidR="00FD73A5" w:rsidRDefault="00FD73A5" w:rsidP="00FD73A5">
      <w:r>
        <w:rPr>
          <w:noProof/>
        </w:rPr>
        <w:drawing>
          <wp:inline distT="0" distB="0" distL="0" distR="0" wp14:anchorId="16ADC492" wp14:editId="6F3B058F">
            <wp:extent cx="3808621" cy="2355011"/>
            <wp:effectExtent l="0" t="0" r="19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071" cy="23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A5" w:rsidRDefault="00A6443A" w:rsidP="00FD73A5">
      <w:r>
        <w:tab/>
      </w:r>
      <w:r w:rsidR="004536AF">
        <w:t>可以看出</w:t>
      </w:r>
      <w:r w:rsidR="004536AF">
        <w:rPr>
          <w:rFonts w:hint="eastAsia"/>
        </w:rPr>
        <w:t>，两个模型中，</w:t>
      </w:r>
      <w:r w:rsidR="004536AF">
        <w:t>除了商品外</w:t>
      </w:r>
      <w:r w:rsidR="004536AF">
        <w:t>其他三种资产表现基本相同</w:t>
      </w:r>
      <w:r w:rsidR="004536AF">
        <w:rPr>
          <w:rFonts w:hint="eastAsia"/>
        </w:rPr>
        <w:t>。</w:t>
      </w:r>
      <w:r w:rsidR="00814644">
        <w:t>而全天候当前模型里商品的表现</w:t>
      </w:r>
      <w:r w:rsidR="00814644">
        <w:rPr>
          <w:rFonts w:hint="eastAsia"/>
        </w:rPr>
        <w:t>，</w:t>
      </w:r>
      <w:r w:rsidR="00814644">
        <w:t>比本文模型商品的表现好出很多</w:t>
      </w:r>
      <w:r w:rsidR="00814644">
        <w:rPr>
          <w:rFonts w:hint="eastAsia"/>
        </w:rPr>
        <w:t>，</w:t>
      </w:r>
      <w:r w:rsidR="00814644">
        <w:t>本文模型的商品在</w:t>
      </w:r>
      <w:r w:rsidR="00814644">
        <w:rPr>
          <w:rFonts w:hint="eastAsia"/>
        </w:rPr>
        <w:t>17</w:t>
      </w:r>
      <w:r w:rsidR="00814644">
        <w:rPr>
          <w:rFonts w:hint="eastAsia"/>
        </w:rPr>
        <w:t>年</w:t>
      </w:r>
      <w:r w:rsidR="00814644">
        <w:rPr>
          <w:rFonts w:hint="eastAsia"/>
        </w:rPr>
        <w:t>3</w:t>
      </w:r>
      <w:r w:rsidR="00814644">
        <w:rPr>
          <w:rFonts w:hint="eastAsia"/>
        </w:rPr>
        <w:t>月后开始遭遇严重的回撤，直到</w:t>
      </w:r>
      <w:r w:rsidR="00814644">
        <w:rPr>
          <w:rFonts w:hint="eastAsia"/>
        </w:rPr>
        <w:t>6</w:t>
      </w:r>
      <w:r w:rsidR="00814644">
        <w:rPr>
          <w:rFonts w:hint="eastAsia"/>
        </w:rPr>
        <w:t>月份才有所好转。</w:t>
      </w:r>
    </w:p>
    <w:p w:rsidR="00F8765C" w:rsidRDefault="00F8765C" w:rsidP="00FD73A5">
      <w:pPr>
        <w:rPr>
          <w:rFonts w:hint="eastAsia"/>
        </w:rPr>
      </w:pPr>
      <w:r>
        <w:tab/>
      </w:r>
      <w:r>
        <w:t>拆开来看各品种的累计盈亏</w:t>
      </w:r>
      <w:r>
        <w:rPr>
          <w:rFonts w:hint="eastAsia"/>
        </w:rPr>
        <w:t>，可得知本文期货的策略，</w:t>
      </w:r>
      <w:r>
        <w:t>单边</w:t>
      </w:r>
      <w:r>
        <w:t>c</w:t>
      </w:r>
      <w:r>
        <w:t>值多空的盈利过于依赖个别品种的涨幅</w:t>
      </w:r>
      <w:r>
        <w:rPr>
          <w:rFonts w:hint="eastAsia"/>
        </w:rPr>
        <w:t>。</w:t>
      </w:r>
    </w:p>
    <w:p w:rsidR="00291127" w:rsidRDefault="00291127" w:rsidP="00FD73A5">
      <w:r>
        <w:tab/>
      </w:r>
      <w:r w:rsidR="00F8765C">
        <w:rPr>
          <w:noProof/>
        </w:rPr>
        <w:drawing>
          <wp:inline distT="0" distB="0" distL="0" distR="0" wp14:anchorId="0AF258FC" wp14:editId="2CF70002">
            <wp:extent cx="5274310" cy="2247900"/>
            <wp:effectExtent l="0" t="0" r="254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8765C" w:rsidRDefault="00F8765C" w:rsidP="00FD73A5">
      <w:r>
        <w:t>三</w:t>
      </w:r>
      <w:r>
        <w:rPr>
          <w:rFonts w:hint="eastAsia"/>
        </w:rPr>
        <w:t>、</w:t>
      </w:r>
      <w:r>
        <w:t>结论</w:t>
      </w:r>
    </w:p>
    <w:p w:rsidR="00F8765C" w:rsidRDefault="00F8765C" w:rsidP="00FD73A5">
      <w:r>
        <w:lastRenderedPageBreak/>
        <w:tab/>
      </w:r>
      <w:r>
        <w:t>总的来说</w:t>
      </w:r>
      <w:r>
        <w:rPr>
          <w:rFonts w:hint="eastAsia"/>
        </w:rPr>
        <w:t>，</w:t>
      </w:r>
      <w:r>
        <w:t>在全天候</w:t>
      </w:r>
      <w:r>
        <w:t>LLT</w:t>
      </w:r>
      <w:r>
        <w:t>框架下</w:t>
      </w:r>
      <w:r>
        <w:rPr>
          <w:rFonts w:hint="eastAsia"/>
        </w:rPr>
        <w:t>，</w:t>
      </w:r>
      <w:r>
        <w:t>由</w:t>
      </w:r>
      <w:r>
        <w:t>LLT</w:t>
      </w:r>
      <w:r>
        <w:t>给出择时方向</w:t>
      </w:r>
      <w:r>
        <w:rPr>
          <w:rFonts w:hint="eastAsia"/>
        </w:rPr>
        <w:t>，</w:t>
      </w:r>
      <w:r>
        <w:t>再利用</w:t>
      </w:r>
      <w:r>
        <w:t>C</w:t>
      </w:r>
      <w:proofErr w:type="gramStart"/>
      <w:r>
        <w:t>值表选取</w:t>
      </w:r>
      <w:proofErr w:type="gramEnd"/>
      <w:r>
        <w:t>商品品种交易的策略</w:t>
      </w:r>
      <w:r>
        <w:rPr>
          <w:rFonts w:hint="eastAsia"/>
        </w:rPr>
        <w:t>，</w:t>
      </w:r>
      <w:r>
        <w:t>与现有策略想比较优势不大</w:t>
      </w:r>
      <w:r>
        <w:rPr>
          <w:rFonts w:hint="eastAsia"/>
        </w:rPr>
        <w:t>。</w:t>
      </w:r>
    </w:p>
    <w:p w:rsidR="00F8765C" w:rsidRDefault="00883E9B" w:rsidP="00FD73A5">
      <w:pPr>
        <w:rPr>
          <w:rFonts w:hint="eastAsia"/>
        </w:rPr>
      </w:pPr>
      <w:r>
        <w:tab/>
      </w:r>
      <w:r>
        <w:t>如果要在全天候中复制近来期现套利的业绩</w:t>
      </w:r>
      <w:r>
        <w:rPr>
          <w:rFonts w:hint="eastAsia"/>
        </w:rPr>
        <w:t>，</w:t>
      </w:r>
      <w:r>
        <w:t>可以将全天候中商品的多空完全交给期限结构</w:t>
      </w:r>
      <w:r>
        <w:rPr>
          <w:rFonts w:hint="eastAsia"/>
        </w:rPr>
        <w:t>，</w:t>
      </w:r>
      <w:proofErr w:type="gramStart"/>
      <w:r>
        <w:t>不再于</w:t>
      </w:r>
      <w:proofErr w:type="gramEnd"/>
      <w:r>
        <w:t>LLT</w:t>
      </w:r>
      <w:r>
        <w:t>多空之间选择</w:t>
      </w:r>
      <w:r>
        <w:rPr>
          <w:rFonts w:hint="eastAsia"/>
        </w:rPr>
        <w:t>。</w:t>
      </w:r>
    </w:p>
    <w:sectPr w:rsidR="00F8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A1"/>
    <w:rsid w:val="00115D19"/>
    <w:rsid w:val="00175F98"/>
    <w:rsid w:val="002669C6"/>
    <w:rsid w:val="00291127"/>
    <w:rsid w:val="002A7524"/>
    <w:rsid w:val="004536AF"/>
    <w:rsid w:val="00527338"/>
    <w:rsid w:val="00700BA1"/>
    <w:rsid w:val="007C6FE4"/>
    <w:rsid w:val="00814644"/>
    <w:rsid w:val="0085008F"/>
    <w:rsid w:val="00883E9B"/>
    <w:rsid w:val="009D1A49"/>
    <w:rsid w:val="00A6443A"/>
    <w:rsid w:val="00B61372"/>
    <w:rsid w:val="00F8765C"/>
    <w:rsid w:val="00F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EB12-99AE-41FF-9B2E-D28A8322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24179;&#20215;&#22810;&#31354;\FourAssetLastPxCYield\&#26399;&#38480;&#32467;&#26500;&#21152;&#20837;&#20840;&#22825;&#20505;&#19982;&#21542;&#30340;&#27604;&#3673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各品种累计盈亏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分品种!$C$2:$AI$2</c:f>
              <c:strCache>
                <c:ptCount val="33"/>
                <c:pt idx="0">
                  <c:v>'ZC.CZC'</c:v>
                </c:pt>
                <c:pt idx="1">
                  <c:v>'I.DCE'</c:v>
                </c:pt>
                <c:pt idx="2">
                  <c:v>'A.DCE'</c:v>
                </c:pt>
                <c:pt idx="3">
                  <c:v>'BU.SHF'</c:v>
                </c:pt>
                <c:pt idx="4">
                  <c:v>'RB.SHF'</c:v>
                </c:pt>
                <c:pt idx="5">
                  <c:v>'P.DCE'</c:v>
                </c:pt>
                <c:pt idx="6">
                  <c:v>'RU.SHF'</c:v>
                </c:pt>
                <c:pt idx="7">
                  <c:v>'HC.SHF'</c:v>
                </c:pt>
                <c:pt idx="8">
                  <c:v>'M.DCE'</c:v>
                </c:pt>
                <c:pt idx="9">
                  <c:v>'MA.CZC'</c:v>
                </c:pt>
                <c:pt idx="10">
                  <c:v>'J.DCE'</c:v>
                </c:pt>
                <c:pt idx="11">
                  <c:v>'JD.DCE'</c:v>
                </c:pt>
                <c:pt idx="12">
                  <c:v>'JM.DCE'</c:v>
                </c:pt>
                <c:pt idx="13">
                  <c:v>'TA.CZC'</c:v>
                </c:pt>
                <c:pt idx="14">
                  <c:v>'CF.CZC'</c:v>
                </c:pt>
                <c:pt idx="15">
                  <c:v>'AL.SHF'</c:v>
                </c:pt>
                <c:pt idx="16">
                  <c:v>'RM.CZC'</c:v>
                </c:pt>
                <c:pt idx="17">
                  <c:v>'OI.CZC'</c:v>
                </c:pt>
                <c:pt idx="18">
                  <c:v>'AG.SHF'</c:v>
                </c:pt>
                <c:pt idx="19">
                  <c:v>'L.DCE'</c:v>
                </c:pt>
                <c:pt idx="20">
                  <c:v>'FG.CZC'</c:v>
                </c:pt>
                <c:pt idx="21">
                  <c:v>'NI.SHF'</c:v>
                </c:pt>
                <c:pt idx="22">
                  <c:v>'ZN.SHF'</c:v>
                </c:pt>
                <c:pt idx="23">
                  <c:v>'PP.DCE'</c:v>
                </c:pt>
                <c:pt idx="24">
                  <c:v>'CS.DCE'</c:v>
                </c:pt>
                <c:pt idx="25">
                  <c:v>'SR.CZC'</c:v>
                </c:pt>
                <c:pt idx="26">
                  <c:v>'V.DCE'</c:v>
                </c:pt>
                <c:pt idx="27">
                  <c:v>'C.DCE'</c:v>
                </c:pt>
                <c:pt idx="28">
                  <c:v>'PB.SHF'</c:v>
                </c:pt>
                <c:pt idx="29">
                  <c:v>'CU.SHF'</c:v>
                </c:pt>
                <c:pt idx="30">
                  <c:v>'Y.DCE'</c:v>
                </c:pt>
                <c:pt idx="31">
                  <c:v>'SN.SHF'</c:v>
                </c:pt>
                <c:pt idx="32">
                  <c:v>'AU.SHF'</c:v>
                </c:pt>
              </c:strCache>
            </c:strRef>
          </c:cat>
          <c:val>
            <c:numRef>
              <c:f>分品种!$C$257:$AI$257</c:f>
              <c:numCache>
                <c:formatCode>General</c:formatCode>
                <c:ptCount val="33"/>
                <c:pt idx="0">
                  <c:v>27442.02</c:v>
                </c:pt>
                <c:pt idx="1">
                  <c:v>123180.35</c:v>
                </c:pt>
                <c:pt idx="2">
                  <c:v>-3176.1</c:v>
                </c:pt>
                <c:pt idx="3">
                  <c:v>362.69</c:v>
                </c:pt>
                <c:pt idx="4">
                  <c:v>4391.13</c:v>
                </c:pt>
                <c:pt idx="5">
                  <c:v>20275.02</c:v>
                </c:pt>
                <c:pt idx="6">
                  <c:v>-51336.75</c:v>
                </c:pt>
                <c:pt idx="7">
                  <c:v>-10119.07</c:v>
                </c:pt>
                <c:pt idx="8">
                  <c:v>-12181.485000000001</c:v>
                </c:pt>
                <c:pt idx="9">
                  <c:v>-9297.8700000000008</c:v>
                </c:pt>
                <c:pt idx="10">
                  <c:v>23722.025000000001</c:v>
                </c:pt>
                <c:pt idx="11">
                  <c:v>-4712.16</c:v>
                </c:pt>
                <c:pt idx="12">
                  <c:v>11888.79</c:v>
                </c:pt>
                <c:pt idx="13">
                  <c:v>-9441.35</c:v>
                </c:pt>
                <c:pt idx="14">
                  <c:v>6077.85</c:v>
                </c:pt>
                <c:pt idx="15">
                  <c:v>6133.2875000000004</c:v>
                </c:pt>
                <c:pt idx="16">
                  <c:v>-14520.645</c:v>
                </c:pt>
                <c:pt idx="17">
                  <c:v>-3784.01</c:v>
                </c:pt>
                <c:pt idx="18">
                  <c:v>-13708.53</c:v>
                </c:pt>
                <c:pt idx="19">
                  <c:v>-6024.4</c:v>
                </c:pt>
                <c:pt idx="20">
                  <c:v>21776.38</c:v>
                </c:pt>
                <c:pt idx="21">
                  <c:v>0</c:v>
                </c:pt>
                <c:pt idx="22">
                  <c:v>0</c:v>
                </c:pt>
                <c:pt idx="23">
                  <c:v>1811.6875</c:v>
                </c:pt>
                <c:pt idx="24">
                  <c:v>-4806.09</c:v>
                </c:pt>
                <c:pt idx="25">
                  <c:v>-787.86</c:v>
                </c:pt>
                <c:pt idx="26">
                  <c:v>-15505.4625</c:v>
                </c:pt>
                <c:pt idx="27">
                  <c:v>8569.4699999999993</c:v>
                </c:pt>
                <c:pt idx="28">
                  <c:v>0</c:v>
                </c:pt>
                <c:pt idx="29">
                  <c:v>3735.8</c:v>
                </c:pt>
                <c:pt idx="30">
                  <c:v>1550.73</c:v>
                </c:pt>
                <c:pt idx="31">
                  <c:v>0</c:v>
                </c:pt>
                <c:pt idx="3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768213544"/>
        <c:axId val="495530832"/>
      </c:barChart>
      <c:catAx>
        <c:axId val="768213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530832"/>
        <c:crosses val="autoZero"/>
        <c:auto val="1"/>
        <c:lblAlgn val="ctr"/>
        <c:lblOffset val="100"/>
        <c:noMultiLvlLbl val="0"/>
      </c:catAx>
      <c:valAx>
        <c:axId val="49553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8213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5</cp:revision>
  <dcterms:created xsi:type="dcterms:W3CDTF">2017-07-27T03:22:00Z</dcterms:created>
  <dcterms:modified xsi:type="dcterms:W3CDTF">2017-07-27T08:34:00Z</dcterms:modified>
</cp:coreProperties>
</file>