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F84" w:rsidRDefault="00A27F84" w:rsidP="00A27F84">
      <w:pPr>
        <w:rPr>
          <w:rFonts w:hint="eastAsia"/>
        </w:rPr>
      </w:pPr>
      <w:r>
        <w:t>一</w:t>
      </w:r>
      <w:r>
        <w:rPr>
          <w:rFonts w:hint="eastAsia"/>
        </w:rPr>
        <w:t>、</w:t>
      </w:r>
      <w:r>
        <w:t>策略介绍</w:t>
      </w:r>
    </w:p>
    <w:p w:rsidR="007A0EA1" w:rsidRDefault="004F6D7A" w:rsidP="005B0AB0">
      <w:pPr>
        <w:ind w:firstLine="420"/>
      </w:pPr>
      <w:r>
        <w:t>波动率是风险的度量</w:t>
      </w:r>
      <w:r w:rsidR="00BE05DE">
        <w:rPr>
          <w:rFonts w:hint="eastAsia"/>
        </w:rPr>
        <w:t>，</w:t>
      </w:r>
      <w:r w:rsidR="001A6AF3">
        <w:t>本文测试单向波动率差值择时的效果</w:t>
      </w:r>
      <w:r w:rsidR="00BE05DE">
        <w:rPr>
          <w:rFonts w:hint="eastAsia"/>
        </w:rPr>
        <w:t>。单向波动率就是带符号的波动率，某天指数涨了，波动率就是正的，相反就是负的。</w:t>
      </w:r>
    </w:p>
    <w:p w:rsidR="007A0EA1" w:rsidRDefault="007A0EA1" w:rsidP="005B0AB0">
      <w:pPr>
        <w:ind w:firstLine="420"/>
      </w:pPr>
      <w:r>
        <w:t>坤健之前已经做过了单向波动率研究</w:t>
      </w:r>
      <w:r>
        <w:rPr>
          <w:rFonts w:hint="eastAsia"/>
        </w:rPr>
        <w:t>，</w:t>
      </w:r>
      <w:r>
        <w:t>所以</w:t>
      </w:r>
      <w:r w:rsidR="00A36DEC">
        <w:rPr>
          <w:rFonts w:hint="eastAsia"/>
        </w:rPr>
        <w:t>本文</w:t>
      </w:r>
      <w:r w:rsidR="00A36DEC">
        <w:t>换一种思路来研究单向波动率</w:t>
      </w:r>
      <w:r w:rsidR="00A36DEC">
        <w:rPr>
          <w:rFonts w:hint="eastAsia"/>
        </w:rPr>
        <w:t>，</w:t>
      </w:r>
      <w:r w:rsidR="00A36DEC">
        <w:t>看一看更简单的逻辑</w:t>
      </w:r>
      <w:r w:rsidR="00D27C45">
        <w:t>在全天候产品的框架下</w:t>
      </w:r>
      <w:r w:rsidR="00A36DEC">
        <w:t>是否有效</w:t>
      </w:r>
      <w:r w:rsidR="00A36DEC">
        <w:rPr>
          <w:rFonts w:hint="eastAsia"/>
        </w:rPr>
        <w:t>。</w:t>
      </w:r>
      <w:r w:rsidR="007F153F">
        <w:t xml:space="preserve"> </w:t>
      </w:r>
    </w:p>
    <w:p w:rsidR="005B0AB0" w:rsidRDefault="005B0AB0" w:rsidP="005B0AB0">
      <w:pPr>
        <w:ind w:firstLine="420"/>
        <w:rPr>
          <w:rFonts w:hint="eastAsia"/>
        </w:rPr>
      </w:pPr>
      <w:r>
        <w:t>在</w:t>
      </w:r>
      <w:r w:rsidR="00E978DD">
        <w:t>通联</w:t>
      </w:r>
      <w:r>
        <w:t>上</w:t>
      </w:r>
      <w:r>
        <w:rPr>
          <w:rFonts w:hint="eastAsia"/>
        </w:rPr>
        <w:t>《</w:t>
      </w:r>
      <w:r w:rsidRPr="005B0AB0">
        <w:rPr>
          <w:rFonts w:hint="eastAsia"/>
        </w:rPr>
        <w:t>单向波动率指数择时</w:t>
      </w:r>
      <w:r>
        <w:rPr>
          <w:rFonts w:hint="eastAsia"/>
        </w:rPr>
        <w:t>》一文中，作者用</w:t>
      </w:r>
      <w:r w:rsidR="009A5256">
        <w:rPr>
          <w:rFonts w:ascii="Courier New" w:hAnsi="Courier New" w:cs="Courier New"/>
          <w:color w:val="000000"/>
          <w:kern w:val="0"/>
          <w:sz w:val="20"/>
          <w:szCs w:val="20"/>
        </w:rPr>
        <w:t>MA_LEN(40)</w:t>
      </w:r>
      <w:r w:rsidR="009A5256">
        <w:rPr>
          <w:rFonts w:ascii="Courier New" w:hAnsi="Courier New" w:cs="Courier New"/>
          <w:color w:val="000000"/>
          <w:kern w:val="0"/>
          <w:sz w:val="20"/>
          <w:szCs w:val="20"/>
        </w:rPr>
        <w:t>天</w:t>
      </w:r>
      <w:r>
        <w:rPr>
          <w:rFonts w:hint="eastAsia"/>
        </w:rPr>
        <w:t>MA</w:t>
      </w:r>
      <w:r>
        <w:rPr>
          <w:rFonts w:hint="eastAsia"/>
        </w:rPr>
        <w:t>平滑单向波动率曲线，经过一系列的比较和观察后，作出假设：</w:t>
      </w:r>
      <w:r>
        <w:rPr>
          <w:rFonts w:hint="eastAsia"/>
        </w:rPr>
        <w:t xml:space="preserve"> </w:t>
      </w:r>
    </w:p>
    <w:p w:rsidR="005B0AB0" w:rsidRDefault="005B0AB0" w:rsidP="005B0AB0">
      <w:pPr>
        <w:ind w:firstLine="420"/>
        <w:rPr>
          <w:rFonts w:hint="eastAsia"/>
        </w:rPr>
      </w:pPr>
      <w:r>
        <w:rPr>
          <w:rFonts w:hint="eastAsia"/>
        </w:rPr>
        <w:t>当单向波动率小于</w:t>
      </w:r>
      <w:r>
        <w:rPr>
          <w:rFonts w:hint="eastAsia"/>
        </w:rPr>
        <w:t>0</w:t>
      </w:r>
      <w:r>
        <w:rPr>
          <w:rFonts w:hint="eastAsia"/>
        </w:rPr>
        <w:t>时，意味着市场的“负向”波动率占主体，直到变为正的为止</w:t>
      </w:r>
      <w:r>
        <w:rPr>
          <w:rFonts w:hint="eastAsia"/>
        </w:rPr>
        <w:t>；</w:t>
      </w:r>
    </w:p>
    <w:p w:rsidR="005B0AB0" w:rsidRDefault="005B0AB0" w:rsidP="005B0AB0">
      <w:pPr>
        <w:ind w:firstLine="420"/>
      </w:pPr>
      <w:r>
        <w:rPr>
          <w:rFonts w:hint="eastAsia"/>
        </w:rPr>
        <w:t>当单向波动率大于</w:t>
      </w:r>
      <w:r>
        <w:rPr>
          <w:rFonts w:hint="eastAsia"/>
        </w:rPr>
        <w:t>0</w:t>
      </w:r>
      <w:r>
        <w:rPr>
          <w:rFonts w:hint="eastAsia"/>
        </w:rPr>
        <w:t>时，意味着市场的“正向”波动率占主体，直到变为负的为止</w:t>
      </w:r>
      <w:r>
        <w:rPr>
          <w:rFonts w:hint="eastAsia"/>
        </w:rPr>
        <w:t>。</w:t>
      </w:r>
    </w:p>
    <w:p w:rsidR="00E978DD" w:rsidRDefault="005B0AB0" w:rsidP="009A5256">
      <w:pPr>
        <w:ind w:firstLine="420"/>
      </w:pPr>
      <w:r>
        <w:t>所以作者认为可以在</w:t>
      </w:r>
      <w:r w:rsidRPr="005B0AB0">
        <w:rPr>
          <w:rFonts w:hint="eastAsia"/>
        </w:rPr>
        <w:t>单向波动率为正时持有指数，为负时空仓。</w:t>
      </w:r>
      <w:r>
        <w:rPr>
          <w:rFonts w:hint="eastAsia"/>
        </w:rPr>
        <w:t>直接使用这样的方法太过于武断</w:t>
      </w:r>
      <w:r w:rsidR="009A5256">
        <w:rPr>
          <w:rFonts w:hint="eastAsia"/>
        </w:rPr>
        <w:t>，应当区分大盘“反转”“趋势”“震荡”三种情况。</w:t>
      </w:r>
    </w:p>
    <w:p w:rsidR="009A5256" w:rsidRDefault="009A5256" w:rsidP="009A5256">
      <w:pPr>
        <w:ind w:firstLine="420"/>
        <w:rPr>
          <w:rFonts w:hint="eastAsia"/>
        </w:rPr>
      </w:pPr>
      <w:r>
        <w:rPr>
          <w:rFonts w:hint="eastAsia"/>
        </w:rPr>
        <w:t>故作者加入规则，当</w:t>
      </w:r>
      <w:r w:rsidRPr="009A5256">
        <w:t>MA_LEN(40)</w:t>
      </w:r>
      <w:r>
        <w:t>天累计收益率超过阈值</w:t>
      </w:r>
      <w:r w:rsidRPr="001A6AF3">
        <w:t>THRESHOLD</w:t>
      </w:r>
      <w:r w:rsidR="00E978DD">
        <w:rPr>
          <w:rFonts w:hint="eastAsia"/>
        </w:rPr>
        <w:t>，</w:t>
      </w:r>
      <w:r w:rsidR="00E978DD">
        <w:t>策略视为趋势</w:t>
      </w:r>
      <w:r w:rsidR="00E978DD">
        <w:rPr>
          <w:rFonts w:hint="eastAsia"/>
        </w:rPr>
        <w:t>，</w:t>
      </w:r>
      <w:r w:rsidR="00E978DD">
        <w:t>如果此时单向波动率为正</w:t>
      </w:r>
      <w:r w:rsidR="00E978DD">
        <w:rPr>
          <w:rFonts w:hint="eastAsia"/>
        </w:rPr>
        <w:t>，</w:t>
      </w:r>
      <w:r w:rsidR="00E978DD">
        <w:t>就做多</w:t>
      </w:r>
      <w:r w:rsidR="00E978DD">
        <w:rPr>
          <w:rFonts w:hint="eastAsia"/>
        </w:rPr>
        <w:t>；当累计收益率低于</w:t>
      </w:r>
      <w:r w:rsidR="00E978DD">
        <w:rPr>
          <w:rFonts w:hint="eastAsia"/>
        </w:rPr>
        <w:t>-</w:t>
      </w:r>
      <w:r w:rsidR="00E978DD" w:rsidRPr="001A6AF3">
        <w:t>THRESHOLD</w:t>
      </w:r>
      <w:r w:rsidR="00E978DD">
        <w:t>时</w:t>
      </w:r>
      <w:r w:rsidR="00E978DD">
        <w:rPr>
          <w:rFonts w:hint="eastAsia"/>
        </w:rPr>
        <w:t>，</w:t>
      </w:r>
      <w:r w:rsidR="00E978DD">
        <w:t>视市场为反转</w:t>
      </w:r>
      <w:r w:rsidR="00E978DD">
        <w:rPr>
          <w:rFonts w:hint="eastAsia"/>
        </w:rPr>
        <w:t>，</w:t>
      </w:r>
      <w:r w:rsidR="00E978DD">
        <w:t>当单向波动率差为负时做空</w:t>
      </w:r>
      <w:r w:rsidR="00E978DD">
        <w:rPr>
          <w:rFonts w:hint="eastAsia"/>
        </w:rPr>
        <w:t>。</w:t>
      </w:r>
      <w:r w:rsidR="00E978DD">
        <w:t>当累计收益率介于</w:t>
      </w:r>
      <w:r w:rsidR="00D27C45">
        <w:rPr>
          <w:rFonts w:hint="eastAsia"/>
        </w:rPr>
        <w:t>-</w:t>
      </w:r>
      <w:r w:rsidR="00D27C45" w:rsidRPr="001A6AF3">
        <w:t>THRESHOLD</w:t>
      </w:r>
      <w:r w:rsidR="00D27C45">
        <w:t>与</w:t>
      </w:r>
      <w:r w:rsidR="00D27C45" w:rsidRPr="001A6AF3">
        <w:t>THRESHOLD</w:t>
      </w:r>
      <w:r w:rsidR="00D27C45">
        <w:t>之间时</w:t>
      </w:r>
      <w:r w:rsidR="00D27C45">
        <w:rPr>
          <w:rFonts w:hint="eastAsia"/>
        </w:rPr>
        <w:t>，</w:t>
      </w:r>
      <w:r w:rsidR="00D27C45">
        <w:t>视为震荡</w:t>
      </w:r>
      <w:r w:rsidR="00D27C45">
        <w:rPr>
          <w:rFonts w:hint="eastAsia"/>
        </w:rPr>
        <w:t>，震荡时选择简单的持有资产。</w:t>
      </w:r>
    </w:p>
    <w:p w:rsidR="00A7501D" w:rsidRDefault="00A27F84" w:rsidP="00A7501D">
      <w:pPr>
        <w:rPr>
          <w:rFonts w:hint="eastAsia"/>
        </w:rPr>
      </w:pPr>
      <w:r>
        <w:t>二</w:t>
      </w:r>
      <w:r w:rsidR="00A7501D">
        <w:rPr>
          <w:rFonts w:hint="eastAsia"/>
        </w:rPr>
        <w:t>、</w:t>
      </w:r>
      <w:r w:rsidR="00A7501D">
        <w:t>样本内优化</w:t>
      </w:r>
    </w:p>
    <w:p w:rsidR="007F153F" w:rsidRDefault="00D27C45" w:rsidP="001A6AF3">
      <w:pPr>
        <w:autoSpaceDE w:val="0"/>
        <w:autoSpaceDN w:val="0"/>
        <w:adjustRightInd w:val="0"/>
        <w:ind w:firstLine="420"/>
        <w:jc w:val="left"/>
      </w:pPr>
      <w:r>
        <w:t>要保证四种资产的数据完整</w:t>
      </w:r>
      <w:r>
        <w:rPr>
          <w:rFonts w:hint="eastAsia"/>
        </w:rPr>
        <w:t>，</w:t>
      </w:r>
      <w:r w:rsidR="007F153F">
        <w:t>可供策略回测的时间为</w:t>
      </w:r>
      <w:r w:rsidR="007F153F">
        <w:rPr>
          <w:rFonts w:hint="eastAsia"/>
        </w:rPr>
        <w:t>2014</w:t>
      </w:r>
      <w:r w:rsidR="007F153F">
        <w:rPr>
          <w:rFonts w:hint="eastAsia"/>
        </w:rPr>
        <w:t>年</w:t>
      </w:r>
      <w:r w:rsidR="007F153F">
        <w:rPr>
          <w:rFonts w:hint="eastAsia"/>
        </w:rPr>
        <w:t>1</w:t>
      </w:r>
      <w:r w:rsidR="007F153F">
        <w:rPr>
          <w:rFonts w:hint="eastAsia"/>
        </w:rPr>
        <w:t>月</w:t>
      </w:r>
      <w:r w:rsidR="007F153F">
        <w:rPr>
          <w:rFonts w:hint="eastAsia"/>
        </w:rPr>
        <w:t>1</w:t>
      </w:r>
      <w:r w:rsidR="007F153F">
        <w:rPr>
          <w:rFonts w:hint="eastAsia"/>
        </w:rPr>
        <w:t>日至</w:t>
      </w:r>
      <w:r w:rsidR="007F153F">
        <w:rPr>
          <w:rFonts w:hint="eastAsia"/>
        </w:rPr>
        <w:t>2017</w:t>
      </w:r>
      <w:r w:rsidR="007F153F">
        <w:rPr>
          <w:rFonts w:hint="eastAsia"/>
        </w:rPr>
        <w:t>年</w:t>
      </w:r>
      <w:r w:rsidR="007F153F">
        <w:rPr>
          <w:rFonts w:hint="eastAsia"/>
        </w:rPr>
        <w:t>6</w:t>
      </w:r>
      <w:r w:rsidR="007F153F">
        <w:rPr>
          <w:rFonts w:hint="eastAsia"/>
        </w:rPr>
        <w:t>月</w:t>
      </w:r>
      <w:r w:rsidR="007F153F">
        <w:rPr>
          <w:rFonts w:hint="eastAsia"/>
        </w:rPr>
        <w:t>30</w:t>
      </w:r>
      <w:r w:rsidR="007F153F">
        <w:rPr>
          <w:rFonts w:hint="eastAsia"/>
        </w:rPr>
        <w:t>日，当前将</w:t>
      </w:r>
      <w:r w:rsidR="007F153F">
        <w:rPr>
          <w:rFonts w:hint="eastAsia"/>
        </w:rPr>
        <w:t>2014</w:t>
      </w:r>
      <w:r w:rsidR="007F153F">
        <w:rPr>
          <w:rFonts w:hint="eastAsia"/>
        </w:rPr>
        <w:t>年</w:t>
      </w:r>
      <w:r w:rsidR="007F153F">
        <w:rPr>
          <w:rFonts w:hint="eastAsia"/>
        </w:rPr>
        <w:t>1</w:t>
      </w:r>
      <w:r w:rsidR="007F153F">
        <w:rPr>
          <w:rFonts w:hint="eastAsia"/>
        </w:rPr>
        <w:t>月</w:t>
      </w:r>
      <w:r w:rsidR="007F153F">
        <w:rPr>
          <w:rFonts w:hint="eastAsia"/>
        </w:rPr>
        <w:t>1</w:t>
      </w:r>
      <w:r w:rsidR="007F153F">
        <w:rPr>
          <w:rFonts w:hint="eastAsia"/>
        </w:rPr>
        <w:t>日至</w:t>
      </w:r>
      <w:r w:rsidR="007F153F">
        <w:rPr>
          <w:rFonts w:hint="eastAsia"/>
        </w:rPr>
        <w:t>2015</w:t>
      </w:r>
      <w:r w:rsidR="007F153F">
        <w:rPr>
          <w:rFonts w:hint="eastAsia"/>
        </w:rPr>
        <w:t>年末作为样本内时间段，用来优化参数；将</w:t>
      </w:r>
      <w:r w:rsidR="007F153F">
        <w:rPr>
          <w:rFonts w:hint="eastAsia"/>
        </w:rPr>
        <w:t>2016</w:t>
      </w:r>
      <w:r w:rsidR="007F153F">
        <w:rPr>
          <w:rFonts w:hint="eastAsia"/>
        </w:rPr>
        <w:t>年初至今作为样本外时间段。</w:t>
      </w:r>
    </w:p>
    <w:p w:rsidR="001A6AF3" w:rsidRDefault="007F153F" w:rsidP="001A6AF3">
      <w:pPr>
        <w:autoSpaceDE w:val="0"/>
        <w:autoSpaceDN w:val="0"/>
        <w:adjustRightInd w:val="0"/>
        <w:ind w:firstLine="420"/>
        <w:jc w:val="left"/>
      </w:pPr>
      <w:r>
        <w:t>优化</w:t>
      </w:r>
      <w:r w:rsidR="001A6AF3">
        <w:t>参数是</w:t>
      </w:r>
      <w:r w:rsidR="001A6AF3" w:rsidRPr="001A6AF3">
        <w:t>THRESHOLD</w:t>
      </w:r>
      <w:r w:rsidR="001A6AF3">
        <w:rPr>
          <w:rFonts w:hint="eastAsia"/>
        </w:rPr>
        <w:t>，</w:t>
      </w:r>
      <w:r w:rsidR="001A6AF3">
        <w:t>其中有</w:t>
      </w:r>
      <w:r w:rsidR="001A6AF3">
        <w:rPr>
          <w:rFonts w:hint="eastAsia"/>
        </w:rPr>
        <w:t>4</w:t>
      </w:r>
      <w:r w:rsidR="001A6AF3">
        <w:rPr>
          <w:rFonts w:hint="eastAsia"/>
        </w:rPr>
        <w:t>个参数，作为衡量累计收益率的阈值。</w:t>
      </w:r>
      <w:r w:rsidR="00967BB6">
        <w:t>分别调整</w:t>
      </w:r>
      <w:r w:rsidR="001A6AF3">
        <w:t>每个参数</w:t>
      </w:r>
      <w:r w:rsidR="00967BB6">
        <w:rPr>
          <w:rFonts w:hint="eastAsia"/>
        </w:rPr>
        <w:t>直到最优。再测试在样本外的表现。</w:t>
      </w:r>
    </w:p>
    <w:p w:rsidR="00434331" w:rsidRDefault="00434331" w:rsidP="00434331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股</w:t>
      </w:r>
    </w:p>
    <w:p w:rsidR="00F5227B" w:rsidRDefault="0063261A" w:rsidP="00F5227B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>首先是</w:t>
      </w:r>
      <w:r>
        <w:rPr>
          <w:rFonts w:hint="eastAsia"/>
        </w:rPr>
        <w:t>A</w:t>
      </w:r>
      <w:r>
        <w:rPr>
          <w:rFonts w:hint="eastAsia"/>
        </w:rPr>
        <w:t>股参数测试，</w:t>
      </w:r>
      <w:r w:rsidR="00F5227B">
        <w:rPr>
          <w:rFonts w:hint="eastAsia"/>
        </w:rPr>
        <w:t>A</w:t>
      </w:r>
      <w:r w:rsidR="00F5227B">
        <w:rPr>
          <w:rFonts w:hint="eastAsia"/>
        </w:rPr>
        <w:t>股</w:t>
      </w:r>
      <w:r w:rsidR="00F5227B">
        <w:rPr>
          <w:rFonts w:ascii="Courier New" w:hAnsi="Courier New" w:cs="Courier New"/>
          <w:color w:val="000000"/>
          <w:kern w:val="0"/>
          <w:sz w:val="20"/>
          <w:szCs w:val="20"/>
        </w:rPr>
        <w:t>MA_LEN</w:t>
      </w:r>
      <w:r w:rsidR="00F5227B">
        <w:rPr>
          <w:rFonts w:ascii="Courier New" w:hAnsi="Courier New" w:cs="Courier New"/>
          <w:color w:val="000000"/>
          <w:kern w:val="0"/>
          <w:sz w:val="20"/>
          <w:szCs w:val="20"/>
        </w:rPr>
        <w:t>(40)</w:t>
      </w:r>
      <w:r w:rsidR="003B200F">
        <w:rPr>
          <w:rFonts w:ascii="Courier New" w:hAnsi="Courier New" w:cs="Courier New" w:hint="eastAsia"/>
          <w:color w:val="000000"/>
          <w:kern w:val="0"/>
          <w:sz w:val="20"/>
          <w:szCs w:val="20"/>
        </w:rPr>
        <w:t>天</w:t>
      </w:r>
      <w:r w:rsidR="00F5227B">
        <w:rPr>
          <w:rFonts w:ascii="Courier New" w:hAnsi="Courier New" w:cs="Courier New"/>
          <w:color w:val="000000"/>
          <w:kern w:val="0"/>
          <w:sz w:val="20"/>
          <w:szCs w:val="20"/>
        </w:rPr>
        <w:t>累计收益率</w:t>
      </w:r>
      <w:r w:rsidR="00F5227B">
        <w:rPr>
          <w:rFonts w:ascii="Courier New" w:hAnsi="Courier New" w:cs="Courier New" w:hint="eastAsia"/>
          <w:color w:val="000000"/>
          <w:kern w:val="0"/>
          <w:sz w:val="20"/>
          <w:szCs w:val="20"/>
        </w:rPr>
        <w:t>如图：</w:t>
      </w:r>
    </w:p>
    <w:p w:rsidR="00967BB6" w:rsidRDefault="0059735A" w:rsidP="00F5227B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AE05B5F" wp14:editId="6AEB21D7">
            <wp:extent cx="5274310" cy="3905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7B" w:rsidRDefault="00F5227B" w:rsidP="00F5227B">
      <w:pPr>
        <w:autoSpaceDE w:val="0"/>
        <w:autoSpaceDN w:val="0"/>
        <w:adjustRightInd w:val="0"/>
        <w:jc w:val="left"/>
      </w:pPr>
      <w:r>
        <w:tab/>
      </w:r>
      <w:r w:rsidR="0086456B">
        <w:rPr>
          <w:rFonts w:hint="eastAsia"/>
        </w:rPr>
        <w:t>第一行</w:t>
      </w:r>
      <w:r w:rsidR="0086456B">
        <w:rPr>
          <w:rFonts w:hint="eastAsia"/>
        </w:rPr>
        <w:t>是选定的</w:t>
      </w:r>
      <w:r>
        <w:rPr>
          <w:rFonts w:hint="eastAsia"/>
        </w:rPr>
        <w:t>阈值参数</w:t>
      </w:r>
      <w:r w:rsidR="0086456B">
        <w:rPr>
          <w:rFonts w:hint="eastAsia"/>
        </w:rPr>
        <w:t>，第二行是这个资产的最终累计收益率</w:t>
      </w:r>
      <w:r>
        <w:rPr>
          <w:rFonts w:hint="eastAsia"/>
        </w:rPr>
        <w:t>。</w:t>
      </w:r>
    </w:p>
    <w:p w:rsidR="0086456B" w:rsidRDefault="0086456B" w:rsidP="0086456B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8415DD9" wp14:editId="6E5D4DB0">
            <wp:extent cx="4038600" cy="542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7B" w:rsidRDefault="00434331" w:rsidP="00F5227B">
      <w:pPr>
        <w:autoSpaceDE w:val="0"/>
        <w:autoSpaceDN w:val="0"/>
        <w:adjustRightInd w:val="0"/>
        <w:jc w:val="left"/>
      </w:pPr>
      <w:r>
        <w:tab/>
      </w:r>
      <w:r>
        <w:rPr>
          <w:rFonts w:hint="eastAsia"/>
        </w:rPr>
        <w:t>结果</w:t>
      </w:r>
      <w:r w:rsidR="005D65CF">
        <w:rPr>
          <w:rFonts w:hint="eastAsia"/>
        </w:rPr>
        <w:t>大部分</w:t>
      </w:r>
      <w:r>
        <w:rPr>
          <w:rFonts w:hint="eastAsia"/>
        </w:rPr>
        <w:t>累计收益率相同</w:t>
      </w:r>
      <w:r w:rsidR="005D65CF">
        <w:rPr>
          <w:rFonts w:hint="eastAsia"/>
        </w:rPr>
        <w:t>，</w:t>
      </w:r>
      <w:r>
        <w:rPr>
          <w:rFonts w:hint="eastAsia"/>
        </w:rPr>
        <w:t>查看仓位得知，在当前规则下，股市</w:t>
      </w:r>
      <w:r w:rsidR="005D65CF">
        <w:rPr>
          <w:rFonts w:hint="eastAsia"/>
        </w:rPr>
        <w:t>多数情况下</w:t>
      </w:r>
      <w:r>
        <w:rPr>
          <w:rFonts w:hint="eastAsia"/>
        </w:rPr>
        <w:t>全程做多。</w:t>
      </w:r>
      <w:r w:rsidR="00CE51B4">
        <w:rPr>
          <w:rFonts w:hint="eastAsia"/>
        </w:rPr>
        <w:t>为了方便计算，我们认定</w:t>
      </w:r>
      <w:r w:rsidR="00CE51B4">
        <w:rPr>
          <w:rFonts w:hint="eastAsia"/>
        </w:rPr>
        <w:t>0.15</w:t>
      </w:r>
      <w:r w:rsidR="00CE51B4">
        <w:rPr>
          <w:rFonts w:hint="eastAsia"/>
        </w:rPr>
        <w:t>为最优的参数。</w:t>
      </w:r>
    </w:p>
    <w:p w:rsidR="00434331" w:rsidRDefault="00434331" w:rsidP="00F5227B">
      <w:pPr>
        <w:autoSpaceDE w:val="0"/>
        <w:autoSpaceDN w:val="0"/>
        <w:adjustRightInd w:val="0"/>
        <w:jc w:val="left"/>
        <w:rPr>
          <w:rFonts w:hint="eastAsia"/>
        </w:rPr>
      </w:pPr>
    </w:p>
    <w:p w:rsidR="00F5227B" w:rsidRDefault="00434331" w:rsidP="00434331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期货</w:t>
      </w:r>
    </w:p>
    <w:p w:rsidR="00434331" w:rsidRDefault="005D65CF" w:rsidP="00434331">
      <w:pPr>
        <w:autoSpaceDE w:val="0"/>
        <w:autoSpaceDN w:val="0"/>
        <w:adjustRightInd w:val="0"/>
        <w:ind w:left="360"/>
        <w:jc w:val="left"/>
      </w:pPr>
      <w:r>
        <w:rPr>
          <w:rFonts w:hint="eastAsia"/>
        </w:rPr>
        <w:t>关于南华商品指数，</w:t>
      </w:r>
      <w:r w:rsidR="00B407AB">
        <w:rPr>
          <w:rFonts w:ascii="Courier New" w:hAnsi="Courier New" w:cs="Courier New"/>
          <w:color w:val="000000"/>
          <w:kern w:val="0"/>
          <w:sz w:val="20"/>
          <w:szCs w:val="20"/>
        </w:rPr>
        <w:t>MA_LEN(40)</w:t>
      </w:r>
      <w:r w:rsidR="00B407AB">
        <w:rPr>
          <w:rFonts w:ascii="Courier New" w:hAnsi="Courier New" w:cs="Courier New"/>
          <w:color w:val="000000"/>
          <w:kern w:val="0"/>
          <w:sz w:val="20"/>
          <w:szCs w:val="20"/>
        </w:rPr>
        <w:t>天</w:t>
      </w:r>
      <w:r w:rsidR="00B407AB">
        <w:rPr>
          <w:rFonts w:hint="eastAsia"/>
        </w:rPr>
        <w:t>累计收益率图如图：</w:t>
      </w:r>
    </w:p>
    <w:p w:rsidR="00B407AB" w:rsidRDefault="0086456B" w:rsidP="00434331">
      <w:pPr>
        <w:autoSpaceDE w:val="0"/>
        <w:autoSpaceDN w:val="0"/>
        <w:adjustRightInd w:val="0"/>
        <w:ind w:left="360"/>
        <w:jc w:val="left"/>
      </w:pPr>
      <w:r>
        <w:rPr>
          <w:noProof/>
        </w:rPr>
        <w:drawing>
          <wp:inline distT="0" distB="0" distL="0" distR="0" wp14:anchorId="3EAA4BC6" wp14:editId="4835BEA3">
            <wp:extent cx="4723074" cy="3358354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5689" cy="337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20D" w:rsidRDefault="0035020D" w:rsidP="0035020D">
      <w:pPr>
        <w:autoSpaceDE w:val="0"/>
        <w:autoSpaceDN w:val="0"/>
        <w:adjustRightInd w:val="0"/>
        <w:ind w:firstLine="360"/>
        <w:jc w:val="left"/>
      </w:pPr>
      <w:r>
        <w:rPr>
          <w:rFonts w:hint="eastAsia"/>
        </w:rPr>
        <w:t>第一行是选定的阈值参数，第二行是这个资产的最终累计收益率。</w:t>
      </w:r>
    </w:p>
    <w:p w:rsidR="0086456B" w:rsidRPr="0035020D" w:rsidRDefault="0035020D" w:rsidP="00434331">
      <w:pPr>
        <w:autoSpaceDE w:val="0"/>
        <w:autoSpaceDN w:val="0"/>
        <w:adjustRightInd w:val="0"/>
        <w:ind w:left="36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1AB5AA4" wp14:editId="168E2326">
            <wp:extent cx="4029075" cy="514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7AB" w:rsidRDefault="0035020D" w:rsidP="00434331">
      <w:pPr>
        <w:autoSpaceDE w:val="0"/>
        <w:autoSpaceDN w:val="0"/>
        <w:adjustRightInd w:val="0"/>
        <w:ind w:left="360"/>
        <w:jc w:val="left"/>
      </w:pPr>
      <w:r>
        <w:rPr>
          <w:rFonts w:hint="eastAsia"/>
        </w:rPr>
        <w:t>各个参数下，期货表现都不尽人意，相比而言，阈值为</w:t>
      </w:r>
      <w:r>
        <w:rPr>
          <w:rFonts w:hint="eastAsia"/>
        </w:rPr>
        <w:t>0.025</w:t>
      </w:r>
      <w:r>
        <w:rPr>
          <w:rFonts w:hint="eastAsia"/>
        </w:rPr>
        <w:t>的时候期货表现最好。</w:t>
      </w:r>
    </w:p>
    <w:p w:rsidR="0035020D" w:rsidRDefault="003C0143" w:rsidP="003C0143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港股</w:t>
      </w:r>
    </w:p>
    <w:p w:rsidR="003C0143" w:rsidRPr="001470DA" w:rsidRDefault="001470DA" w:rsidP="001470DA">
      <w:pPr>
        <w:autoSpaceDE w:val="0"/>
        <w:autoSpaceDN w:val="0"/>
        <w:adjustRightInd w:val="0"/>
        <w:ind w:firstLine="360"/>
        <w:jc w:val="left"/>
        <w:rPr>
          <w:rFonts w:hint="eastAsia"/>
        </w:rPr>
      </w:pPr>
      <w:r>
        <w:rPr>
          <w:rFonts w:hint="eastAsia"/>
        </w:rPr>
        <w:t>关于恒生</w:t>
      </w:r>
      <w:r>
        <w:rPr>
          <w:rFonts w:hint="eastAsia"/>
        </w:rPr>
        <w:t>ETF</w:t>
      </w:r>
      <w:r>
        <w:rPr>
          <w:rFonts w:hint="eastAsia"/>
        </w:rPr>
        <w:t>，</w:t>
      </w:r>
      <w:r w:rsidRPr="001470DA">
        <w:rPr>
          <w:rFonts w:ascii="Courier New" w:hAnsi="Courier New" w:cs="Courier New"/>
          <w:color w:val="000000"/>
          <w:kern w:val="0"/>
          <w:sz w:val="20"/>
          <w:szCs w:val="20"/>
        </w:rPr>
        <w:t>MA_LEN(40)</w:t>
      </w:r>
      <w:r w:rsidRPr="001470DA">
        <w:rPr>
          <w:rFonts w:ascii="Courier New" w:hAnsi="Courier New" w:cs="Courier New"/>
          <w:color w:val="000000"/>
          <w:kern w:val="0"/>
          <w:sz w:val="20"/>
          <w:szCs w:val="20"/>
        </w:rPr>
        <w:t>天</w:t>
      </w:r>
      <w:r>
        <w:rPr>
          <w:rFonts w:hint="eastAsia"/>
        </w:rPr>
        <w:t>累计收益率图如图：</w:t>
      </w:r>
    </w:p>
    <w:p w:rsidR="0035020D" w:rsidRDefault="0035020D" w:rsidP="00434331">
      <w:pPr>
        <w:autoSpaceDE w:val="0"/>
        <w:autoSpaceDN w:val="0"/>
        <w:adjustRightInd w:val="0"/>
        <w:ind w:left="360"/>
        <w:jc w:val="left"/>
      </w:pPr>
      <w:r>
        <w:rPr>
          <w:noProof/>
        </w:rPr>
        <w:lastRenderedPageBreak/>
        <w:drawing>
          <wp:inline distT="0" distB="0" distL="0" distR="0" wp14:anchorId="27F89801" wp14:editId="48E40864">
            <wp:extent cx="4772025" cy="37242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0DA" w:rsidRDefault="001470DA" w:rsidP="001470DA">
      <w:pPr>
        <w:autoSpaceDE w:val="0"/>
        <w:autoSpaceDN w:val="0"/>
        <w:adjustRightInd w:val="0"/>
        <w:ind w:firstLine="360"/>
        <w:jc w:val="left"/>
      </w:pPr>
      <w:r>
        <w:rPr>
          <w:rFonts w:hint="eastAsia"/>
        </w:rPr>
        <w:t>第一行是选定的阈值参数，第二行是这个资产的最终累计收益率。</w:t>
      </w:r>
    </w:p>
    <w:p w:rsidR="001470DA" w:rsidRDefault="001470DA" w:rsidP="00434331">
      <w:pPr>
        <w:autoSpaceDE w:val="0"/>
        <w:autoSpaceDN w:val="0"/>
        <w:adjustRightInd w:val="0"/>
        <w:ind w:left="360"/>
        <w:jc w:val="left"/>
      </w:pPr>
      <w:r>
        <w:rPr>
          <w:noProof/>
        </w:rPr>
        <w:drawing>
          <wp:inline distT="0" distB="0" distL="0" distR="0" wp14:anchorId="6BC08E2D" wp14:editId="580FCB04">
            <wp:extent cx="4048125" cy="5429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0DA" w:rsidRDefault="001470DA" w:rsidP="00434331">
      <w:pPr>
        <w:autoSpaceDE w:val="0"/>
        <w:autoSpaceDN w:val="0"/>
        <w:adjustRightInd w:val="0"/>
        <w:ind w:left="360"/>
        <w:jc w:val="left"/>
        <w:rPr>
          <w:rFonts w:hint="eastAsia"/>
        </w:rPr>
      </w:pPr>
      <w:r>
        <w:tab/>
      </w:r>
      <w:r>
        <w:tab/>
      </w:r>
      <w:r>
        <w:t>可见阈值为</w:t>
      </w:r>
      <w:r>
        <w:rPr>
          <w:rFonts w:hint="eastAsia"/>
        </w:rPr>
        <w:t>0.125</w:t>
      </w:r>
      <w:r>
        <w:rPr>
          <w:rFonts w:hint="eastAsia"/>
        </w:rPr>
        <w:t>时，累计收益率最高。</w:t>
      </w:r>
      <w:r>
        <w:rPr>
          <w:noProof/>
        </w:rPr>
        <w:drawing>
          <wp:inline distT="0" distB="0" distL="0" distR="0" wp14:anchorId="52D540BC" wp14:editId="478B04FE">
            <wp:extent cx="4299710" cy="1789044"/>
            <wp:effectExtent l="0" t="0" r="571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7620" cy="179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3C" w:rsidRDefault="001470DA" w:rsidP="00B3703C">
      <w:pPr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t>从恒生</w:t>
      </w:r>
      <w:r>
        <w:rPr>
          <w:rFonts w:hint="eastAsia"/>
        </w:rPr>
        <w:t>ETF</w:t>
      </w:r>
      <w:r>
        <w:rPr>
          <w:rFonts w:hint="eastAsia"/>
        </w:rPr>
        <w:t>的</w:t>
      </w:r>
      <w:r w:rsidRPr="001470DA">
        <w:rPr>
          <w:rFonts w:ascii="Courier New" w:hAnsi="Courier New" w:cs="Courier New"/>
          <w:color w:val="000000"/>
          <w:kern w:val="0"/>
          <w:sz w:val="20"/>
          <w:szCs w:val="20"/>
        </w:rPr>
        <w:t>MA_LEN(40)</w:t>
      </w:r>
      <w:r w:rsidRPr="001470DA">
        <w:rPr>
          <w:rFonts w:ascii="Courier New" w:hAnsi="Courier New" w:cs="Courier New"/>
          <w:color w:val="000000"/>
          <w:kern w:val="0"/>
          <w:sz w:val="20"/>
          <w:szCs w:val="20"/>
        </w:rPr>
        <w:t>天</w:t>
      </w:r>
      <w:r>
        <w:rPr>
          <w:rFonts w:hint="eastAsia"/>
        </w:rPr>
        <w:t>累计收益率图来看，曲线纵坐标绝对值超过</w:t>
      </w:r>
      <w:r>
        <w:rPr>
          <w:rFonts w:hint="eastAsia"/>
        </w:rPr>
        <w:t>0.125</w:t>
      </w:r>
      <w:r>
        <w:rPr>
          <w:rFonts w:hint="eastAsia"/>
        </w:rPr>
        <w:t>的情况很少</w:t>
      </w:r>
      <w:r w:rsidR="00B3703C">
        <w:rPr>
          <w:rFonts w:hint="eastAsia"/>
        </w:rPr>
        <w:t>，</w:t>
      </w:r>
      <w:r w:rsidR="00B3703C">
        <w:t>同时资产比例图告诉我们策略大部分时间都持有港股</w:t>
      </w:r>
      <w:r w:rsidR="00B3703C">
        <w:rPr>
          <w:rFonts w:hint="eastAsia"/>
        </w:rPr>
        <w:t>。这说明港股的收益大多发生在恒生</w:t>
      </w:r>
      <w:r w:rsidR="00B3703C">
        <w:rPr>
          <w:rFonts w:hint="eastAsia"/>
        </w:rPr>
        <w:t>ETF</w:t>
      </w:r>
      <w:r w:rsidR="00B3703C">
        <w:rPr>
          <w:rFonts w:hint="eastAsia"/>
        </w:rPr>
        <w:t>的</w:t>
      </w:r>
      <w:r w:rsidR="00B3703C">
        <w:rPr>
          <w:rFonts w:hint="eastAsia"/>
        </w:rPr>
        <w:t>40</w:t>
      </w:r>
      <w:r w:rsidR="00B3703C">
        <w:rPr>
          <w:rFonts w:hint="eastAsia"/>
        </w:rPr>
        <w:t>天收益率介于</w:t>
      </w:r>
      <w:r w:rsidR="00B3703C">
        <w:rPr>
          <w:rFonts w:hint="eastAsia"/>
        </w:rPr>
        <w:t>-</w:t>
      </w:r>
      <w:r w:rsidR="00B3703C" w:rsidRPr="001A6AF3">
        <w:t>THRESHOLD</w:t>
      </w:r>
      <w:r w:rsidR="00B3703C">
        <w:t>和</w:t>
      </w:r>
      <w:r w:rsidR="00B3703C" w:rsidRPr="001A6AF3">
        <w:t>THRESHOLD</w:t>
      </w:r>
      <w:r w:rsidR="00B3703C">
        <w:t>之间</w:t>
      </w:r>
      <w:r w:rsidR="00B3703C">
        <w:rPr>
          <w:rFonts w:hint="eastAsia"/>
        </w:rPr>
        <w:t>，策略默认</w:t>
      </w:r>
      <w:r w:rsidR="00CE51B4">
        <w:rPr>
          <w:rFonts w:hint="eastAsia"/>
        </w:rPr>
        <w:t>这个区间</w:t>
      </w:r>
      <w:r w:rsidR="00B3703C">
        <w:rPr>
          <w:rFonts w:hint="eastAsia"/>
        </w:rPr>
        <w:t>为震荡市，并保持持有资产。换句话说，当前规则下，港股的大部分收益来自于持有港股资产。</w:t>
      </w:r>
    </w:p>
    <w:p w:rsidR="00B3703C" w:rsidRDefault="00ED25EA" w:rsidP="00ED25EA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国债</w:t>
      </w:r>
    </w:p>
    <w:p w:rsidR="00497178" w:rsidRPr="006323DD" w:rsidRDefault="00497178" w:rsidP="006323DD">
      <w:pPr>
        <w:autoSpaceDE w:val="0"/>
        <w:autoSpaceDN w:val="0"/>
        <w:adjustRightInd w:val="0"/>
        <w:ind w:firstLine="360"/>
        <w:jc w:val="left"/>
        <w:rPr>
          <w:rFonts w:hint="eastAsia"/>
        </w:rPr>
      </w:pPr>
      <w:r>
        <w:rPr>
          <w:rFonts w:hint="eastAsia"/>
        </w:rPr>
        <w:t>关于国债</w:t>
      </w:r>
      <w:r>
        <w:rPr>
          <w:rFonts w:hint="eastAsia"/>
        </w:rPr>
        <w:t>，</w:t>
      </w:r>
      <w:r w:rsidRPr="00497178">
        <w:rPr>
          <w:rFonts w:ascii="Courier New" w:hAnsi="Courier New" w:cs="Courier New"/>
          <w:color w:val="000000"/>
          <w:kern w:val="0"/>
          <w:sz w:val="20"/>
          <w:szCs w:val="20"/>
        </w:rPr>
        <w:t>MA_LEN(40)</w:t>
      </w:r>
      <w:r w:rsidRPr="00497178">
        <w:rPr>
          <w:rFonts w:ascii="Courier New" w:hAnsi="Courier New" w:cs="Courier New"/>
          <w:color w:val="000000"/>
          <w:kern w:val="0"/>
          <w:sz w:val="20"/>
          <w:szCs w:val="20"/>
        </w:rPr>
        <w:t>天</w:t>
      </w:r>
      <w:r>
        <w:rPr>
          <w:rFonts w:hint="eastAsia"/>
        </w:rPr>
        <w:t>累计收益率图如图：</w:t>
      </w:r>
    </w:p>
    <w:p w:rsidR="00ED25EA" w:rsidRDefault="00ED25EA" w:rsidP="00ED25EA">
      <w:pPr>
        <w:autoSpaceDE w:val="0"/>
        <w:autoSpaceDN w:val="0"/>
        <w:adjustRightInd w:val="0"/>
        <w:ind w:left="360"/>
        <w:jc w:val="left"/>
      </w:pPr>
      <w:r>
        <w:rPr>
          <w:noProof/>
        </w:rPr>
        <w:lastRenderedPageBreak/>
        <w:drawing>
          <wp:inline distT="0" distB="0" distL="0" distR="0" wp14:anchorId="6C54842E" wp14:editId="11A5692D">
            <wp:extent cx="4818124" cy="3586039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534" cy="359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178" w:rsidRPr="006323DD" w:rsidRDefault="006323DD" w:rsidP="006323DD">
      <w:pPr>
        <w:autoSpaceDE w:val="0"/>
        <w:autoSpaceDN w:val="0"/>
        <w:adjustRightInd w:val="0"/>
        <w:ind w:firstLine="360"/>
        <w:jc w:val="left"/>
        <w:rPr>
          <w:rFonts w:hint="eastAsia"/>
        </w:rPr>
      </w:pPr>
      <w:r>
        <w:tab/>
      </w:r>
      <w:r>
        <w:rPr>
          <w:rFonts w:hint="eastAsia"/>
        </w:rPr>
        <w:t>第一行是选定的阈值参数，第二行是这个资产的最终累计收益率。</w:t>
      </w:r>
    </w:p>
    <w:p w:rsidR="00497178" w:rsidRDefault="00497178" w:rsidP="00ED25EA">
      <w:pPr>
        <w:autoSpaceDE w:val="0"/>
        <w:autoSpaceDN w:val="0"/>
        <w:adjustRightInd w:val="0"/>
        <w:ind w:left="360"/>
        <w:jc w:val="left"/>
      </w:pPr>
      <w:r>
        <w:rPr>
          <w:noProof/>
        </w:rPr>
        <w:drawing>
          <wp:inline distT="0" distB="0" distL="0" distR="0" wp14:anchorId="1D86E128" wp14:editId="5042433D">
            <wp:extent cx="4048125" cy="5048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01D" w:rsidRDefault="00A7501D" w:rsidP="00ED25EA">
      <w:pPr>
        <w:autoSpaceDE w:val="0"/>
        <w:autoSpaceDN w:val="0"/>
        <w:adjustRightInd w:val="0"/>
        <w:ind w:left="360"/>
        <w:jc w:val="left"/>
        <w:rPr>
          <w:rFonts w:hint="eastAsia"/>
        </w:rPr>
      </w:pPr>
      <w:r>
        <w:t>关于国债</w:t>
      </w:r>
      <w:r>
        <w:rPr>
          <w:rFonts w:hint="eastAsia"/>
        </w:rPr>
        <w:t>，</w:t>
      </w:r>
      <w:r>
        <w:t>阈值为</w:t>
      </w:r>
      <w:r>
        <w:rPr>
          <w:rFonts w:hint="eastAsia"/>
        </w:rPr>
        <w:t>0.03</w:t>
      </w:r>
      <w:r>
        <w:rPr>
          <w:rFonts w:hint="eastAsia"/>
        </w:rPr>
        <w:t>时累计收益率表现不错。</w:t>
      </w:r>
    </w:p>
    <w:p w:rsidR="006323DD" w:rsidRDefault="00A27F84" w:rsidP="00A7501D">
      <w:pPr>
        <w:autoSpaceDE w:val="0"/>
        <w:autoSpaceDN w:val="0"/>
        <w:adjustRightInd w:val="0"/>
        <w:jc w:val="left"/>
      </w:pPr>
      <w:r>
        <w:rPr>
          <w:rFonts w:hint="eastAsia"/>
        </w:rPr>
        <w:t>三</w:t>
      </w:r>
      <w:r w:rsidR="00A7501D">
        <w:rPr>
          <w:rFonts w:hint="eastAsia"/>
        </w:rPr>
        <w:t>、样本外回测</w:t>
      </w:r>
    </w:p>
    <w:p w:rsidR="00A7501D" w:rsidRDefault="00A7501D" w:rsidP="00A7501D">
      <w:pPr>
        <w:autoSpaceDE w:val="0"/>
        <w:autoSpaceDN w:val="0"/>
        <w:adjustRightInd w:val="0"/>
        <w:jc w:val="left"/>
      </w:pPr>
      <w:r>
        <w:tab/>
      </w:r>
      <w:r>
        <w:t>根据样本内时间段的优化</w:t>
      </w:r>
      <w:r>
        <w:rPr>
          <w:rFonts w:hint="eastAsia"/>
        </w:rPr>
        <w:t>，</w:t>
      </w:r>
      <w:r w:rsidRPr="001A6AF3">
        <w:t>THRESHOLD</w:t>
      </w:r>
      <w:r>
        <w:t>的最优参数是</w:t>
      </w:r>
      <w:r w:rsidR="00991E74">
        <w:rPr>
          <w:rFonts w:hint="eastAsia"/>
        </w:rPr>
        <w:t>[</w:t>
      </w:r>
      <w:r w:rsidR="00991E74">
        <w:t xml:space="preserve">0.15, 0.025, 0.125, 0.03 </w:t>
      </w:r>
      <w:r w:rsidR="00991E74">
        <w:rPr>
          <w:rFonts w:hint="eastAsia"/>
        </w:rPr>
        <w:t>]</w:t>
      </w:r>
      <w:r w:rsidR="00991E74">
        <w:rPr>
          <w:rFonts w:hint="eastAsia"/>
        </w:rPr>
        <w:t>，将此参数代入模型，并回测</w:t>
      </w:r>
      <w:r w:rsidR="00991E74">
        <w:rPr>
          <w:rFonts w:hint="eastAsia"/>
        </w:rPr>
        <w:t>2016</w:t>
      </w:r>
      <w:r w:rsidR="00991E74">
        <w:rPr>
          <w:rFonts w:hint="eastAsia"/>
        </w:rPr>
        <w:t>年初至</w:t>
      </w:r>
      <w:r w:rsidR="00991E74">
        <w:rPr>
          <w:rFonts w:hint="eastAsia"/>
        </w:rPr>
        <w:t>2017</w:t>
      </w:r>
      <w:r w:rsidR="00991E74">
        <w:rPr>
          <w:rFonts w:hint="eastAsia"/>
        </w:rPr>
        <w:t>年</w:t>
      </w:r>
      <w:r w:rsidR="00991E74">
        <w:rPr>
          <w:rFonts w:hint="eastAsia"/>
        </w:rPr>
        <w:t>7</w:t>
      </w:r>
      <w:r w:rsidR="00991E74">
        <w:rPr>
          <w:rFonts w:hint="eastAsia"/>
        </w:rPr>
        <w:t>月</w:t>
      </w:r>
      <w:r w:rsidR="00991E74">
        <w:rPr>
          <w:rFonts w:hint="eastAsia"/>
        </w:rPr>
        <w:t>10</w:t>
      </w:r>
      <w:r w:rsidR="00991E74">
        <w:rPr>
          <w:rFonts w:hint="eastAsia"/>
        </w:rPr>
        <w:t>日的策略表现。</w:t>
      </w:r>
    </w:p>
    <w:p w:rsidR="00A27F84" w:rsidRDefault="00A27F84" w:rsidP="00A7501D">
      <w:pPr>
        <w:autoSpaceDE w:val="0"/>
        <w:autoSpaceDN w:val="0"/>
        <w:adjustRightInd w:val="0"/>
        <w:jc w:val="left"/>
        <w:rPr>
          <w:rFonts w:hint="eastAsia"/>
        </w:rPr>
      </w:pPr>
      <w:r>
        <w:tab/>
      </w:r>
      <w:r>
        <w:t>回测指标如表格所示</w:t>
      </w:r>
      <w:r>
        <w:rPr>
          <w:rFonts w:hint="eastAsia"/>
        </w:rPr>
        <w:t>，年化并不出色。</w:t>
      </w:r>
    </w:p>
    <w:p w:rsidR="005237A1" w:rsidRDefault="005237A1" w:rsidP="00A7501D">
      <w:pPr>
        <w:autoSpaceDE w:val="0"/>
        <w:autoSpaceDN w:val="0"/>
        <w:adjustRightInd w:val="0"/>
        <w:jc w:val="left"/>
      </w:pPr>
      <w:r>
        <w:tab/>
      </w:r>
      <w:r>
        <w:rPr>
          <w:noProof/>
        </w:rPr>
        <w:drawing>
          <wp:inline distT="0" distB="0" distL="0" distR="0" wp14:anchorId="6CB4D7C2" wp14:editId="7787CCE0">
            <wp:extent cx="1666875" cy="11239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F84" w:rsidRDefault="00A27F84" w:rsidP="00A7501D">
      <w:pPr>
        <w:autoSpaceDE w:val="0"/>
        <w:autoSpaceDN w:val="0"/>
        <w:adjustRightInd w:val="0"/>
        <w:jc w:val="left"/>
      </w:pPr>
      <w:r>
        <w:tab/>
      </w:r>
      <w:r>
        <w:t>净值曲线图如下</w:t>
      </w:r>
      <w:r>
        <w:rPr>
          <w:rFonts w:hint="eastAsia"/>
        </w:rPr>
        <w:t>，</w:t>
      </w:r>
      <w:r>
        <w:rPr>
          <w:rFonts w:hint="eastAsia"/>
        </w:rPr>
        <w:t>17</w:t>
      </w:r>
      <w:r>
        <w:rPr>
          <w:rFonts w:hint="eastAsia"/>
        </w:rPr>
        <w:t>年后表现一般。</w:t>
      </w:r>
    </w:p>
    <w:p w:rsidR="00A27F84" w:rsidRDefault="00A27F84" w:rsidP="00A7501D">
      <w:pPr>
        <w:autoSpaceDE w:val="0"/>
        <w:autoSpaceDN w:val="0"/>
        <w:adjustRightInd w:val="0"/>
        <w:jc w:val="left"/>
      </w:pPr>
      <w:r>
        <w:rPr>
          <w:noProof/>
        </w:rPr>
        <w:lastRenderedPageBreak/>
        <w:drawing>
          <wp:inline distT="0" distB="0" distL="0" distR="0" wp14:anchorId="5879F6DA" wp14:editId="49B379BD">
            <wp:extent cx="4738599" cy="2603141"/>
            <wp:effectExtent l="0" t="0" r="508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0258" cy="260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F84" w:rsidRDefault="00A27F84" w:rsidP="00A7501D">
      <w:pPr>
        <w:autoSpaceDE w:val="0"/>
        <w:autoSpaceDN w:val="0"/>
        <w:adjustRightInd w:val="0"/>
        <w:jc w:val="left"/>
      </w:pPr>
      <w:r>
        <w:t>累计收益率如图</w:t>
      </w:r>
      <w:r>
        <w:rPr>
          <w:rFonts w:hint="eastAsia"/>
        </w:rPr>
        <w:t>：</w:t>
      </w:r>
    </w:p>
    <w:p w:rsidR="00A27F84" w:rsidRDefault="00A27F84" w:rsidP="00A7501D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0D08CFB6" wp14:editId="19656FBB">
            <wp:extent cx="5114925" cy="29051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F84" w:rsidRDefault="00A27F84" w:rsidP="00D27C45">
      <w:pPr>
        <w:autoSpaceDE w:val="0"/>
        <w:autoSpaceDN w:val="0"/>
        <w:adjustRightInd w:val="0"/>
        <w:ind w:firstLine="420"/>
        <w:jc w:val="left"/>
      </w:pPr>
      <w:r>
        <w:t>样本外商品表现不错</w:t>
      </w:r>
      <w:r>
        <w:rPr>
          <w:rFonts w:hint="eastAsia"/>
        </w:rPr>
        <w:t>，</w:t>
      </w:r>
      <w:r>
        <w:t>国债有回撤</w:t>
      </w:r>
      <w:r>
        <w:rPr>
          <w:rFonts w:hint="eastAsia"/>
        </w:rPr>
        <w:t>，</w:t>
      </w:r>
      <w:r>
        <w:t>A</w:t>
      </w:r>
      <w:r>
        <w:t>股和港股表现一般</w:t>
      </w:r>
      <w:r>
        <w:rPr>
          <w:rFonts w:hint="eastAsia"/>
        </w:rPr>
        <w:t>。</w:t>
      </w:r>
      <w:r w:rsidR="00D27C45">
        <w:rPr>
          <w:rFonts w:hint="eastAsia"/>
        </w:rPr>
        <w:t>不过实盘的经验告诉我们，南华商品指数并不好跟踪，另外，</w:t>
      </w:r>
      <w:r w:rsidR="00D27C45">
        <w:rPr>
          <w:rFonts w:hint="eastAsia"/>
        </w:rPr>
        <w:t>2017</w:t>
      </w:r>
      <w:r w:rsidR="00D27C45">
        <w:rPr>
          <w:rFonts w:hint="eastAsia"/>
        </w:rPr>
        <w:t>年后商品持续回撤，</w:t>
      </w:r>
      <w:r w:rsidR="0053267B">
        <w:rPr>
          <w:rFonts w:hint="eastAsia"/>
        </w:rPr>
        <w:t>表现不佳。</w:t>
      </w:r>
    </w:p>
    <w:p w:rsidR="0053267B" w:rsidRDefault="00C8030A" w:rsidP="00C8030A">
      <w:pPr>
        <w:autoSpaceDE w:val="0"/>
        <w:autoSpaceDN w:val="0"/>
        <w:adjustRightInd w:val="0"/>
        <w:jc w:val="left"/>
      </w:pPr>
      <w:r>
        <w:t>四</w:t>
      </w:r>
      <w:r>
        <w:rPr>
          <w:rFonts w:hint="eastAsia"/>
        </w:rPr>
        <w:t>、</w:t>
      </w:r>
      <w:r>
        <w:t>结论</w:t>
      </w:r>
    </w:p>
    <w:p w:rsidR="00C8030A" w:rsidRDefault="00C8030A" w:rsidP="00C8030A">
      <w:pPr>
        <w:autoSpaceDE w:val="0"/>
        <w:autoSpaceDN w:val="0"/>
        <w:adjustRightInd w:val="0"/>
        <w:jc w:val="left"/>
      </w:pPr>
      <w:r>
        <w:tab/>
      </w:r>
      <w:r>
        <w:t>本文尝试的策略效果一般</w:t>
      </w:r>
      <w:r>
        <w:rPr>
          <w:rFonts w:hint="eastAsia"/>
        </w:rPr>
        <w:t>。本策略出现了较多主观的假设，在国债期货上，这些假设</w:t>
      </w:r>
      <w:r w:rsidR="005C66FA">
        <w:rPr>
          <w:rFonts w:hint="eastAsia"/>
        </w:rPr>
        <w:t>和实际情况之间有</w:t>
      </w:r>
      <w:r>
        <w:rPr>
          <w:rFonts w:hint="eastAsia"/>
        </w:rPr>
        <w:t>很大的偏差。</w:t>
      </w:r>
    </w:p>
    <w:p w:rsidR="00C8030A" w:rsidRDefault="00C8030A" w:rsidP="00C8030A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值得注意的是，</w:t>
      </w:r>
      <w:r>
        <w:rPr>
          <w:rFonts w:hint="eastAsia"/>
        </w:rPr>
        <w:t>A</w:t>
      </w:r>
      <w:r>
        <w:rPr>
          <w:rFonts w:hint="eastAsia"/>
        </w:rPr>
        <w:t>股和港股虽然收益不高，但是累计收益率总体保持向上的态势。联系该策略的内容，有些规则明显是带有股市特征的，比如持续下跌</w:t>
      </w:r>
      <w:r w:rsidR="008C77F1">
        <w:rPr>
          <w:rFonts w:hint="eastAsia"/>
        </w:rPr>
        <w:t>后</w:t>
      </w:r>
      <w:r w:rsidR="00153438">
        <w:rPr>
          <w:rFonts w:hint="eastAsia"/>
        </w:rPr>
        <w:t>判断</w:t>
      </w:r>
      <w:r w:rsidR="008C77F1">
        <w:rPr>
          <w:rFonts w:hint="eastAsia"/>
        </w:rPr>
        <w:t>反转</w:t>
      </w:r>
      <w:r w:rsidR="00153438">
        <w:rPr>
          <w:rFonts w:hint="eastAsia"/>
        </w:rPr>
        <w:t>，</w:t>
      </w:r>
      <w:r w:rsidR="008C77F1">
        <w:rPr>
          <w:rFonts w:hint="eastAsia"/>
        </w:rPr>
        <w:t>持续上涨后</w:t>
      </w:r>
      <w:r w:rsidR="00153438">
        <w:rPr>
          <w:rFonts w:hint="eastAsia"/>
        </w:rPr>
        <w:t>判断</w:t>
      </w:r>
      <w:r w:rsidR="008C77F1">
        <w:rPr>
          <w:rFonts w:hint="eastAsia"/>
        </w:rPr>
        <w:t>趋势</w:t>
      </w:r>
      <w:r w:rsidR="00153438">
        <w:rPr>
          <w:rFonts w:hint="eastAsia"/>
        </w:rPr>
        <w:t>。而国债</w:t>
      </w:r>
      <w:r w:rsidR="00153438">
        <w:rPr>
          <w:rFonts w:hint="eastAsia"/>
        </w:rPr>
        <w:t>1</w:t>
      </w:r>
      <w:r w:rsidR="00153438">
        <w:t>6</w:t>
      </w:r>
      <w:r w:rsidR="00153438">
        <w:rPr>
          <w:rFonts w:hint="eastAsia"/>
        </w:rPr>
        <w:t>年末到</w:t>
      </w:r>
      <w:r w:rsidR="00153438">
        <w:rPr>
          <w:rFonts w:hint="eastAsia"/>
        </w:rPr>
        <w:t>17</w:t>
      </w:r>
      <w:r w:rsidR="00153438">
        <w:rPr>
          <w:rFonts w:hint="eastAsia"/>
        </w:rPr>
        <w:t>年初的震荡下跌，和商品</w:t>
      </w:r>
      <w:r w:rsidR="00153438">
        <w:rPr>
          <w:rFonts w:hint="eastAsia"/>
        </w:rPr>
        <w:t>1</w:t>
      </w:r>
      <w:r w:rsidR="00153438">
        <w:t>7</w:t>
      </w:r>
      <w:r w:rsidR="00153438">
        <w:rPr>
          <w:rFonts w:hint="eastAsia"/>
        </w:rPr>
        <w:t>年</w:t>
      </w:r>
      <w:r w:rsidR="00153438">
        <w:rPr>
          <w:rFonts w:hint="eastAsia"/>
        </w:rPr>
        <w:t>3</w:t>
      </w:r>
      <w:r w:rsidR="00153438">
        <w:rPr>
          <w:rFonts w:hint="eastAsia"/>
        </w:rPr>
        <w:t>月后的持续下跌</w:t>
      </w:r>
      <w:r w:rsidR="00076291">
        <w:rPr>
          <w:rFonts w:hint="eastAsia"/>
        </w:rPr>
        <w:t>，都让策略遭遇回撤。</w:t>
      </w:r>
    </w:p>
    <w:p w:rsidR="00076291" w:rsidRPr="00A7501D" w:rsidRDefault="00076291" w:rsidP="00C8030A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>总的来说，本策略较为不成熟</w:t>
      </w:r>
      <w:r w:rsidR="00B13748">
        <w:rPr>
          <w:rFonts w:hint="eastAsia"/>
        </w:rPr>
        <w:t>，接下来会转移工作重心</w:t>
      </w:r>
      <w:r>
        <w:rPr>
          <w:rFonts w:hint="eastAsia"/>
        </w:rPr>
        <w:t>到其他方面</w:t>
      </w:r>
      <w:r w:rsidR="005C66FA">
        <w:rPr>
          <w:rFonts w:hint="eastAsia"/>
        </w:rPr>
        <w:t>，比如利用期限结构来</w:t>
      </w:r>
      <w:r w:rsidR="00813538">
        <w:rPr>
          <w:rFonts w:hint="eastAsia"/>
        </w:rPr>
        <w:t>作为</w:t>
      </w:r>
      <w:r w:rsidR="005C66FA">
        <w:rPr>
          <w:rFonts w:hint="eastAsia"/>
        </w:rPr>
        <w:t>全天候在期货上的投资</w:t>
      </w:r>
      <w:r w:rsidR="00813538">
        <w:rPr>
          <w:rFonts w:hint="eastAsia"/>
        </w:rPr>
        <w:t>参考</w:t>
      </w:r>
      <w:bookmarkStart w:id="0" w:name="_GoBack"/>
      <w:bookmarkEnd w:id="0"/>
      <w:r>
        <w:rPr>
          <w:rFonts w:hint="eastAsia"/>
        </w:rPr>
        <w:t>。</w:t>
      </w:r>
    </w:p>
    <w:sectPr w:rsidR="00076291" w:rsidRPr="00A75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96D" w:rsidRDefault="00C7396D" w:rsidP="003B200F">
      <w:r>
        <w:separator/>
      </w:r>
    </w:p>
  </w:endnote>
  <w:endnote w:type="continuationSeparator" w:id="0">
    <w:p w:rsidR="00C7396D" w:rsidRDefault="00C7396D" w:rsidP="003B2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96D" w:rsidRDefault="00C7396D" w:rsidP="003B200F">
      <w:r>
        <w:separator/>
      </w:r>
    </w:p>
  </w:footnote>
  <w:footnote w:type="continuationSeparator" w:id="0">
    <w:p w:rsidR="00C7396D" w:rsidRDefault="00C7396D" w:rsidP="003B2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E600CA"/>
    <w:multiLevelType w:val="hybridMultilevel"/>
    <w:tmpl w:val="08C2473A"/>
    <w:lvl w:ilvl="0" w:tplc="E452CA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966"/>
    <w:rsid w:val="00076291"/>
    <w:rsid w:val="001470DA"/>
    <w:rsid w:val="00153438"/>
    <w:rsid w:val="001A6AF3"/>
    <w:rsid w:val="0035020D"/>
    <w:rsid w:val="003B200F"/>
    <w:rsid w:val="003C0143"/>
    <w:rsid w:val="00434331"/>
    <w:rsid w:val="00497178"/>
    <w:rsid w:val="004F6D7A"/>
    <w:rsid w:val="005237A1"/>
    <w:rsid w:val="0053267B"/>
    <w:rsid w:val="0059735A"/>
    <w:rsid w:val="005B0AB0"/>
    <w:rsid w:val="005C66FA"/>
    <w:rsid w:val="005D65CF"/>
    <w:rsid w:val="006323DD"/>
    <w:rsid w:val="0063261A"/>
    <w:rsid w:val="00675A30"/>
    <w:rsid w:val="006A47BE"/>
    <w:rsid w:val="006C3C1D"/>
    <w:rsid w:val="007A0EA1"/>
    <w:rsid w:val="007F153F"/>
    <w:rsid w:val="00813538"/>
    <w:rsid w:val="0086456B"/>
    <w:rsid w:val="008C77F1"/>
    <w:rsid w:val="00967BB6"/>
    <w:rsid w:val="00991E74"/>
    <w:rsid w:val="009A5256"/>
    <w:rsid w:val="00A27F84"/>
    <w:rsid w:val="00A36CE6"/>
    <w:rsid w:val="00A36DEC"/>
    <w:rsid w:val="00A7501D"/>
    <w:rsid w:val="00B13748"/>
    <w:rsid w:val="00B3703C"/>
    <w:rsid w:val="00B407AB"/>
    <w:rsid w:val="00BE05DE"/>
    <w:rsid w:val="00C7396D"/>
    <w:rsid w:val="00C8030A"/>
    <w:rsid w:val="00CE51B4"/>
    <w:rsid w:val="00D27C45"/>
    <w:rsid w:val="00DD1966"/>
    <w:rsid w:val="00E978DD"/>
    <w:rsid w:val="00ED25EA"/>
    <w:rsid w:val="00ED4DAE"/>
    <w:rsid w:val="00EE5E19"/>
    <w:rsid w:val="00F5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615063-9343-470F-B89F-0B0030FF8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2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B2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B200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B2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B200F"/>
    <w:rPr>
      <w:sz w:val="18"/>
      <w:szCs w:val="18"/>
    </w:rPr>
  </w:style>
  <w:style w:type="paragraph" w:styleId="a6">
    <w:name w:val="List Paragraph"/>
    <w:basedOn w:val="a"/>
    <w:uiPriority w:val="34"/>
    <w:qFormat/>
    <w:rsid w:val="004343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7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KC002</dc:creator>
  <cp:keywords/>
  <dc:description/>
  <cp:lastModifiedBy>KC002</cp:lastModifiedBy>
  <cp:revision>2</cp:revision>
  <dcterms:created xsi:type="dcterms:W3CDTF">2017-07-11T07:30:00Z</dcterms:created>
  <dcterms:modified xsi:type="dcterms:W3CDTF">2017-07-11T07:30:00Z</dcterms:modified>
</cp:coreProperties>
</file>