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080" w:rsidRDefault="00A017B0" w:rsidP="004960E3">
      <w:r>
        <w:t>当前配置建议</w:t>
      </w:r>
      <w:r>
        <w:rPr>
          <w:rFonts w:hint="eastAsia"/>
        </w:rPr>
        <w:t>：</w:t>
      </w:r>
    </w:p>
    <w:p w:rsidR="00330D99" w:rsidRDefault="00A017B0" w:rsidP="00196284">
      <w:pPr>
        <w:ind w:left="840" w:firstLine="420"/>
      </w:pPr>
      <w:r>
        <w:rPr>
          <w:noProof/>
        </w:rPr>
        <w:drawing>
          <wp:inline distT="0" distB="0" distL="0" distR="0" wp14:anchorId="55E2F001" wp14:editId="6A176AEF">
            <wp:extent cx="2813050" cy="602796"/>
            <wp:effectExtent l="0" t="0" r="635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2694" cy="604863"/>
                    </a:xfrm>
                    <a:prstGeom prst="rect">
                      <a:avLst/>
                    </a:prstGeom>
                  </pic:spPr>
                </pic:pic>
              </a:graphicData>
            </a:graphic>
          </wp:inline>
        </w:drawing>
      </w:r>
    </w:p>
    <w:p w:rsidR="00114A75" w:rsidRDefault="00FC520A" w:rsidP="00114A75">
      <w:pPr>
        <w:pStyle w:val="a5"/>
        <w:widowControl/>
        <w:numPr>
          <w:ilvl w:val="0"/>
          <w:numId w:val="1"/>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Pr>
          <w:rFonts w:ascii="微软雅黑" w:eastAsia="微软雅黑" w:hAnsi="微软雅黑" w:cs="宋体" w:hint="eastAsia"/>
          <w:color w:val="000000"/>
          <w:kern w:val="0"/>
          <w:szCs w:val="21"/>
          <w:shd w:val="clear" w:color="auto" w:fill="FFFFFF"/>
        </w:rPr>
        <w:t>简介</w:t>
      </w:r>
    </w:p>
    <w:p w:rsidR="00114A75" w:rsidRPr="00FC520A" w:rsidRDefault="00114A75" w:rsidP="00FC520A">
      <w:pPr>
        <w:pStyle w:val="a5"/>
        <w:widowControl/>
        <w:numPr>
          <w:ilvl w:val="1"/>
          <w:numId w:val="14"/>
        </w:numPr>
        <w:shd w:val="clear" w:color="auto" w:fill="FFFFFF"/>
        <w:spacing w:line="315" w:lineRule="atLeast"/>
        <w:ind w:firstLineChars="0"/>
        <w:rPr>
          <w:rFonts w:ascii="微软雅黑" w:eastAsia="微软雅黑" w:hAnsi="微软雅黑" w:cs="宋体"/>
          <w:color w:val="000000"/>
          <w:kern w:val="0"/>
          <w:szCs w:val="21"/>
        </w:rPr>
      </w:pPr>
      <w:r w:rsidRPr="00FC520A">
        <w:rPr>
          <w:rFonts w:ascii="微软雅黑" w:eastAsia="微软雅黑" w:hAnsi="微软雅黑" w:cs="宋体" w:hint="eastAsia"/>
          <w:color w:val="000000"/>
          <w:kern w:val="0"/>
          <w:szCs w:val="21"/>
          <w:shd w:val="clear" w:color="auto" w:fill="FFFFFF"/>
        </w:rPr>
        <w:t>风险平价</w:t>
      </w:r>
      <w:r w:rsidR="002B6032" w:rsidRPr="00FC520A">
        <w:rPr>
          <w:rFonts w:ascii="微软雅黑" w:eastAsia="微软雅黑" w:hAnsi="微软雅黑" w:cs="宋体" w:hint="eastAsia"/>
          <w:color w:val="000000"/>
          <w:kern w:val="0"/>
          <w:szCs w:val="21"/>
          <w:shd w:val="clear" w:color="auto" w:fill="FFFFFF"/>
        </w:rPr>
        <w:t>模型</w:t>
      </w:r>
      <w:r w:rsidRPr="00FC520A">
        <w:rPr>
          <w:rFonts w:ascii="微软雅黑" w:eastAsia="微软雅黑" w:hAnsi="微软雅黑" w:cs="宋体" w:hint="eastAsia"/>
          <w:color w:val="000000"/>
          <w:kern w:val="0"/>
          <w:szCs w:val="21"/>
        </w:rPr>
        <w:t>简介</w:t>
      </w:r>
    </w:p>
    <w:p w:rsidR="00114A75" w:rsidRDefault="00114A75" w:rsidP="00114A75">
      <w:pPr>
        <w:ind w:firstLine="420"/>
      </w:pPr>
      <w:r w:rsidRPr="00EE05F3">
        <w:rPr>
          <w:rFonts w:hint="eastAsia"/>
        </w:rPr>
        <w:t>风险平价策略旨在同时考虑组合中单个资产的风险及资产之间协同风险，使各资产的风险贡献相同，以达到优化组合风险的目的。</w:t>
      </w:r>
      <w:r>
        <w:rPr>
          <w:rFonts w:hint="eastAsia"/>
        </w:rPr>
        <w:t>本文将股票、商品、国债、现金按照目标策略来配置资产比例，其中，股票使用沪深</w:t>
      </w:r>
      <w:r>
        <w:rPr>
          <w:rFonts w:hint="eastAsia"/>
        </w:rPr>
        <w:t>300</w:t>
      </w:r>
      <w:r>
        <w:rPr>
          <w:rFonts w:hint="eastAsia"/>
        </w:rPr>
        <w:t>指数，商品使用</w:t>
      </w:r>
      <w:r w:rsidRPr="008059D1">
        <w:rPr>
          <w:rFonts w:hint="eastAsia"/>
        </w:rPr>
        <w:t>南华</w:t>
      </w:r>
      <w:r>
        <w:rPr>
          <w:rFonts w:hint="eastAsia"/>
        </w:rPr>
        <w:t>商品</w:t>
      </w:r>
      <w:r w:rsidRPr="008059D1">
        <w:rPr>
          <w:rFonts w:hint="eastAsia"/>
        </w:rPr>
        <w:t>指数</w:t>
      </w:r>
      <w:r>
        <w:rPr>
          <w:rFonts w:hint="eastAsia"/>
        </w:rPr>
        <w:t>，国债使用</w:t>
      </w:r>
      <w:r>
        <w:rPr>
          <w:rFonts w:hint="eastAsia"/>
        </w:rPr>
        <w:t>10</w:t>
      </w:r>
      <w:r>
        <w:rPr>
          <w:rFonts w:hint="eastAsia"/>
        </w:rPr>
        <w:t>年期国债收益率换算成的国债现券价格，现金使用逆回购收益率计算，代码为</w:t>
      </w:r>
      <w:r>
        <w:rPr>
          <w:rFonts w:hint="eastAsia"/>
        </w:rPr>
        <w:t>204001.SH</w:t>
      </w:r>
      <w:r>
        <w:rPr>
          <w:rFonts w:hint="eastAsia"/>
        </w:rPr>
        <w:t>。</w:t>
      </w:r>
    </w:p>
    <w:p w:rsidR="00EB3AC0" w:rsidRDefault="00EB3AC0" w:rsidP="00EB3AC0">
      <w:pPr>
        <w:ind w:firstLine="420"/>
      </w:pPr>
      <w:r>
        <w:rPr>
          <w:rFonts w:hint="eastAsia"/>
        </w:rPr>
        <w:t>长江证券《</w:t>
      </w:r>
      <w:r w:rsidRPr="008F4303">
        <w:rPr>
          <w:rFonts w:hint="eastAsia"/>
        </w:rPr>
        <w:t>基于风险平价模型的收益增强策略</w:t>
      </w:r>
      <w:r>
        <w:rPr>
          <w:rFonts w:hint="eastAsia"/>
        </w:rPr>
        <w:t>》研报中，求得风险平价下最优权重得求解式如下：</w:t>
      </w:r>
    </w:p>
    <w:p w:rsidR="00EB3AC0" w:rsidRDefault="00EB3AC0" w:rsidP="00EB3AC0">
      <w:r>
        <w:tab/>
      </w:r>
      <w:r>
        <w:rPr>
          <w:rFonts w:hint="eastAsia"/>
          <w:noProof/>
        </w:rPr>
        <w:drawing>
          <wp:inline distT="0" distB="0" distL="0" distR="0" wp14:anchorId="25B28BD1" wp14:editId="4DAA9051">
            <wp:extent cx="4301337" cy="1247004"/>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JPG"/>
                    <pic:cNvPicPr/>
                  </pic:nvPicPr>
                  <pic:blipFill>
                    <a:blip r:embed="rId9">
                      <a:extLst>
                        <a:ext uri="{28A0092B-C50C-407E-A947-70E740481C1C}">
                          <a14:useLocalDpi xmlns:a14="http://schemas.microsoft.com/office/drawing/2010/main" val="0"/>
                        </a:ext>
                      </a:extLst>
                    </a:blip>
                    <a:stretch>
                      <a:fillRect/>
                    </a:stretch>
                  </pic:blipFill>
                  <pic:spPr>
                    <a:xfrm>
                      <a:off x="0" y="0"/>
                      <a:ext cx="4321448" cy="1252834"/>
                    </a:xfrm>
                    <a:prstGeom prst="rect">
                      <a:avLst/>
                    </a:prstGeom>
                  </pic:spPr>
                </pic:pic>
              </a:graphicData>
            </a:graphic>
          </wp:inline>
        </w:drawing>
      </w:r>
    </w:p>
    <w:p w:rsidR="00EB3AC0" w:rsidRDefault="00EB3AC0" w:rsidP="00EB3AC0">
      <w:r>
        <w:tab/>
        <w:t>M</w:t>
      </w:r>
      <w:r>
        <w:rPr>
          <w:rFonts w:hint="eastAsia"/>
        </w:rPr>
        <w:t>atlab</w:t>
      </w:r>
      <w:r>
        <w:rPr>
          <w:rFonts w:hint="eastAsia"/>
        </w:rPr>
        <w:t>程序中，关于目标函数，我编写如下：</w:t>
      </w:r>
    </w:p>
    <w:p w:rsidR="00EB3AC0" w:rsidRDefault="00EB3AC0" w:rsidP="00EB3AC0">
      <w:r>
        <w:tab/>
        <w:t>y = std ( Cov * x .* x )</w:t>
      </w:r>
    </w:p>
    <w:p w:rsidR="00EB3AC0" w:rsidRDefault="00EB3AC0" w:rsidP="00EB3AC0">
      <w:r>
        <w:tab/>
      </w:r>
      <w:r>
        <w:rPr>
          <w:rFonts w:hint="eastAsia"/>
        </w:rPr>
        <w:t>其中</w:t>
      </w:r>
      <w:r>
        <w:rPr>
          <w:rFonts w:hint="eastAsia"/>
        </w:rPr>
        <w:t>x</w:t>
      </w:r>
      <w:r>
        <w:rPr>
          <w:rFonts w:hint="eastAsia"/>
        </w:rPr>
        <w:t>为权重向量，</w:t>
      </w:r>
      <w:r>
        <w:rPr>
          <w:rFonts w:hint="eastAsia"/>
        </w:rPr>
        <w:t>Cov</w:t>
      </w:r>
      <w:r>
        <w:rPr>
          <w:rFonts w:hint="eastAsia"/>
        </w:rPr>
        <w:t>为协方差矩阵，</w:t>
      </w:r>
      <w:r>
        <w:rPr>
          <w:rFonts w:hint="eastAsia"/>
        </w:rPr>
        <w:t>std</w:t>
      </w:r>
      <w:r>
        <w:rPr>
          <w:rFonts w:hint="eastAsia"/>
        </w:rPr>
        <w:t>为求标准差函数，求标准差实质上是求离差的平方和，而研报中的目标函数是求</w:t>
      </w:r>
      <w:r>
        <w:t>Cov * x .* x</w:t>
      </w:r>
      <w:r>
        <w:rPr>
          <w:rFonts w:hint="eastAsia"/>
        </w:rPr>
        <w:t>任意两项间的差的平方和。我认为他们的含义是类似的，在这里可以用来拟合。</w:t>
      </w:r>
    </w:p>
    <w:p w:rsidR="00EB3AC0" w:rsidRPr="00EE2180" w:rsidRDefault="00EB3AC0" w:rsidP="00EB3AC0">
      <w:r>
        <w:tab/>
      </w:r>
    </w:p>
    <w:p w:rsidR="00EB3AC0" w:rsidRPr="00EE05F3" w:rsidRDefault="00EB3AC0" w:rsidP="00114A75">
      <w:pPr>
        <w:ind w:firstLine="420"/>
      </w:pPr>
    </w:p>
    <w:p w:rsidR="002B6032" w:rsidRPr="00FC520A" w:rsidRDefault="002B6032" w:rsidP="00FC520A">
      <w:pPr>
        <w:pStyle w:val="a5"/>
        <w:widowControl/>
        <w:numPr>
          <w:ilvl w:val="1"/>
          <w:numId w:val="14"/>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sidRPr="00FC520A">
        <w:rPr>
          <w:rFonts w:ascii="微软雅黑" w:eastAsia="微软雅黑" w:hAnsi="微软雅黑" w:cs="宋体" w:hint="eastAsia"/>
          <w:color w:val="000000"/>
          <w:kern w:val="0"/>
          <w:szCs w:val="21"/>
          <w:shd w:val="clear" w:color="auto" w:fill="FFFFFF"/>
        </w:rPr>
        <w:t>基于低延迟趋势线(LLT</w:t>
      </w:r>
      <w:r w:rsidRPr="00FC520A">
        <w:rPr>
          <w:rFonts w:ascii="微软雅黑" w:eastAsia="微软雅黑" w:hAnsi="微软雅黑" w:cs="宋体"/>
          <w:color w:val="000000"/>
          <w:kern w:val="0"/>
          <w:szCs w:val="21"/>
          <w:shd w:val="clear" w:color="auto" w:fill="FFFFFF"/>
        </w:rPr>
        <w:t>)的择时策略介绍</w:t>
      </w:r>
    </w:p>
    <w:p w:rsidR="002B6032" w:rsidRDefault="002B6032" w:rsidP="002B6032">
      <w:pPr>
        <w:ind w:firstLine="420"/>
      </w:pPr>
      <w:r>
        <w:t>LLT</w:t>
      </w:r>
      <w:r>
        <w:t>低延迟趋势线由二阶滤波器设计而来</w:t>
      </w:r>
      <w:r>
        <w:rPr>
          <w:rFonts w:hint="eastAsia"/>
        </w:rPr>
        <w:t>，</w:t>
      </w:r>
      <w:r>
        <w:t>它在低频部分的输出信号较强</w:t>
      </w:r>
      <w:r>
        <w:rPr>
          <w:rFonts w:hint="eastAsia"/>
        </w:rPr>
        <w:t>，</w:t>
      </w:r>
      <w:r>
        <w:t>同时与</w:t>
      </w:r>
      <w:r>
        <w:t>MA</w:t>
      </w:r>
      <w:r>
        <w:t>均线和</w:t>
      </w:r>
      <w:r>
        <w:t>EMA</w:t>
      </w:r>
      <w:r>
        <w:t>均线相比</w:t>
      </w:r>
      <w:r>
        <w:rPr>
          <w:rFonts w:hint="eastAsia"/>
        </w:rPr>
        <w:t>，</w:t>
      </w:r>
      <w:r>
        <w:t>延迟幅度大幅下降</w:t>
      </w:r>
      <w:r>
        <w:rPr>
          <w:rFonts w:hint="eastAsia"/>
        </w:rPr>
        <w:t>。</w:t>
      </w:r>
      <w:r w:rsidR="00EE2180">
        <w:rPr>
          <w:rFonts w:hint="eastAsia"/>
        </w:rPr>
        <w:t>本文</w:t>
      </w:r>
      <w:r w:rsidR="00EE2180">
        <w:rPr>
          <w:rFonts w:hint="eastAsia"/>
        </w:rPr>
        <w:t>LLT</w:t>
      </w:r>
      <w:r w:rsidR="00EE2180">
        <w:rPr>
          <w:rFonts w:hint="eastAsia"/>
        </w:rPr>
        <w:t>指标</w:t>
      </w:r>
      <w:r w:rsidR="00337198">
        <w:rPr>
          <w:rFonts w:hint="eastAsia"/>
        </w:rPr>
        <w:t>来自于</w:t>
      </w:r>
      <w:r w:rsidR="00EE2180">
        <w:rPr>
          <w:rFonts w:hint="eastAsia"/>
        </w:rPr>
        <w:t>《低延迟趋势线与交易性择时——短线择时策略研究之三》</w:t>
      </w:r>
      <w:r w:rsidR="00337198">
        <w:rPr>
          <w:rFonts w:hint="eastAsia"/>
        </w:rPr>
        <w:t>。详细信息在本文“模型细节”一节中介绍。</w:t>
      </w:r>
      <w:r w:rsidR="009841F8">
        <w:rPr>
          <w:rFonts w:hint="eastAsia"/>
        </w:rPr>
        <w:t>得到</w:t>
      </w:r>
      <w:r w:rsidR="009841F8">
        <w:rPr>
          <w:rFonts w:hint="eastAsia"/>
        </w:rPr>
        <w:t>LLT</w:t>
      </w:r>
      <w:r w:rsidR="009841F8">
        <w:rPr>
          <w:rFonts w:hint="eastAsia"/>
        </w:rPr>
        <w:t>曲线后，计算过去一段时间</w:t>
      </w:r>
      <w:r w:rsidR="009841F8">
        <w:rPr>
          <w:rFonts w:hint="eastAsia"/>
        </w:rPr>
        <w:t>LLT</w:t>
      </w:r>
      <w:r w:rsidR="009841F8">
        <w:rPr>
          <w:rFonts w:hint="eastAsia"/>
        </w:rPr>
        <w:t>曲线起始点连线的斜率，如果斜率大于</w:t>
      </w:r>
      <w:r w:rsidR="009841F8">
        <w:rPr>
          <w:rFonts w:hint="eastAsia"/>
        </w:rPr>
        <w:t>0</w:t>
      </w:r>
      <w:r w:rsidR="009841F8">
        <w:rPr>
          <w:rFonts w:hint="eastAsia"/>
        </w:rPr>
        <w:t>，我们视之为做多信号；如果斜率小于</w:t>
      </w:r>
      <w:r w:rsidR="009841F8">
        <w:rPr>
          <w:rFonts w:hint="eastAsia"/>
        </w:rPr>
        <w:t>0</w:t>
      </w:r>
      <w:r w:rsidR="009841F8">
        <w:rPr>
          <w:rFonts w:hint="eastAsia"/>
        </w:rPr>
        <w:t>，我们视之为做空信号；若曲线不变，则不开仓。</w:t>
      </w:r>
      <w:r w:rsidR="00E85638">
        <w:rPr>
          <w:rFonts w:hint="eastAsia"/>
        </w:rPr>
        <w:t>由于逆回购情况特殊，我们将逆回购特殊处理，让它始终接收做多信号。</w:t>
      </w:r>
    </w:p>
    <w:p w:rsidR="00EB3AC0" w:rsidRDefault="00EB3AC0" w:rsidP="00EB3AC0">
      <w:pPr>
        <w:ind w:firstLineChars="100" w:firstLine="210"/>
      </w:pPr>
      <w:r>
        <w:rPr>
          <w:rFonts w:hint="eastAsia"/>
        </w:rPr>
        <w:t>关于模型细节，《短线择时策略研究之三》一文中，推导出了</w:t>
      </w:r>
      <w:r>
        <w:rPr>
          <w:rFonts w:hint="eastAsia"/>
        </w:rPr>
        <w:t>LLT</w:t>
      </w:r>
      <w:r>
        <w:rPr>
          <w:rFonts w:hint="eastAsia"/>
        </w:rPr>
        <w:t>指标与价格的关系：</w:t>
      </w:r>
    </w:p>
    <w:p w:rsidR="00EB3AC0" w:rsidRDefault="00EB3AC0" w:rsidP="00EB3AC0">
      <w:r>
        <w:tab/>
      </w:r>
      <w:r>
        <w:rPr>
          <w:noProof/>
        </w:rPr>
        <w:drawing>
          <wp:inline distT="0" distB="0" distL="0" distR="0" wp14:anchorId="43837FAA" wp14:editId="26C581C3">
            <wp:extent cx="4645152" cy="639226"/>
            <wp:effectExtent l="0" t="0" r="317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0725" cy="649626"/>
                    </a:xfrm>
                    <a:prstGeom prst="rect">
                      <a:avLst/>
                    </a:prstGeom>
                  </pic:spPr>
                </pic:pic>
              </a:graphicData>
            </a:graphic>
          </wp:inline>
        </w:drawing>
      </w:r>
    </w:p>
    <w:p w:rsidR="008E68B6" w:rsidRDefault="00EB3AC0" w:rsidP="00EB3AC0">
      <w:r>
        <w:tab/>
      </w:r>
      <w:r>
        <w:t>其中</w:t>
      </w:r>
      <m:oMath>
        <m:sSup>
          <m:sSupPr>
            <m:ctrlPr>
              <w:rPr>
                <w:rFonts w:ascii="Cambria Math" w:hAnsi="Cambria Math"/>
              </w:rPr>
            </m:ctrlPr>
          </m:sSupPr>
          <m:e>
            <m:r>
              <w:rPr>
                <w:rFonts w:ascii="Cambria Math" w:hAnsi="Cambria Math"/>
              </w:rPr>
              <m:t>z</m:t>
            </m:r>
          </m:e>
          <m:sup>
            <m:r>
              <w:rPr>
                <w:rFonts w:ascii="Cambria Math" w:hAnsi="Cambria Math"/>
              </w:rPr>
              <m:t>-1</m:t>
            </m:r>
          </m:sup>
        </m:sSup>
      </m:oMath>
      <w:r>
        <w:t>为滞后算子</w:t>
      </w:r>
      <w:r>
        <w:rPr>
          <w:rFonts w:hint="eastAsia"/>
        </w:rPr>
        <w:t>，</w:t>
      </w:r>
      <w:r>
        <w:rPr>
          <w:rFonts w:hint="eastAsia"/>
        </w:rPr>
        <w:t>price</w:t>
      </w:r>
      <w:r>
        <w:t>(t)</w:t>
      </w:r>
      <w:r>
        <w:t>通过与它计算可以得到</w:t>
      </w:r>
      <w:r>
        <w:rPr>
          <w:rFonts w:hint="eastAsia"/>
        </w:rPr>
        <w:t>prize(t</w:t>
      </w:r>
      <w:r>
        <w:t>-1)</w:t>
      </w:r>
      <w:r>
        <w:rPr>
          <w:rFonts w:hint="eastAsia"/>
        </w:rPr>
        <w:t>，</w:t>
      </w:r>
      <w:r>
        <w:t>LLT(t)</w:t>
      </w:r>
      <w:r>
        <w:t>通过与它计算可以得到</w:t>
      </w:r>
      <w:r>
        <w:rPr>
          <w:rFonts w:hint="eastAsia"/>
        </w:rPr>
        <w:t>LLT(t-1)</w:t>
      </w:r>
      <w:r>
        <w:rPr>
          <w:rFonts w:hint="eastAsia"/>
        </w:rPr>
        <w:t>，</w:t>
      </w:r>
      <m:oMath>
        <m:sSup>
          <m:sSupPr>
            <m:ctrlPr>
              <w:rPr>
                <w:rFonts w:ascii="Cambria Math" w:hAnsi="Cambria Math"/>
              </w:rPr>
            </m:ctrlPr>
          </m:sSupPr>
          <m:e>
            <m:r>
              <w:rPr>
                <w:rFonts w:ascii="Cambria Math" w:hAnsi="Cambria Math"/>
              </w:rPr>
              <m:t>z</m:t>
            </m:r>
          </m:e>
          <m:sup>
            <m:r>
              <w:rPr>
                <w:rFonts w:ascii="Cambria Math" w:hAnsi="Cambria Math"/>
              </w:rPr>
              <m:t>-2</m:t>
            </m:r>
          </m:sup>
        </m:sSup>
      </m:oMath>
      <w:r>
        <w:t>同理</w:t>
      </w:r>
      <w:r>
        <w:rPr>
          <w:rFonts w:hint="eastAsia"/>
        </w:rPr>
        <w:t>。</w:t>
      </w:r>
    </w:p>
    <w:p w:rsidR="00EB3AC0" w:rsidRDefault="00EB3AC0" w:rsidP="008E68B6">
      <w:pPr>
        <w:ind w:firstLine="420"/>
      </w:pPr>
      <w:r>
        <w:rPr>
          <w:rFonts w:hint="eastAsia"/>
        </w:rPr>
        <w:lastRenderedPageBreak/>
        <w:t>同时</w:t>
      </w:r>
      <m:oMath>
        <m:r>
          <m:rPr>
            <m:sty m:val="p"/>
          </m:rPr>
          <w:rPr>
            <w:rFonts w:ascii="Cambria Math" w:hAnsi="Cambria Math"/>
          </w:rPr>
          <m:t>α</m:t>
        </m:r>
      </m:oMath>
      <w:r>
        <w:rPr>
          <w:rFonts w:hint="eastAsia"/>
        </w:rPr>
        <w:t>参数与</w:t>
      </w:r>
      <w:r>
        <w:rPr>
          <w:rFonts w:hint="eastAsia"/>
        </w:rPr>
        <w:t>MA</w:t>
      </w:r>
      <w:r>
        <w:rPr>
          <w:rFonts w:hint="eastAsia"/>
        </w:rPr>
        <w:t>均线计算天数</w:t>
      </w:r>
      <w:r>
        <w:rPr>
          <w:rFonts w:hint="eastAsia"/>
        </w:rPr>
        <w:t>d</w:t>
      </w:r>
      <w:r>
        <w:rPr>
          <w:rFonts w:hint="eastAsia"/>
        </w:rPr>
        <w:t>有如下关系：</w:t>
      </w:r>
    </w:p>
    <w:p w:rsidR="00EB3AC0" w:rsidRPr="00EE2180" w:rsidRDefault="00EB3AC0" w:rsidP="00EB3AC0">
      <w:pPr>
        <w:ind w:firstLineChars="300" w:firstLine="630"/>
      </w:pPr>
      <w:r>
        <w:tab/>
      </w:r>
      <w:r>
        <w:rPr>
          <w:noProof/>
        </w:rPr>
        <w:drawing>
          <wp:inline distT="0" distB="0" distL="0" distR="0" wp14:anchorId="020FE9FD" wp14:editId="379041B6">
            <wp:extent cx="1060704" cy="538151"/>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72663" cy="544218"/>
                    </a:xfrm>
                    <a:prstGeom prst="rect">
                      <a:avLst/>
                    </a:prstGeom>
                  </pic:spPr>
                </pic:pic>
              </a:graphicData>
            </a:graphic>
          </wp:inline>
        </w:drawing>
      </w:r>
      <w:r>
        <w:rPr>
          <w:rFonts w:hint="eastAsia"/>
        </w:rPr>
        <w:t>，</w:t>
      </w:r>
      <w:r w:rsidR="008E68B6">
        <w:t>该研报</w:t>
      </w:r>
      <w:r w:rsidR="008E68B6">
        <w:rPr>
          <w:rFonts w:hint="eastAsia"/>
        </w:rPr>
        <w:t>给出</w:t>
      </w:r>
      <w:r w:rsidR="008E68B6">
        <w:t>建议</w:t>
      </w:r>
      <w:r w:rsidR="008E68B6">
        <w:rPr>
          <w:rFonts w:hint="eastAsia"/>
        </w:rPr>
        <w:t>，</w:t>
      </w:r>
      <w:r>
        <w:t>d</w:t>
      </w:r>
      <w:r>
        <w:t>为</w:t>
      </w:r>
      <w:r>
        <w:rPr>
          <w:rFonts w:hint="eastAsia"/>
        </w:rPr>
        <w:t>39</w:t>
      </w:r>
      <w:r w:rsidR="008E68B6">
        <w:rPr>
          <w:rFonts w:hint="eastAsia"/>
        </w:rPr>
        <w:t>时效果最佳，本文采用该数字</w:t>
      </w:r>
      <w:r>
        <w:rPr>
          <w:rFonts w:hint="eastAsia"/>
        </w:rPr>
        <w:t>。</w:t>
      </w:r>
    </w:p>
    <w:p w:rsidR="00EB3AC0" w:rsidRDefault="00EB3AC0" w:rsidP="002B6032">
      <w:pPr>
        <w:ind w:firstLine="420"/>
      </w:pPr>
    </w:p>
    <w:p w:rsidR="00FC520A" w:rsidRPr="00FC520A" w:rsidRDefault="00FC520A" w:rsidP="00FC520A">
      <w:pPr>
        <w:pStyle w:val="a5"/>
        <w:widowControl/>
        <w:numPr>
          <w:ilvl w:val="1"/>
          <w:numId w:val="14"/>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sidRPr="00FC520A">
        <w:rPr>
          <w:rFonts w:ascii="微软雅黑" w:eastAsia="微软雅黑" w:hAnsi="微软雅黑" w:cs="宋体"/>
          <w:color w:val="000000"/>
          <w:kern w:val="0"/>
          <w:szCs w:val="21"/>
          <w:shd w:val="clear" w:color="auto" w:fill="FFFFFF"/>
        </w:rPr>
        <w:t>LLT在风险平价模型的应用</w:t>
      </w:r>
    </w:p>
    <w:p w:rsidR="00FC520A" w:rsidRDefault="00D21F65" w:rsidP="00D21F65">
      <w:pPr>
        <w:ind w:firstLine="420"/>
      </w:pPr>
      <w:r>
        <w:t>本文先让资产按照风险平价模型在约束下计算权重</w:t>
      </w:r>
      <w:r>
        <w:rPr>
          <w:rFonts w:hint="eastAsia"/>
        </w:rPr>
        <w:t>，</w:t>
      </w:r>
      <w:r>
        <w:t>然后利用</w:t>
      </w:r>
      <w:r>
        <w:t>LLT</w:t>
      </w:r>
      <w:r>
        <w:t>择时系统给出多空信号</w:t>
      </w:r>
      <w:r w:rsidR="00414BEE">
        <w:rPr>
          <w:rFonts w:hint="eastAsia"/>
        </w:rPr>
        <w:t>，根据结果调仓。</w:t>
      </w:r>
      <w:r w:rsidR="00EB3AC0">
        <w:rPr>
          <w:rFonts w:hint="eastAsia"/>
        </w:rPr>
        <w:t>其中现金不参与择时判断，默认发出做多信号。</w:t>
      </w:r>
    </w:p>
    <w:p w:rsidR="004466D0" w:rsidRDefault="004466D0" w:rsidP="004466D0">
      <w:pPr>
        <w:pStyle w:val="a5"/>
        <w:widowControl/>
        <w:numPr>
          <w:ilvl w:val="1"/>
          <w:numId w:val="14"/>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Pr>
          <w:rFonts w:ascii="微软雅黑" w:eastAsia="微软雅黑" w:hAnsi="微软雅黑" w:cs="宋体" w:hint="eastAsia"/>
          <w:color w:val="000000"/>
          <w:kern w:val="0"/>
          <w:szCs w:val="21"/>
          <w:shd w:val="clear" w:color="auto" w:fill="FFFFFF"/>
        </w:rPr>
        <w:t>周调仓</w:t>
      </w:r>
    </w:p>
    <w:p w:rsidR="004466D0" w:rsidRPr="004466D0" w:rsidRDefault="004466D0" w:rsidP="004466D0">
      <w:pPr>
        <w:widowControl/>
        <w:shd w:val="clear" w:color="auto" w:fill="FFFFFF"/>
        <w:spacing w:line="315" w:lineRule="atLeast"/>
        <w:ind w:firstLine="420"/>
      </w:pPr>
      <w:r>
        <w:t>为了让策略的配置和择时更加灵活</w:t>
      </w:r>
      <w:r>
        <w:rPr>
          <w:rFonts w:hint="eastAsia"/>
        </w:rPr>
        <w:t>，</w:t>
      </w:r>
      <w:r>
        <w:t>策略由之前的月调仓</w:t>
      </w:r>
      <w:r>
        <w:rPr>
          <w:rFonts w:hint="eastAsia"/>
        </w:rPr>
        <w:t>切换到了周调仓。当前实际操作中在周一调仓，而模型的配置与择时观点需要的是之前交易日的数据，并不需要调仓当天的数据</w:t>
      </w:r>
      <w:r w:rsidR="009428D1">
        <w:rPr>
          <w:rFonts w:hint="eastAsia"/>
        </w:rPr>
        <w:t>，所以模型已经修改为每周的最后一个交易日给出新的调仓方案。</w:t>
      </w:r>
      <w:r w:rsidR="00C415D2">
        <w:rPr>
          <w:rFonts w:hint="eastAsia"/>
        </w:rPr>
        <w:t>这样即便程序操作人员周一上午因为夜盘没有来，也不会影响按照上周末已经给出的方案调仓。</w:t>
      </w:r>
    </w:p>
    <w:p w:rsidR="00B2174C" w:rsidRPr="00CE7E03" w:rsidRDefault="00C838BE" w:rsidP="00CE7E03">
      <w:pPr>
        <w:pStyle w:val="a5"/>
        <w:widowControl/>
        <w:numPr>
          <w:ilvl w:val="0"/>
          <w:numId w:val="1"/>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Pr>
          <w:rFonts w:ascii="微软雅黑" w:eastAsia="微软雅黑" w:hAnsi="微软雅黑" w:cs="宋体" w:hint="eastAsia"/>
          <w:color w:val="000000"/>
          <w:kern w:val="0"/>
          <w:szCs w:val="21"/>
          <w:shd w:val="clear" w:color="auto" w:fill="FFFFFF"/>
        </w:rPr>
        <w:t>回测表现</w:t>
      </w:r>
    </w:p>
    <w:p w:rsidR="005979E3" w:rsidRDefault="00C838BE" w:rsidP="005979E3">
      <w:pPr>
        <w:widowControl/>
        <w:shd w:val="clear" w:color="auto" w:fill="FFFFFF"/>
        <w:spacing w:line="315" w:lineRule="atLeast"/>
      </w:pPr>
      <w:r>
        <w:rPr>
          <w:rFonts w:ascii="微软雅黑" w:eastAsia="微软雅黑" w:hAnsi="微软雅黑" w:cs="宋体" w:hint="eastAsia"/>
          <w:color w:val="000000"/>
          <w:kern w:val="0"/>
          <w:szCs w:val="21"/>
          <w:shd w:val="clear" w:color="auto" w:fill="FFFFFF"/>
        </w:rPr>
        <w:t>2.1</w:t>
      </w:r>
      <w:r w:rsidR="005979E3">
        <w:rPr>
          <w:rFonts w:ascii="微软雅黑" w:eastAsia="微软雅黑" w:hAnsi="微软雅黑" w:cs="宋体" w:hint="eastAsia"/>
          <w:color w:val="000000"/>
          <w:kern w:val="0"/>
          <w:szCs w:val="21"/>
          <w:shd w:val="clear" w:color="auto" w:fill="FFFFFF"/>
        </w:rPr>
        <w:t>、</w:t>
      </w:r>
      <w:r w:rsidR="005979E3" w:rsidRPr="005979E3">
        <w:rPr>
          <w:rFonts w:ascii="微软雅黑" w:eastAsia="微软雅黑" w:hAnsi="微软雅黑" w:cs="宋体"/>
          <w:color w:val="000000"/>
          <w:kern w:val="0"/>
          <w:szCs w:val="21"/>
          <w:shd w:val="clear" w:color="auto" w:fill="FFFFFF"/>
        </w:rPr>
        <w:t xml:space="preserve"> </w:t>
      </w:r>
      <w:r w:rsidR="005979E3" w:rsidRPr="005979E3">
        <w:rPr>
          <w:rFonts w:ascii="微软雅黑" w:eastAsia="微软雅黑" w:hAnsi="微软雅黑" w:cs="宋体" w:hint="eastAsia"/>
          <w:color w:val="000000"/>
          <w:kern w:val="0"/>
          <w:szCs w:val="21"/>
          <w:shd w:val="clear" w:color="auto" w:fill="FFFFFF"/>
        </w:rPr>
        <w:t>最优参数回测</w:t>
      </w:r>
    </w:p>
    <w:p w:rsidR="00B10BC1" w:rsidRPr="004F6BE6" w:rsidRDefault="005979E3" w:rsidP="00114A75">
      <w:r>
        <w:tab/>
      </w:r>
      <w:r>
        <w:rPr>
          <w:rFonts w:hint="eastAsia"/>
        </w:rPr>
        <w:t>当斜率判断天数</w:t>
      </w:r>
      <w:r>
        <w:rPr>
          <w:rFonts w:hint="eastAsia"/>
        </w:rPr>
        <w:t>d</w:t>
      </w:r>
      <w:r>
        <w:rPr>
          <w:rFonts w:hint="eastAsia"/>
        </w:rPr>
        <w:t>为</w:t>
      </w:r>
      <w:r>
        <w:rPr>
          <w:rFonts w:hint="eastAsia"/>
        </w:rPr>
        <w:t>43</w:t>
      </w:r>
      <w:r>
        <w:rPr>
          <w:rFonts w:hint="eastAsia"/>
        </w:rPr>
        <w:t>，平价模型配置比例判断天数</w:t>
      </w:r>
      <w:r>
        <w:rPr>
          <w:rFonts w:hint="eastAsia"/>
        </w:rPr>
        <w:t>b</w:t>
      </w:r>
      <w:r>
        <w:rPr>
          <w:rFonts w:hint="eastAsia"/>
        </w:rPr>
        <w:t>为</w:t>
      </w:r>
      <w:r>
        <w:rPr>
          <w:rFonts w:hint="eastAsia"/>
        </w:rPr>
        <w:t>225</w:t>
      </w:r>
      <w:r>
        <w:rPr>
          <w:rFonts w:hint="eastAsia"/>
        </w:rPr>
        <w:t>时，</w:t>
      </w:r>
      <w:r w:rsidR="00A017B0">
        <w:rPr>
          <w:rFonts w:hint="eastAsia"/>
        </w:rPr>
        <w:t>按</w:t>
      </w:r>
      <w:r w:rsidR="00A017B0">
        <w:rPr>
          <w:rFonts w:hint="eastAsia"/>
        </w:rPr>
        <w:t>700</w:t>
      </w:r>
      <w:r w:rsidR="00A017B0">
        <w:rPr>
          <w:rFonts w:hint="eastAsia"/>
        </w:rPr>
        <w:t>万</w:t>
      </w:r>
      <w:r w:rsidR="00A017B0">
        <w:rPr>
          <w:rFonts w:hint="eastAsia"/>
        </w:rPr>
        <w:t>capital</w:t>
      </w:r>
      <w:r w:rsidR="00A017B0">
        <w:rPr>
          <w:rFonts w:hint="eastAsia"/>
        </w:rPr>
        <w:t>计算，</w:t>
      </w:r>
      <w:r>
        <w:rPr>
          <w:rFonts w:hint="eastAsia"/>
        </w:rPr>
        <w:t>策略回测结果如下</w:t>
      </w:r>
    </w:p>
    <w:p w:rsidR="00E919B5" w:rsidRDefault="00A017B0" w:rsidP="005979E3">
      <w:pPr>
        <w:ind w:firstLineChars="300" w:firstLine="630"/>
        <w:rPr>
          <w:rFonts w:hint="eastAsia"/>
        </w:rPr>
      </w:pPr>
      <w:r>
        <w:rPr>
          <w:noProof/>
        </w:rPr>
        <w:drawing>
          <wp:inline distT="0" distB="0" distL="0" distR="0" wp14:anchorId="1FC57DF0" wp14:editId="7418B751">
            <wp:extent cx="1895475" cy="14573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5475" cy="1457325"/>
                    </a:xfrm>
                    <a:prstGeom prst="rect">
                      <a:avLst/>
                    </a:prstGeom>
                  </pic:spPr>
                </pic:pic>
              </a:graphicData>
            </a:graphic>
          </wp:inline>
        </w:drawing>
      </w:r>
    </w:p>
    <w:p w:rsidR="00A017B0" w:rsidRDefault="00C838BE" w:rsidP="005979E3">
      <w:pPr>
        <w:ind w:firstLineChars="300" w:firstLine="630"/>
      </w:pPr>
      <w:r>
        <w:t>本月</w:t>
      </w:r>
      <w:r>
        <w:rPr>
          <w:rFonts w:hint="eastAsia"/>
        </w:rPr>
        <w:t>18</w:t>
      </w:r>
      <w:r>
        <w:rPr>
          <w:rFonts w:hint="eastAsia"/>
        </w:rPr>
        <w:t>个交易日以来，</w:t>
      </w:r>
      <w:r w:rsidR="00A017B0">
        <w:rPr>
          <w:rFonts w:hint="eastAsia"/>
        </w:rPr>
        <w:t>累计收益率</w:t>
      </w:r>
      <w:r w:rsidR="00A017B0">
        <w:rPr>
          <w:rFonts w:hint="eastAsia"/>
        </w:rPr>
        <w:t>0.53%</w:t>
      </w:r>
      <w:r w:rsidR="00A017B0">
        <w:rPr>
          <w:rFonts w:hint="eastAsia"/>
        </w:rPr>
        <w:t>。</w:t>
      </w:r>
    </w:p>
    <w:p w:rsidR="005979E3" w:rsidRDefault="005979E3" w:rsidP="005979E3">
      <w:pPr>
        <w:ind w:firstLineChars="300" w:firstLine="630"/>
      </w:pPr>
      <w:r>
        <w:rPr>
          <w:rFonts w:hint="eastAsia"/>
        </w:rPr>
        <w:t>净值曲线图如下</w:t>
      </w:r>
    </w:p>
    <w:p w:rsidR="005979E3" w:rsidRDefault="00A017B0" w:rsidP="005979E3">
      <w:pPr>
        <w:ind w:firstLineChars="300" w:firstLine="630"/>
        <w:rPr>
          <w:rFonts w:hint="eastAsia"/>
        </w:rPr>
      </w:pPr>
      <w:r>
        <w:rPr>
          <w:noProof/>
        </w:rPr>
        <w:lastRenderedPageBreak/>
        <w:drawing>
          <wp:inline distT="0" distB="0" distL="0" distR="0" wp14:anchorId="1F268D19" wp14:editId="7B83BD48">
            <wp:extent cx="4703206" cy="266700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1165" cy="2671513"/>
                    </a:xfrm>
                    <a:prstGeom prst="rect">
                      <a:avLst/>
                    </a:prstGeom>
                  </pic:spPr>
                </pic:pic>
              </a:graphicData>
            </a:graphic>
          </wp:inline>
        </w:drawing>
      </w:r>
    </w:p>
    <w:p w:rsidR="005979E3" w:rsidRDefault="005979E3" w:rsidP="005979E3">
      <w:pPr>
        <w:ind w:firstLineChars="300" w:firstLine="630"/>
      </w:pPr>
      <w:r>
        <w:rPr>
          <w:rFonts w:hint="eastAsia"/>
        </w:rPr>
        <w:t>各个资产累计收益图如下：</w:t>
      </w:r>
    </w:p>
    <w:p w:rsidR="005979E3" w:rsidRDefault="00A017B0" w:rsidP="005979E3">
      <w:pPr>
        <w:ind w:firstLineChars="300" w:firstLine="630"/>
        <w:rPr>
          <w:rFonts w:hint="eastAsia"/>
        </w:rPr>
      </w:pPr>
      <w:r>
        <w:rPr>
          <w:noProof/>
        </w:rPr>
        <w:drawing>
          <wp:inline distT="0" distB="0" distL="0" distR="0" wp14:anchorId="6BC0EEBA" wp14:editId="5F8286F5">
            <wp:extent cx="4343400" cy="2669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0053" cy="2679233"/>
                    </a:xfrm>
                    <a:prstGeom prst="rect">
                      <a:avLst/>
                    </a:prstGeom>
                  </pic:spPr>
                </pic:pic>
              </a:graphicData>
            </a:graphic>
          </wp:inline>
        </w:drawing>
      </w:r>
    </w:p>
    <w:p w:rsidR="005979E3" w:rsidRDefault="005979E3" w:rsidP="005979E3">
      <w:pPr>
        <w:ind w:firstLineChars="300" w:firstLine="630"/>
      </w:pPr>
      <w:r>
        <w:rPr>
          <w:rFonts w:hint="eastAsia"/>
        </w:rPr>
        <w:t>资产配置比例图如下：</w:t>
      </w:r>
    </w:p>
    <w:p w:rsidR="005979E3" w:rsidRDefault="00A017B0" w:rsidP="005979E3">
      <w:pPr>
        <w:ind w:firstLineChars="300" w:firstLine="630"/>
      </w:pPr>
      <w:r>
        <w:rPr>
          <w:noProof/>
        </w:rPr>
        <w:drawing>
          <wp:inline distT="0" distB="0" distL="0" distR="0" wp14:anchorId="4586343C" wp14:editId="2EA1EFFF">
            <wp:extent cx="4375150" cy="2615293"/>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0014" cy="2624178"/>
                    </a:xfrm>
                    <a:prstGeom prst="rect">
                      <a:avLst/>
                    </a:prstGeom>
                  </pic:spPr>
                </pic:pic>
              </a:graphicData>
            </a:graphic>
          </wp:inline>
        </w:drawing>
      </w:r>
    </w:p>
    <w:p w:rsidR="001F0C59" w:rsidRDefault="001F0C59" w:rsidP="001F0C59">
      <w:pPr>
        <w:widowControl/>
        <w:shd w:val="clear" w:color="auto" w:fill="FFFFFF"/>
        <w:spacing w:line="315" w:lineRule="atLeast"/>
        <w:rPr>
          <w:rFonts w:ascii="微软雅黑" w:eastAsia="微软雅黑" w:hAnsi="微软雅黑" w:cs="宋体"/>
          <w:color w:val="000000"/>
          <w:kern w:val="0"/>
          <w:szCs w:val="21"/>
          <w:shd w:val="clear" w:color="auto" w:fill="FFFFFF"/>
        </w:rPr>
      </w:pPr>
      <w:r w:rsidRPr="001F0C59">
        <w:rPr>
          <w:rFonts w:ascii="微软雅黑" w:eastAsia="微软雅黑" w:hAnsi="微软雅黑" w:cs="宋体" w:hint="eastAsia"/>
          <w:color w:val="000000"/>
          <w:kern w:val="0"/>
          <w:szCs w:val="21"/>
          <w:shd w:val="clear" w:color="auto" w:fill="FFFFFF"/>
        </w:rPr>
        <w:lastRenderedPageBreak/>
        <w:t>2.2</w:t>
      </w:r>
      <w:r>
        <w:rPr>
          <w:rFonts w:ascii="微软雅黑" w:eastAsia="微软雅黑" w:hAnsi="微软雅黑" w:cs="宋体" w:hint="eastAsia"/>
          <w:color w:val="000000"/>
          <w:kern w:val="0"/>
          <w:szCs w:val="21"/>
          <w:shd w:val="clear" w:color="auto" w:fill="FFFFFF"/>
        </w:rPr>
        <w:t>回测总结</w:t>
      </w:r>
    </w:p>
    <w:p w:rsidR="001F0C59" w:rsidRPr="001F0C59" w:rsidRDefault="001F0C59" w:rsidP="001F0C59">
      <w:pPr>
        <w:ind w:firstLineChars="300" w:firstLine="630"/>
        <w:rPr>
          <w:rFonts w:hint="eastAsia"/>
        </w:rPr>
      </w:pPr>
      <w:r>
        <w:t>这次的回测与之前的回测不同的地方有两点</w:t>
      </w:r>
      <w:r>
        <w:rPr>
          <w:rFonts w:hint="eastAsia"/>
        </w:rPr>
        <w:t>，</w:t>
      </w:r>
      <w:r>
        <w:t>一个是不再将逆回购作为一个单独的资产来分配</w:t>
      </w:r>
      <w:r>
        <w:rPr>
          <w:rFonts w:hint="eastAsia"/>
        </w:rPr>
        <w:t>资金，另一个是不再控制风险资产的比例，让股票：期货：国债的风险贡献比例为</w:t>
      </w:r>
      <w:r>
        <w:rPr>
          <w:rFonts w:hint="eastAsia"/>
        </w:rPr>
        <w:t>1:1:1</w:t>
      </w:r>
      <w:r>
        <w:rPr>
          <w:rFonts w:hint="eastAsia"/>
        </w:rPr>
        <w:t>。新的回测结果显示这样做会让策略表现更加稳健，在股市风格切换不定，银行委外资金不断撤出的今天，这个回测有特殊的参考意义。</w:t>
      </w:r>
      <w:bookmarkStart w:id="0" w:name="_GoBack"/>
      <w:bookmarkEnd w:id="0"/>
    </w:p>
    <w:sectPr w:rsidR="001F0C59" w:rsidRPr="001F0C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A62" w:rsidRDefault="00602A62" w:rsidP="00E168EC">
      <w:r>
        <w:separator/>
      </w:r>
    </w:p>
  </w:endnote>
  <w:endnote w:type="continuationSeparator" w:id="0">
    <w:p w:rsidR="00602A62" w:rsidRDefault="00602A62" w:rsidP="00E16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A62" w:rsidRDefault="00602A62" w:rsidP="00E168EC">
      <w:r>
        <w:separator/>
      </w:r>
    </w:p>
  </w:footnote>
  <w:footnote w:type="continuationSeparator" w:id="0">
    <w:p w:rsidR="00602A62" w:rsidRDefault="00602A62" w:rsidP="00E168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A23E0"/>
    <w:multiLevelType w:val="multilevel"/>
    <w:tmpl w:val="F3849CA4"/>
    <w:lvl w:ilvl="0">
      <w:start w:val="5"/>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653A1A"/>
    <w:multiLevelType w:val="multilevel"/>
    <w:tmpl w:val="68F2A6D0"/>
    <w:lvl w:ilvl="0">
      <w:start w:val="3"/>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31C5DBF"/>
    <w:multiLevelType w:val="multilevel"/>
    <w:tmpl w:val="5DFACBB2"/>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D853DD0"/>
    <w:multiLevelType w:val="multilevel"/>
    <w:tmpl w:val="117E8518"/>
    <w:lvl w:ilvl="0">
      <w:start w:val="2"/>
      <w:numFmt w:val="decimal"/>
      <w:lvlText w:val="%1."/>
      <w:lvlJc w:val="left"/>
      <w:pPr>
        <w:ind w:left="495" w:hanging="495"/>
      </w:pPr>
      <w:rPr>
        <w:rFonts w:hint="default"/>
      </w:rPr>
    </w:lvl>
    <w:lvl w:ilvl="1">
      <w:start w:val="1"/>
      <w:numFmt w:val="decimal"/>
      <w:lvlText w:val="%1.%2、"/>
      <w:lvlJc w:val="left"/>
      <w:pPr>
        <w:ind w:left="1920" w:hanging="72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440" w:hanging="144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10200" w:hanging="1800"/>
      </w:pPr>
      <w:rPr>
        <w:rFonts w:hint="default"/>
      </w:rPr>
    </w:lvl>
    <w:lvl w:ilvl="8">
      <w:start w:val="1"/>
      <w:numFmt w:val="decimal"/>
      <w:lvlText w:val="%1.%2、%3.%4.%5.%6.%7.%8.%9."/>
      <w:lvlJc w:val="left"/>
      <w:pPr>
        <w:ind w:left="11400" w:hanging="1800"/>
      </w:pPr>
      <w:rPr>
        <w:rFonts w:hint="default"/>
      </w:rPr>
    </w:lvl>
  </w:abstractNum>
  <w:abstractNum w:abstractNumId="4" w15:restartNumberingAfterBreak="0">
    <w:nsid w:val="1FB0509C"/>
    <w:multiLevelType w:val="multilevel"/>
    <w:tmpl w:val="48762EC4"/>
    <w:lvl w:ilvl="0">
      <w:start w:val="2"/>
      <w:numFmt w:val="decimal"/>
      <w:lvlText w:val="%1."/>
      <w:lvlJc w:val="left"/>
      <w:pPr>
        <w:ind w:left="495" w:hanging="495"/>
      </w:pPr>
      <w:rPr>
        <w:rFonts w:hint="default"/>
      </w:rPr>
    </w:lvl>
    <w:lvl w:ilvl="1">
      <w:start w:val="1"/>
      <w:numFmt w:val="decimal"/>
      <w:lvlText w:val="%1.%2、"/>
      <w:lvlJc w:val="left"/>
      <w:pPr>
        <w:ind w:left="1920" w:hanging="72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6240" w:hanging="1440"/>
      </w:pPr>
      <w:rPr>
        <w:rFonts w:hint="default"/>
      </w:rPr>
    </w:lvl>
    <w:lvl w:ilvl="5">
      <w:start w:val="1"/>
      <w:numFmt w:val="decimal"/>
      <w:lvlText w:val="%1.%2、%3.%4.%5.%6."/>
      <w:lvlJc w:val="left"/>
      <w:pPr>
        <w:ind w:left="7440" w:hanging="1440"/>
      </w:pPr>
      <w:rPr>
        <w:rFonts w:hint="default"/>
      </w:rPr>
    </w:lvl>
    <w:lvl w:ilvl="6">
      <w:start w:val="1"/>
      <w:numFmt w:val="decimal"/>
      <w:lvlText w:val="%1.%2、%3.%4.%5.%6.%7."/>
      <w:lvlJc w:val="left"/>
      <w:pPr>
        <w:ind w:left="9000" w:hanging="1800"/>
      </w:pPr>
      <w:rPr>
        <w:rFonts w:hint="default"/>
      </w:rPr>
    </w:lvl>
    <w:lvl w:ilvl="7">
      <w:start w:val="1"/>
      <w:numFmt w:val="decimal"/>
      <w:lvlText w:val="%1.%2、%3.%4.%5.%6.%7.%8."/>
      <w:lvlJc w:val="left"/>
      <w:pPr>
        <w:ind w:left="10200" w:hanging="1800"/>
      </w:pPr>
      <w:rPr>
        <w:rFonts w:hint="default"/>
      </w:rPr>
    </w:lvl>
    <w:lvl w:ilvl="8">
      <w:start w:val="1"/>
      <w:numFmt w:val="decimal"/>
      <w:lvlText w:val="%1.%2、%3.%4.%5.%6.%7.%8.%9."/>
      <w:lvlJc w:val="left"/>
      <w:pPr>
        <w:ind w:left="11760" w:hanging="2160"/>
      </w:pPr>
      <w:rPr>
        <w:rFonts w:hint="default"/>
      </w:rPr>
    </w:lvl>
  </w:abstractNum>
  <w:abstractNum w:abstractNumId="5" w15:restartNumberingAfterBreak="0">
    <w:nsid w:val="32425343"/>
    <w:multiLevelType w:val="multilevel"/>
    <w:tmpl w:val="6A084F9E"/>
    <w:lvl w:ilvl="0">
      <w:start w:val="3"/>
      <w:numFmt w:val="decimal"/>
      <w:lvlText w:val="%1."/>
      <w:lvlJc w:val="left"/>
      <w:pPr>
        <w:ind w:left="495" w:hanging="495"/>
      </w:pPr>
      <w:rPr>
        <w:rFonts w:hint="default"/>
      </w:rPr>
    </w:lvl>
    <w:lvl w:ilvl="1">
      <w:start w:val="1"/>
      <w:numFmt w:val="decimal"/>
      <w:lvlText w:val="%1.%2、"/>
      <w:lvlJc w:val="left"/>
      <w:pPr>
        <w:ind w:left="720" w:hanging="720"/>
      </w:pPr>
      <w:rPr>
        <w:rFonts w:hint="default"/>
        <w:sz w:val="2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6046952"/>
    <w:multiLevelType w:val="multilevel"/>
    <w:tmpl w:val="6B9813AC"/>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F0E417A"/>
    <w:multiLevelType w:val="multilevel"/>
    <w:tmpl w:val="2A3A5874"/>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C201F71"/>
    <w:multiLevelType w:val="multilevel"/>
    <w:tmpl w:val="6B9813AC"/>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58A60E1"/>
    <w:multiLevelType w:val="multilevel"/>
    <w:tmpl w:val="E72E73F8"/>
    <w:lvl w:ilvl="0">
      <w:start w:val="4"/>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94E511B"/>
    <w:multiLevelType w:val="multilevel"/>
    <w:tmpl w:val="93FA78B8"/>
    <w:lvl w:ilvl="0">
      <w:start w:val="4"/>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99F727C"/>
    <w:multiLevelType w:val="hybridMultilevel"/>
    <w:tmpl w:val="3FEE0672"/>
    <w:lvl w:ilvl="0" w:tplc="8DCC3FA6">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5536228"/>
    <w:multiLevelType w:val="multilevel"/>
    <w:tmpl w:val="DA94E246"/>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AF744ED"/>
    <w:multiLevelType w:val="hybridMultilevel"/>
    <w:tmpl w:val="65CCC770"/>
    <w:lvl w:ilvl="0" w:tplc="83222BD6">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C8282012">
      <w:start w:val="2"/>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1"/>
  </w:num>
  <w:num w:numId="3">
    <w:abstractNumId w:val="6"/>
  </w:num>
  <w:num w:numId="4">
    <w:abstractNumId w:val="7"/>
  </w:num>
  <w:num w:numId="5">
    <w:abstractNumId w:val="1"/>
  </w:num>
  <w:num w:numId="6">
    <w:abstractNumId w:val="2"/>
  </w:num>
  <w:num w:numId="7">
    <w:abstractNumId w:val="9"/>
  </w:num>
  <w:num w:numId="8">
    <w:abstractNumId w:val="3"/>
  </w:num>
  <w:num w:numId="9">
    <w:abstractNumId w:val="5"/>
  </w:num>
  <w:num w:numId="10">
    <w:abstractNumId w:val="10"/>
  </w:num>
  <w:num w:numId="11">
    <w:abstractNumId w:val="0"/>
  </w:num>
  <w:num w:numId="12">
    <w:abstractNumId w:val="4"/>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16B"/>
    <w:rsid w:val="0001505B"/>
    <w:rsid w:val="00020B8E"/>
    <w:rsid w:val="0004575E"/>
    <w:rsid w:val="000515B5"/>
    <w:rsid w:val="00072444"/>
    <w:rsid w:val="00073B43"/>
    <w:rsid w:val="00091CB8"/>
    <w:rsid w:val="000C58B3"/>
    <w:rsid w:val="000D42D2"/>
    <w:rsid w:val="000F4ADD"/>
    <w:rsid w:val="001005C1"/>
    <w:rsid w:val="001018AE"/>
    <w:rsid w:val="00114A75"/>
    <w:rsid w:val="001417F4"/>
    <w:rsid w:val="00154855"/>
    <w:rsid w:val="00196284"/>
    <w:rsid w:val="00197FA2"/>
    <w:rsid w:val="001D1785"/>
    <w:rsid w:val="001F0C59"/>
    <w:rsid w:val="001F159E"/>
    <w:rsid w:val="001F761E"/>
    <w:rsid w:val="00201C7D"/>
    <w:rsid w:val="00227CAC"/>
    <w:rsid w:val="00273550"/>
    <w:rsid w:val="002741A6"/>
    <w:rsid w:val="002862D1"/>
    <w:rsid w:val="002B25A2"/>
    <w:rsid w:val="002B6032"/>
    <w:rsid w:val="002C1A1F"/>
    <w:rsid w:val="002D0641"/>
    <w:rsid w:val="002E4F67"/>
    <w:rsid w:val="002E79BF"/>
    <w:rsid w:val="002F0E4E"/>
    <w:rsid w:val="002F69A3"/>
    <w:rsid w:val="00315250"/>
    <w:rsid w:val="00327C5A"/>
    <w:rsid w:val="00330D99"/>
    <w:rsid w:val="00337198"/>
    <w:rsid w:val="00375BF5"/>
    <w:rsid w:val="00382A18"/>
    <w:rsid w:val="0039111B"/>
    <w:rsid w:val="003D7607"/>
    <w:rsid w:val="0040049A"/>
    <w:rsid w:val="004121FE"/>
    <w:rsid w:val="00414BEE"/>
    <w:rsid w:val="00441403"/>
    <w:rsid w:val="00442E3C"/>
    <w:rsid w:val="004466D0"/>
    <w:rsid w:val="00470282"/>
    <w:rsid w:val="00485C59"/>
    <w:rsid w:val="004960E3"/>
    <w:rsid w:val="004D7CFA"/>
    <w:rsid w:val="004F2AFD"/>
    <w:rsid w:val="004F6BE6"/>
    <w:rsid w:val="00502CFC"/>
    <w:rsid w:val="00514D1F"/>
    <w:rsid w:val="00530050"/>
    <w:rsid w:val="0053747B"/>
    <w:rsid w:val="00553AFA"/>
    <w:rsid w:val="005707DB"/>
    <w:rsid w:val="005761C0"/>
    <w:rsid w:val="005870C8"/>
    <w:rsid w:val="0059544C"/>
    <w:rsid w:val="005979E3"/>
    <w:rsid w:val="005B72BB"/>
    <w:rsid w:val="005C3A47"/>
    <w:rsid w:val="005E07CF"/>
    <w:rsid w:val="00602A62"/>
    <w:rsid w:val="006035D3"/>
    <w:rsid w:val="00647897"/>
    <w:rsid w:val="00652EFA"/>
    <w:rsid w:val="006767C8"/>
    <w:rsid w:val="00680478"/>
    <w:rsid w:val="00691325"/>
    <w:rsid w:val="007049F6"/>
    <w:rsid w:val="00706969"/>
    <w:rsid w:val="007508F4"/>
    <w:rsid w:val="007D416B"/>
    <w:rsid w:val="007D5D45"/>
    <w:rsid w:val="007E0CE9"/>
    <w:rsid w:val="007E4C11"/>
    <w:rsid w:val="00843DB2"/>
    <w:rsid w:val="0085589C"/>
    <w:rsid w:val="0089038F"/>
    <w:rsid w:val="00897347"/>
    <w:rsid w:val="008A23BC"/>
    <w:rsid w:val="008B249E"/>
    <w:rsid w:val="008B3922"/>
    <w:rsid w:val="008D1087"/>
    <w:rsid w:val="008E68B6"/>
    <w:rsid w:val="008F2754"/>
    <w:rsid w:val="00920C30"/>
    <w:rsid w:val="009428D1"/>
    <w:rsid w:val="00946F24"/>
    <w:rsid w:val="009841F8"/>
    <w:rsid w:val="009A781A"/>
    <w:rsid w:val="00A017B0"/>
    <w:rsid w:val="00A55216"/>
    <w:rsid w:val="00A64F22"/>
    <w:rsid w:val="00A74EF3"/>
    <w:rsid w:val="00AA4F96"/>
    <w:rsid w:val="00AC4DD1"/>
    <w:rsid w:val="00AF2088"/>
    <w:rsid w:val="00AF74B2"/>
    <w:rsid w:val="00B10BC1"/>
    <w:rsid w:val="00B2174C"/>
    <w:rsid w:val="00B4163C"/>
    <w:rsid w:val="00B66B4F"/>
    <w:rsid w:val="00B768ED"/>
    <w:rsid w:val="00B91B92"/>
    <w:rsid w:val="00BE3B2C"/>
    <w:rsid w:val="00C415D2"/>
    <w:rsid w:val="00C43ACB"/>
    <w:rsid w:val="00C52F4E"/>
    <w:rsid w:val="00C55080"/>
    <w:rsid w:val="00C579CB"/>
    <w:rsid w:val="00C60DE0"/>
    <w:rsid w:val="00C6355E"/>
    <w:rsid w:val="00C838BE"/>
    <w:rsid w:val="00CC53B8"/>
    <w:rsid w:val="00CE483E"/>
    <w:rsid w:val="00CE7E03"/>
    <w:rsid w:val="00CF2EBB"/>
    <w:rsid w:val="00D21F65"/>
    <w:rsid w:val="00D24BFB"/>
    <w:rsid w:val="00D54688"/>
    <w:rsid w:val="00D71CCF"/>
    <w:rsid w:val="00DA4D87"/>
    <w:rsid w:val="00DE20C9"/>
    <w:rsid w:val="00DF486A"/>
    <w:rsid w:val="00E01393"/>
    <w:rsid w:val="00E168EC"/>
    <w:rsid w:val="00E252A3"/>
    <w:rsid w:val="00E73A15"/>
    <w:rsid w:val="00E85638"/>
    <w:rsid w:val="00E919B5"/>
    <w:rsid w:val="00EB3AC0"/>
    <w:rsid w:val="00EE0D1A"/>
    <w:rsid w:val="00EE2180"/>
    <w:rsid w:val="00F159FC"/>
    <w:rsid w:val="00F44E99"/>
    <w:rsid w:val="00F55DB0"/>
    <w:rsid w:val="00F70A37"/>
    <w:rsid w:val="00F716A3"/>
    <w:rsid w:val="00F87444"/>
    <w:rsid w:val="00FA7C3B"/>
    <w:rsid w:val="00FB01FC"/>
    <w:rsid w:val="00FC520A"/>
    <w:rsid w:val="00FC534D"/>
    <w:rsid w:val="00FD0BC6"/>
    <w:rsid w:val="00FD6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557BD5-7136-4352-BB62-53B30C5CD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68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68EC"/>
    <w:rPr>
      <w:sz w:val="18"/>
      <w:szCs w:val="18"/>
    </w:rPr>
  </w:style>
  <w:style w:type="paragraph" w:styleId="a4">
    <w:name w:val="footer"/>
    <w:basedOn w:val="a"/>
    <w:link w:val="Char0"/>
    <w:uiPriority w:val="99"/>
    <w:unhideWhenUsed/>
    <w:rsid w:val="00E168EC"/>
    <w:pPr>
      <w:tabs>
        <w:tab w:val="center" w:pos="4153"/>
        <w:tab w:val="right" w:pos="8306"/>
      </w:tabs>
      <w:snapToGrid w:val="0"/>
      <w:jc w:val="left"/>
    </w:pPr>
    <w:rPr>
      <w:sz w:val="18"/>
      <w:szCs w:val="18"/>
    </w:rPr>
  </w:style>
  <w:style w:type="character" w:customStyle="1" w:styleId="Char0">
    <w:name w:val="页脚 Char"/>
    <w:basedOn w:val="a0"/>
    <w:link w:val="a4"/>
    <w:uiPriority w:val="99"/>
    <w:rsid w:val="00E168EC"/>
    <w:rPr>
      <w:sz w:val="18"/>
      <w:szCs w:val="18"/>
    </w:rPr>
  </w:style>
  <w:style w:type="paragraph" w:styleId="a5">
    <w:name w:val="List Paragraph"/>
    <w:basedOn w:val="a"/>
    <w:uiPriority w:val="34"/>
    <w:qFormat/>
    <w:rsid w:val="00E168EC"/>
    <w:pPr>
      <w:ind w:firstLineChars="200" w:firstLine="420"/>
    </w:pPr>
  </w:style>
  <w:style w:type="table" w:styleId="a6">
    <w:name w:val="Table Grid"/>
    <w:basedOn w:val="a1"/>
    <w:uiPriority w:val="39"/>
    <w:rsid w:val="00114A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B416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3476">
      <w:bodyDiv w:val="1"/>
      <w:marLeft w:val="0"/>
      <w:marRight w:val="0"/>
      <w:marTop w:val="0"/>
      <w:marBottom w:val="0"/>
      <w:divBdr>
        <w:top w:val="none" w:sz="0" w:space="0" w:color="auto"/>
        <w:left w:val="none" w:sz="0" w:space="0" w:color="auto"/>
        <w:bottom w:val="none" w:sz="0" w:space="0" w:color="auto"/>
        <w:right w:val="none" w:sz="0" w:space="0" w:color="auto"/>
      </w:divBdr>
    </w:div>
    <w:div w:id="1225290098">
      <w:bodyDiv w:val="1"/>
      <w:marLeft w:val="0"/>
      <w:marRight w:val="0"/>
      <w:marTop w:val="0"/>
      <w:marBottom w:val="0"/>
      <w:divBdr>
        <w:top w:val="none" w:sz="0" w:space="0" w:color="auto"/>
        <w:left w:val="none" w:sz="0" w:space="0" w:color="auto"/>
        <w:bottom w:val="none" w:sz="0" w:space="0" w:color="auto"/>
        <w:right w:val="none" w:sz="0" w:space="0" w:color="auto"/>
      </w:divBdr>
    </w:div>
    <w:div w:id="1604612981">
      <w:bodyDiv w:val="1"/>
      <w:marLeft w:val="0"/>
      <w:marRight w:val="0"/>
      <w:marTop w:val="0"/>
      <w:marBottom w:val="0"/>
      <w:divBdr>
        <w:top w:val="none" w:sz="0" w:space="0" w:color="auto"/>
        <w:left w:val="none" w:sz="0" w:space="0" w:color="auto"/>
        <w:bottom w:val="none" w:sz="0" w:space="0" w:color="auto"/>
        <w:right w:val="none" w:sz="0" w:space="0" w:color="auto"/>
      </w:divBdr>
    </w:div>
    <w:div w:id="1933969516">
      <w:bodyDiv w:val="1"/>
      <w:marLeft w:val="0"/>
      <w:marRight w:val="0"/>
      <w:marTop w:val="0"/>
      <w:marBottom w:val="0"/>
      <w:divBdr>
        <w:top w:val="none" w:sz="0" w:space="0" w:color="auto"/>
        <w:left w:val="none" w:sz="0" w:space="0" w:color="auto"/>
        <w:bottom w:val="none" w:sz="0" w:space="0" w:color="auto"/>
        <w:right w:val="none" w:sz="0" w:space="0" w:color="auto"/>
      </w:divBdr>
    </w:div>
    <w:div w:id="1990356409">
      <w:bodyDiv w:val="1"/>
      <w:marLeft w:val="0"/>
      <w:marRight w:val="0"/>
      <w:marTop w:val="0"/>
      <w:marBottom w:val="0"/>
      <w:divBdr>
        <w:top w:val="none" w:sz="0" w:space="0" w:color="auto"/>
        <w:left w:val="none" w:sz="0" w:space="0" w:color="auto"/>
        <w:bottom w:val="none" w:sz="0" w:space="0" w:color="auto"/>
        <w:right w:val="none" w:sz="0" w:space="0" w:color="auto"/>
      </w:divBdr>
    </w:div>
    <w:div w:id="199610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57EBA-1328-450F-8025-74F467DF0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3019</TotalTime>
  <Pages>4</Pages>
  <Words>200</Words>
  <Characters>1143</Characters>
  <Application>Microsoft Office Word</Application>
  <DocSecurity>0</DocSecurity>
  <Lines>9</Lines>
  <Paragraphs>2</Paragraphs>
  <ScaleCrop>false</ScaleCrop>
  <Company/>
  <LinksUpToDate>false</LinksUpToDate>
  <CharactersWithSpaces>1341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KC002</dc:creator>
  <cp:keywords/>
  <dc:description/>
  <cp:lastModifiedBy>KC002</cp:lastModifiedBy>
  <cp:revision>102</cp:revision>
  <cp:lastPrinted>2017-04-27T06:42:00Z</cp:lastPrinted>
  <dcterms:created xsi:type="dcterms:W3CDTF">2017-02-16T14:30:00Z</dcterms:created>
  <dcterms:modified xsi:type="dcterms:W3CDTF">2017-04-27T06:48:00Z</dcterms:modified>
</cp:coreProperties>
</file>