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99" w:rsidRDefault="00330D99" w:rsidP="00196284">
      <w:pPr>
        <w:ind w:left="840" w:firstLine="420"/>
      </w:pP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EB3AC0" w:rsidRDefault="00EB3AC0" w:rsidP="00EB3AC0">
      <w:pPr>
        <w:ind w:firstLine="420"/>
      </w:pPr>
      <w:r>
        <w:rPr>
          <w:rFonts w:hint="eastAsia"/>
        </w:rPr>
        <w:t>长江证券《</w:t>
      </w:r>
      <w:r w:rsidRPr="008F4303">
        <w:rPr>
          <w:rFonts w:hint="eastAsia"/>
        </w:rPr>
        <w:t>基于风险平价模型的收益增强策略</w:t>
      </w:r>
      <w:r>
        <w:rPr>
          <w:rFonts w:hint="eastAsia"/>
        </w:rPr>
        <w:t>》研报中，求得风险平价下最优权重得求解式如下：</w:t>
      </w:r>
    </w:p>
    <w:p w:rsidR="00EB3AC0" w:rsidRDefault="00EB3AC0" w:rsidP="00EB3AC0">
      <w:r>
        <w:tab/>
      </w:r>
      <w:r>
        <w:rPr>
          <w:rFonts w:hint="eastAsia"/>
          <w:noProof/>
        </w:rPr>
        <w:drawing>
          <wp:inline distT="0" distB="0" distL="0" distR="0" wp14:anchorId="25B28BD1" wp14:editId="4DAA9051">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8">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EB3AC0" w:rsidRDefault="00EB3AC0" w:rsidP="00EB3AC0">
      <w:r>
        <w:tab/>
        <w:t>M</w:t>
      </w:r>
      <w:r>
        <w:rPr>
          <w:rFonts w:hint="eastAsia"/>
        </w:rPr>
        <w:t>atlab</w:t>
      </w:r>
      <w:r>
        <w:rPr>
          <w:rFonts w:hint="eastAsia"/>
        </w:rPr>
        <w:t>程序中，关于目标函数，我编写如下：</w:t>
      </w:r>
    </w:p>
    <w:p w:rsidR="00EB3AC0" w:rsidRDefault="00EB3AC0" w:rsidP="00EB3AC0">
      <w:r>
        <w:tab/>
        <w:t>y = std ( Cov * x .* x )</w:t>
      </w:r>
    </w:p>
    <w:p w:rsidR="00EB3AC0" w:rsidRPr="00EE2180" w:rsidRDefault="00EB3AC0" w:rsidP="00EB3AC0">
      <w:pPr>
        <w:rPr>
          <w:rFonts w:hint="eastAsia"/>
        </w:rPr>
      </w:pPr>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EB3AC0" w:rsidRPr="00EE05F3" w:rsidRDefault="00EB3AC0" w:rsidP="00114A75">
      <w:pPr>
        <w:ind w:firstLine="420"/>
      </w:pPr>
    </w:p>
    <w:p w:rsidR="002B6032" w:rsidRPr="00FC520A" w:rsidRDefault="008E2AEB"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时间序列动量</w:t>
      </w:r>
      <w:r w:rsidR="002B6032" w:rsidRPr="00FC520A">
        <w:rPr>
          <w:rFonts w:ascii="微软雅黑" w:eastAsia="微软雅黑" w:hAnsi="微软雅黑" w:cs="宋体"/>
          <w:color w:val="000000"/>
          <w:kern w:val="0"/>
          <w:szCs w:val="21"/>
          <w:shd w:val="clear" w:color="auto" w:fill="FFFFFF"/>
        </w:rPr>
        <w:t>策略</w:t>
      </w:r>
      <w:r>
        <w:rPr>
          <w:rFonts w:ascii="微软雅黑" w:eastAsia="微软雅黑" w:hAnsi="微软雅黑" w:cs="宋体" w:hint="eastAsia"/>
          <w:color w:val="000000"/>
          <w:kern w:val="0"/>
          <w:szCs w:val="21"/>
          <w:shd w:val="clear" w:color="auto" w:fill="FFFFFF"/>
        </w:rPr>
        <w:t>（TSMON）</w:t>
      </w:r>
      <w:r w:rsidR="002B6032" w:rsidRPr="00FC520A">
        <w:rPr>
          <w:rFonts w:ascii="微软雅黑" w:eastAsia="微软雅黑" w:hAnsi="微软雅黑" w:cs="宋体"/>
          <w:color w:val="000000"/>
          <w:kern w:val="0"/>
          <w:szCs w:val="21"/>
          <w:shd w:val="clear" w:color="auto" w:fill="FFFFFF"/>
        </w:rPr>
        <w:t>介绍</w:t>
      </w:r>
    </w:p>
    <w:p w:rsidR="00AC1097" w:rsidRPr="00AC1097" w:rsidRDefault="00AC1097" w:rsidP="00AC1097">
      <w:pPr>
        <w:pStyle w:val="a8"/>
        <w:spacing w:before="0" w:beforeAutospacing="0" w:after="0" w:afterAutospacing="0"/>
        <w:ind w:firstLine="420"/>
        <w:rPr>
          <w:rFonts w:asciiTheme="minorHAnsi" w:eastAsiaTheme="minorEastAsia" w:hAnsiTheme="minorHAnsi" w:cstheme="minorBidi"/>
          <w:kern w:val="2"/>
          <w:sz w:val="21"/>
          <w:szCs w:val="22"/>
        </w:rPr>
      </w:pPr>
      <w:r w:rsidRPr="00AC1097">
        <w:rPr>
          <w:rFonts w:asciiTheme="minorHAnsi" w:eastAsiaTheme="minorEastAsia" w:hAnsiTheme="minorHAnsi" w:cstheme="minorBidi"/>
          <w:kern w:val="2"/>
          <w:sz w:val="21"/>
          <w:szCs w:val="22"/>
        </w:rPr>
        <w:t>索罗斯的量子基金维持了</w:t>
      </w:r>
      <w:r w:rsidRPr="00AC1097">
        <w:rPr>
          <w:rFonts w:asciiTheme="minorHAnsi" w:eastAsiaTheme="minorEastAsia" w:hAnsiTheme="minorHAnsi" w:cstheme="minorBidi" w:hint="eastAsia"/>
          <w:kern w:val="2"/>
          <w:sz w:val="21"/>
          <w:szCs w:val="22"/>
        </w:rPr>
        <w:t>30</w:t>
      </w:r>
      <w:r w:rsidRPr="00AC1097">
        <w:rPr>
          <w:rFonts w:asciiTheme="minorHAnsi" w:eastAsiaTheme="minorEastAsia" w:hAnsiTheme="minorHAnsi" w:cstheme="minorBidi" w:hint="eastAsia"/>
          <w:kern w:val="2"/>
          <w:sz w:val="21"/>
          <w:szCs w:val="22"/>
        </w:rPr>
        <w:t>年平均年化收益</w:t>
      </w:r>
      <w:r w:rsidRPr="00AC1097">
        <w:rPr>
          <w:rFonts w:asciiTheme="minorHAnsi" w:eastAsiaTheme="minorEastAsia" w:hAnsiTheme="minorHAnsi" w:cstheme="minorBidi" w:hint="eastAsia"/>
          <w:kern w:val="2"/>
          <w:sz w:val="21"/>
          <w:szCs w:val="22"/>
        </w:rPr>
        <w:t>30%</w:t>
      </w:r>
      <w:r w:rsidRPr="00AC1097">
        <w:rPr>
          <w:rFonts w:asciiTheme="minorHAnsi" w:eastAsiaTheme="minorEastAsia" w:hAnsiTheme="minorHAnsi" w:cstheme="minorBidi" w:hint="eastAsia"/>
          <w:kern w:val="2"/>
          <w:sz w:val="21"/>
          <w:szCs w:val="22"/>
        </w:rPr>
        <w:t>的成绩，</w:t>
      </w:r>
      <w:r w:rsidRPr="00AC1097">
        <w:rPr>
          <w:rFonts w:asciiTheme="minorHAnsi" w:eastAsiaTheme="minorEastAsia" w:hAnsiTheme="minorHAnsi" w:cstheme="minorBidi" w:hint="eastAsia"/>
          <w:kern w:val="2"/>
          <w:sz w:val="21"/>
          <w:szCs w:val="22"/>
        </w:rPr>
        <w:t>AQR</w:t>
      </w:r>
      <w:r w:rsidRPr="00AC1097">
        <w:rPr>
          <w:rFonts w:asciiTheme="minorHAnsi" w:eastAsiaTheme="minorEastAsia" w:hAnsiTheme="minorHAnsi" w:cstheme="minorBidi" w:hint="eastAsia"/>
          <w:kern w:val="2"/>
          <w:sz w:val="21"/>
          <w:szCs w:val="22"/>
        </w:rPr>
        <w:t>的同仁对量子基金</w:t>
      </w:r>
      <w:r w:rsidRPr="00AC1097">
        <w:rPr>
          <w:rFonts w:asciiTheme="minorHAnsi" w:eastAsiaTheme="minorEastAsia" w:hAnsiTheme="minorHAnsi" w:cstheme="minorBidi" w:hint="eastAsia"/>
          <w:kern w:val="2"/>
          <w:sz w:val="21"/>
          <w:szCs w:val="22"/>
        </w:rPr>
        <w:t>1985</w:t>
      </w:r>
      <w:r w:rsidRPr="00AC1097">
        <w:rPr>
          <w:rFonts w:asciiTheme="minorHAnsi" w:eastAsiaTheme="minorEastAsia" w:hAnsiTheme="minorHAnsi" w:cstheme="minorBidi" w:hint="eastAsia"/>
          <w:kern w:val="2"/>
          <w:sz w:val="21"/>
          <w:szCs w:val="22"/>
        </w:rPr>
        <w:t>年</w:t>
      </w:r>
      <w:r w:rsidRPr="00AC1097">
        <w:rPr>
          <w:rFonts w:asciiTheme="minorHAnsi" w:eastAsiaTheme="minorEastAsia" w:hAnsiTheme="minorHAnsi" w:cstheme="minorBidi" w:hint="eastAsia"/>
          <w:kern w:val="2"/>
          <w:sz w:val="21"/>
          <w:szCs w:val="22"/>
        </w:rPr>
        <w:t>3</w:t>
      </w:r>
      <w:r w:rsidRPr="00AC1097">
        <w:rPr>
          <w:rFonts w:asciiTheme="minorHAnsi" w:eastAsiaTheme="minorEastAsia" w:hAnsiTheme="minorHAnsi" w:cstheme="minorBidi" w:hint="eastAsia"/>
          <w:kern w:val="2"/>
          <w:sz w:val="21"/>
          <w:szCs w:val="22"/>
        </w:rPr>
        <w:t>月开始至</w:t>
      </w:r>
      <w:r w:rsidRPr="00AC1097">
        <w:rPr>
          <w:rFonts w:asciiTheme="minorHAnsi" w:eastAsiaTheme="minorEastAsia" w:hAnsiTheme="minorHAnsi" w:cstheme="minorBidi" w:hint="eastAsia"/>
          <w:kern w:val="2"/>
          <w:sz w:val="21"/>
          <w:szCs w:val="22"/>
        </w:rPr>
        <w:t>2004</w:t>
      </w:r>
      <w:r w:rsidRPr="00AC1097">
        <w:rPr>
          <w:rFonts w:asciiTheme="minorHAnsi" w:eastAsiaTheme="minorEastAsia" w:hAnsiTheme="minorHAnsi" w:cstheme="minorBidi" w:hint="eastAsia"/>
          <w:kern w:val="2"/>
          <w:sz w:val="21"/>
          <w:szCs w:val="22"/>
        </w:rPr>
        <w:t>年</w:t>
      </w:r>
      <w:r w:rsidRPr="00AC1097">
        <w:rPr>
          <w:rFonts w:asciiTheme="minorHAnsi" w:eastAsiaTheme="minorEastAsia" w:hAnsiTheme="minorHAnsi" w:cstheme="minorBidi" w:hint="eastAsia"/>
          <w:kern w:val="2"/>
          <w:sz w:val="21"/>
          <w:szCs w:val="22"/>
        </w:rPr>
        <w:t>5</w:t>
      </w:r>
      <w:r w:rsidRPr="00AC1097">
        <w:rPr>
          <w:rFonts w:asciiTheme="minorHAnsi" w:eastAsiaTheme="minorEastAsia" w:hAnsiTheme="minorHAnsi" w:cstheme="minorBidi" w:hint="eastAsia"/>
          <w:kern w:val="2"/>
          <w:sz w:val="21"/>
          <w:szCs w:val="22"/>
        </w:rPr>
        <w:t>月的表现进行了归因分析，发现在这</w:t>
      </w:r>
      <w:r w:rsidRPr="00AC1097">
        <w:rPr>
          <w:rFonts w:asciiTheme="minorHAnsi" w:eastAsiaTheme="minorEastAsia" w:hAnsiTheme="minorHAnsi" w:cstheme="minorBidi" w:hint="eastAsia"/>
          <w:kern w:val="2"/>
          <w:sz w:val="21"/>
          <w:szCs w:val="22"/>
        </w:rPr>
        <w:t>20</w:t>
      </w:r>
      <w:r w:rsidRPr="00AC1097">
        <w:rPr>
          <w:rFonts w:asciiTheme="minorHAnsi" w:eastAsiaTheme="minorEastAsia" w:hAnsiTheme="minorHAnsi" w:cstheme="minorBidi" w:hint="eastAsia"/>
          <w:kern w:val="2"/>
          <w:sz w:val="21"/>
          <w:szCs w:val="22"/>
        </w:rPr>
        <w:t>年里，有</w:t>
      </w:r>
      <w:r w:rsidRPr="00AC1097">
        <w:rPr>
          <w:rFonts w:asciiTheme="minorHAnsi" w:eastAsiaTheme="minorEastAsia" w:hAnsiTheme="minorHAnsi" w:cstheme="minorBidi" w:hint="eastAsia"/>
          <w:kern w:val="2"/>
          <w:sz w:val="21"/>
          <w:szCs w:val="22"/>
        </w:rPr>
        <w:t>14.2%</w:t>
      </w:r>
      <w:r w:rsidRPr="00AC1097">
        <w:rPr>
          <w:rFonts w:asciiTheme="minorHAnsi" w:eastAsiaTheme="minorEastAsia" w:hAnsiTheme="minorHAnsi" w:cstheme="minorBidi" w:hint="eastAsia"/>
          <w:kern w:val="2"/>
          <w:sz w:val="21"/>
          <w:szCs w:val="22"/>
        </w:rPr>
        <w:t>的年化收益来源于趋势跟踪（</w:t>
      </w:r>
      <w:r w:rsidRPr="00AC1097">
        <w:rPr>
          <w:rFonts w:asciiTheme="minorHAnsi" w:eastAsiaTheme="minorEastAsia" w:hAnsiTheme="minorHAnsi" w:cstheme="minorBidi" w:hint="eastAsia"/>
          <w:kern w:val="2"/>
          <w:sz w:val="21"/>
          <w:szCs w:val="22"/>
        </w:rPr>
        <w:t>Trend</w:t>
      </w:r>
      <w:r w:rsidRPr="00AC1097">
        <w:rPr>
          <w:rFonts w:asciiTheme="minorHAnsi" w:eastAsiaTheme="minorEastAsia" w:hAnsiTheme="minorHAnsi" w:cstheme="minorBidi" w:hint="eastAsia"/>
          <w:kern w:val="2"/>
          <w:sz w:val="21"/>
          <w:szCs w:val="22"/>
        </w:rPr>
        <w:t>），</w:t>
      </w:r>
      <w:r w:rsidRPr="00AC1097">
        <w:rPr>
          <w:rFonts w:asciiTheme="minorHAnsi" w:eastAsiaTheme="minorEastAsia" w:hAnsiTheme="minorHAnsi" w:cstheme="minorBidi" w:hint="eastAsia"/>
          <w:kern w:val="2"/>
          <w:sz w:val="21"/>
          <w:szCs w:val="22"/>
        </w:rPr>
        <w:t>10.8%</w:t>
      </w:r>
      <w:r w:rsidRPr="00AC1097">
        <w:rPr>
          <w:rFonts w:asciiTheme="minorHAnsi" w:eastAsiaTheme="minorEastAsia" w:hAnsiTheme="minorHAnsi" w:cstheme="minorBidi" w:hint="eastAsia"/>
          <w:kern w:val="2"/>
          <w:sz w:val="21"/>
          <w:szCs w:val="22"/>
        </w:rPr>
        <w:t>来自于大类资产的时间序列动量因子</w:t>
      </w:r>
      <w:r w:rsidRPr="00AC1097">
        <w:rPr>
          <w:rFonts w:asciiTheme="minorHAnsi" w:eastAsiaTheme="minorEastAsia" w:hAnsiTheme="minorHAnsi" w:cstheme="minorBidi" w:hint="eastAsia"/>
          <w:kern w:val="2"/>
          <w:sz w:val="21"/>
          <w:szCs w:val="22"/>
        </w:rPr>
        <w:t>（</w:t>
      </w:r>
      <w:r w:rsidRPr="00AC1097">
        <w:rPr>
          <w:rFonts w:asciiTheme="minorHAnsi" w:eastAsiaTheme="minorEastAsia" w:hAnsiTheme="minorHAnsi" w:cstheme="minorBidi" w:hint="eastAsia"/>
          <w:kern w:val="2"/>
          <w:sz w:val="21"/>
          <w:szCs w:val="22"/>
        </w:rPr>
        <w:t>TSMOM: Time Series Momentum</w:t>
      </w:r>
      <w:r w:rsidRPr="00AC1097">
        <w:rPr>
          <w:rFonts w:asciiTheme="minorHAnsi" w:eastAsiaTheme="minorEastAsia" w:hAnsiTheme="minorHAnsi" w:cstheme="minorBidi" w:hint="eastAsia"/>
          <w:kern w:val="2"/>
          <w:sz w:val="21"/>
          <w:szCs w:val="22"/>
        </w:rPr>
        <w:t>）</w:t>
      </w:r>
      <w:r w:rsidRPr="00AC1097">
        <w:rPr>
          <w:rFonts w:asciiTheme="minorHAnsi" w:eastAsiaTheme="minorEastAsia" w:hAnsiTheme="minorHAnsi" w:cstheme="minorBidi" w:hint="eastAsia"/>
          <w:kern w:val="2"/>
          <w:sz w:val="21"/>
          <w:szCs w:val="22"/>
        </w:rPr>
        <w:t>。</w:t>
      </w:r>
    </w:p>
    <w:p w:rsidR="00AC1097" w:rsidRPr="00AC1097" w:rsidRDefault="00AC1097" w:rsidP="00AC1097">
      <w:pPr>
        <w:pStyle w:val="a8"/>
        <w:spacing w:before="0" w:beforeAutospacing="0" w:after="0" w:afterAutospacing="0"/>
        <w:ind w:firstLine="420"/>
        <w:rPr>
          <w:rFonts w:asciiTheme="minorHAnsi" w:eastAsiaTheme="minorEastAsia" w:hAnsiTheme="minorHAnsi" w:cstheme="minorBidi"/>
          <w:kern w:val="2"/>
          <w:sz w:val="21"/>
          <w:szCs w:val="22"/>
        </w:rPr>
      </w:pPr>
      <w:r w:rsidRPr="00AC1097">
        <w:rPr>
          <w:rFonts w:asciiTheme="minorHAnsi" w:eastAsiaTheme="minorEastAsia" w:hAnsiTheme="minorHAnsi" w:cstheme="minorBidi"/>
          <w:kern w:val="2"/>
          <w:sz w:val="21"/>
          <w:szCs w:val="22"/>
        </w:rPr>
        <w:t>时间序列动量策略（以下简称</w:t>
      </w:r>
      <w:r w:rsidRPr="00AC1097">
        <w:rPr>
          <w:rFonts w:asciiTheme="minorHAnsi" w:eastAsiaTheme="minorEastAsia" w:hAnsiTheme="minorHAnsi" w:cstheme="minorBidi"/>
          <w:kern w:val="2"/>
          <w:sz w:val="21"/>
          <w:szCs w:val="22"/>
        </w:rPr>
        <w:t>TSMOM</w:t>
      </w:r>
      <w:r w:rsidRPr="00AC1097">
        <w:rPr>
          <w:rFonts w:asciiTheme="minorHAnsi" w:eastAsiaTheme="minorEastAsia" w:hAnsiTheme="minorHAnsi" w:cstheme="minorBidi"/>
          <w:kern w:val="2"/>
          <w:sz w:val="21"/>
          <w:szCs w:val="22"/>
        </w:rPr>
        <w:t>）很简单：</w:t>
      </w:r>
    </w:p>
    <w:p w:rsidR="00AC1097" w:rsidRPr="00AC1097" w:rsidRDefault="00AC1097" w:rsidP="00AC1097">
      <w:pPr>
        <w:pStyle w:val="a8"/>
        <w:spacing w:before="0" w:beforeAutospacing="0" w:after="0" w:afterAutospacing="0"/>
        <w:ind w:firstLine="420"/>
        <w:rPr>
          <w:rFonts w:asciiTheme="minorHAnsi" w:eastAsiaTheme="minorEastAsia" w:hAnsiTheme="minorHAnsi" w:cstheme="minorBidi" w:hint="eastAsia"/>
          <w:kern w:val="2"/>
          <w:sz w:val="21"/>
          <w:szCs w:val="22"/>
        </w:rPr>
      </w:pPr>
      <w:r w:rsidRPr="00AC1097">
        <w:rPr>
          <w:rFonts w:asciiTheme="minorHAnsi" w:eastAsiaTheme="minorEastAsia" w:hAnsiTheme="minorHAnsi" w:cstheme="minorBidi"/>
          <w:kern w:val="2"/>
          <w:sz w:val="21"/>
          <w:szCs w:val="22"/>
        </w:rPr>
        <w:t>计算资产自身过去</w:t>
      </w:r>
      <w:r w:rsidRPr="00AC1097">
        <w:rPr>
          <w:rFonts w:asciiTheme="minorHAnsi" w:eastAsiaTheme="minorEastAsia" w:hAnsiTheme="minorHAnsi" w:cstheme="minorBidi"/>
          <w:kern w:val="2"/>
          <w:sz w:val="21"/>
          <w:szCs w:val="22"/>
        </w:rPr>
        <w:t>12</w:t>
      </w:r>
      <w:r w:rsidRPr="00AC1097">
        <w:rPr>
          <w:rFonts w:asciiTheme="minorHAnsi" w:eastAsiaTheme="minorEastAsia" w:hAnsiTheme="minorHAnsi" w:cstheme="minorBidi"/>
          <w:kern w:val="2"/>
          <w:sz w:val="21"/>
          <w:szCs w:val="22"/>
        </w:rPr>
        <w:t>月的超额收益（</w:t>
      </w:r>
      <w:r w:rsidRPr="00AC1097">
        <w:rPr>
          <w:rFonts w:asciiTheme="minorHAnsi" w:eastAsiaTheme="minorEastAsia" w:hAnsiTheme="minorHAnsi" w:cstheme="minorBidi"/>
          <w:kern w:val="2"/>
          <w:sz w:val="21"/>
          <w:szCs w:val="22"/>
        </w:rPr>
        <w:t xml:space="preserve">12 month excess return : </w:t>
      </w:r>
      <w:r w:rsidRPr="00AC1097">
        <w:rPr>
          <w:rFonts w:asciiTheme="minorHAnsi" w:eastAsiaTheme="minorEastAsia" w:hAnsiTheme="minorHAnsi" w:cstheme="minorBidi"/>
          <w:kern w:val="2"/>
          <w:sz w:val="21"/>
          <w:szCs w:val="22"/>
        </w:rPr>
        <w:t>现在的收盘价</w:t>
      </w:r>
      <w:r w:rsidRPr="00AC1097">
        <w:rPr>
          <w:rFonts w:asciiTheme="minorHAnsi" w:eastAsiaTheme="minorEastAsia" w:hAnsiTheme="minorHAnsi" w:cstheme="minorBidi"/>
          <w:kern w:val="2"/>
          <w:sz w:val="21"/>
          <w:szCs w:val="22"/>
        </w:rPr>
        <w:t>/12</w:t>
      </w:r>
      <w:r w:rsidRPr="00AC1097">
        <w:rPr>
          <w:rFonts w:asciiTheme="minorHAnsi" w:eastAsiaTheme="minorEastAsia" w:hAnsiTheme="minorHAnsi" w:cstheme="minorBidi"/>
          <w:kern w:val="2"/>
          <w:sz w:val="21"/>
          <w:szCs w:val="22"/>
        </w:rPr>
        <w:t>月前的收盘价</w:t>
      </w:r>
      <w:r w:rsidRPr="00AC1097">
        <w:rPr>
          <w:rFonts w:asciiTheme="minorHAnsi" w:eastAsiaTheme="minorEastAsia" w:hAnsiTheme="minorHAnsi" w:cstheme="minorBidi"/>
          <w:kern w:val="2"/>
          <w:sz w:val="21"/>
          <w:szCs w:val="22"/>
        </w:rPr>
        <w:t xml:space="preserve"> - </w:t>
      </w:r>
      <w:r w:rsidRPr="00AC1097">
        <w:rPr>
          <w:rFonts w:asciiTheme="minorHAnsi" w:eastAsiaTheme="minorEastAsia" w:hAnsiTheme="minorHAnsi" w:cstheme="minorBidi"/>
          <w:kern w:val="2"/>
          <w:sz w:val="21"/>
          <w:szCs w:val="22"/>
        </w:rPr>
        <w:t>无风险利率</w:t>
      </w:r>
      <w:r w:rsidRPr="00AC1097">
        <w:rPr>
          <w:rFonts w:asciiTheme="minorHAnsi" w:eastAsiaTheme="minorEastAsia" w:hAnsiTheme="minorHAnsi" w:cstheme="minorBidi"/>
          <w:kern w:val="2"/>
          <w:sz w:val="21"/>
          <w:szCs w:val="22"/>
        </w:rPr>
        <w:t>12</w:t>
      </w:r>
      <w:r w:rsidRPr="00AC1097">
        <w:rPr>
          <w:rFonts w:asciiTheme="minorHAnsi" w:eastAsiaTheme="minorEastAsia" w:hAnsiTheme="minorHAnsi" w:cstheme="minorBidi"/>
          <w:kern w:val="2"/>
          <w:sz w:val="21"/>
          <w:szCs w:val="22"/>
        </w:rPr>
        <w:t>月收益），如果过去</w:t>
      </w:r>
      <w:r w:rsidRPr="00AC1097">
        <w:rPr>
          <w:rFonts w:asciiTheme="minorHAnsi" w:eastAsiaTheme="minorEastAsia" w:hAnsiTheme="minorHAnsi" w:cstheme="minorBidi"/>
          <w:kern w:val="2"/>
          <w:sz w:val="21"/>
          <w:szCs w:val="22"/>
        </w:rPr>
        <w:t>12</w:t>
      </w:r>
      <w:r w:rsidRPr="00AC1097">
        <w:rPr>
          <w:rFonts w:asciiTheme="minorHAnsi" w:eastAsiaTheme="minorEastAsia" w:hAnsiTheme="minorHAnsi" w:cstheme="minorBidi"/>
          <w:kern w:val="2"/>
          <w:sz w:val="21"/>
          <w:szCs w:val="22"/>
        </w:rPr>
        <w:t>个月资产自身超额收益</w:t>
      </w:r>
      <w:r w:rsidRPr="00AC1097">
        <w:rPr>
          <w:rFonts w:asciiTheme="minorHAnsi" w:eastAsiaTheme="minorEastAsia" w:hAnsiTheme="minorHAnsi" w:cstheme="minorBidi"/>
          <w:kern w:val="2"/>
          <w:sz w:val="21"/>
          <w:szCs w:val="22"/>
        </w:rPr>
        <w:t xml:space="preserve"> &gt; 0, </w:t>
      </w:r>
      <w:r w:rsidRPr="00AC1097">
        <w:rPr>
          <w:rFonts w:asciiTheme="minorHAnsi" w:eastAsiaTheme="minorEastAsia" w:hAnsiTheme="minorHAnsi" w:cstheme="minorBidi"/>
          <w:kern w:val="2"/>
          <w:sz w:val="21"/>
          <w:szCs w:val="22"/>
        </w:rPr>
        <w:t>做多该资产，如果过去</w:t>
      </w:r>
      <w:r w:rsidRPr="00AC1097">
        <w:rPr>
          <w:rFonts w:asciiTheme="minorHAnsi" w:eastAsiaTheme="minorEastAsia" w:hAnsiTheme="minorHAnsi" w:cstheme="minorBidi"/>
          <w:kern w:val="2"/>
          <w:sz w:val="21"/>
          <w:szCs w:val="22"/>
        </w:rPr>
        <w:t>12</w:t>
      </w:r>
      <w:r w:rsidRPr="00AC1097">
        <w:rPr>
          <w:rFonts w:asciiTheme="minorHAnsi" w:eastAsiaTheme="minorEastAsia" w:hAnsiTheme="minorHAnsi" w:cstheme="minorBidi"/>
          <w:kern w:val="2"/>
          <w:sz w:val="21"/>
          <w:szCs w:val="22"/>
        </w:rPr>
        <w:t>个月资产自身超额收益</w:t>
      </w:r>
      <w:r w:rsidRPr="00AC1097">
        <w:rPr>
          <w:rFonts w:asciiTheme="minorHAnsi" w:eastAsiaTheme="minorEastAsia" w:hAnsiTheme="minorHAnsi" w:cstheme="minorBidi"/>
          <w:kern w:val="2"/>
          <w:sz w:val="21"/>
          <w:szCs w:val="22"/>
        </w:rPr>
        <w:t xml:space="preserve"> &lt;0, </w:t>
      </w:r>
      <w:r w:rsidRPr="00AC1097">
        <w:rPr>
          <w:rFonts w:asciiTheme="minorHAnsi" w:eastAsiaTheme="minorEastAsia" w:hAnsiTheme="minorHAnsi" w:cstheme="minorBidi"/>
          <w:kern w:val="2"/>
          <w:sz w:val="21"/>
          <w:szCs w:val="22"/>
        </w:rPr>
        <w:t>卖出该资产或者转向做空。</w:t>
      </w:r>
    </w:p>
    <w:p w:rsidR="00AC1097" w:rsidRPr="00AC1097" w:rsidRDefault="00AC1097" w:rsidP="00AC1097">
      <w:pPr>
        <w:pStyle w:val="a8"/>
        <w:spacing w:before="0" w:beforeAutospacing="0" w:after="0" w:afterAutospacing="0"/>
        <w:ind w:firstLine="420"/>
        <w:rPr>
          <w:rFonts w:asciiTheme="minorHAnsi" w:eastAsiaTheme="minorEastAsia" w:hAnsiTheme="minorHAnsi" w:cstheme="minorBidi"/>
          <w:kern w:val="2"/>
          <w:sz w:val="21"/>
          <w:szCs w:val="22"/>
        </w:rPr>
      </w:pPr>
      <w:r w:rsidRPr="00AC1097">
        <w:rPr>
          <w:rFonts w:asciiTheme="minorHAnsi" w:eastAsiaTheme="minorEastAsia" w:hAnsiTheme="minorHAnsi" w:cstheme="minorBidi"/>
          <w:kern w:val="2"/>
          <w:sz w:val="21"/>
          <w:szCs w:val="22"/>
        </w:rPr>
        <w:t>核心思想就是，</w:t>
      </w:r>
      <w:r w:rsidRPr="00AC1097">
        <w:rPr>
          <w:rFonts w:asciiTheme="minorHAnsi" w:eastAsiaTheme="minorEastAsia" w:hAnsiTheme="minorHAnsi" w:cstheme="minorBidi"/>
          <w:b/>
          <w:bCs/>
          <w:kern w:val="2"/>
          <w:sz w:val="21"/>
          <w:szCs w:val="22"/>
        </w:rPr>
        <w:t>资产价格本身对今后的走势有预测作用，当资产本身形成了一种向上</w:t>
      </w:r>
      <w:r w:rsidRPr="00AC1097">
        <w:rPr>
          <w:rFonts w:asciiTheme="minorHAnsi" w:eastAsiaTheme="minorEastAsia" w:hAnsiTheme="minorHAnsi" w:cstheme="minorBidi"/>
          <w:b/>
          <w:bCs/>
          <w:kern w:val="2"/>
          <w:sz w:val="21"/>
          <w:szCs w:val="22"/>
        </w:rPr>
        <w:t>/</w:t>
      </w:r>
      <w:r w:rsidRPr="00AC1097">
        <w:rPr>
          <w:rFonts w:asciiTheme="minorHAnsi" w:eastAsiaTheme="minorEastAsia" w:hAnsiTheme="minorHAnsi" w:cstheme="minorBidi"/>
          <w:b/>
          <w:bCs/>
          <w:kern w:val="2"/>
          <w:sz w:val="21"/>
          <w:szCs w:val="22"/>
        </w:rPr>
        <w:t>向下的趋势后，很有可能在未来维持这种趋势。</w:t>
      </w:r>
    </w:p>
    <w:p w:rsidR="00EB3AC0" w:rsidRDefault="00AC1097" w:rsidP="00AC1097">
      <w:pPr>
        <w:ind w:firstLine="420"/>
      </w:pPr>
      <w:r w:rsidRPr="00AC1097">
        <w:t>本文的</w:t>
      </w:r>
      <w:r w:rsidRPr="00AC1097">
        <w:t>TSMON</w:t>
      </w:r>
      <w:r w:rsidR="00E97687">
        <w:t>具体规则如下</w:t>
      </w:r>
      <w:r w:rsidR="00E97687">
        <w:rPr>
          <w:rFonts w:hint="eastAsia"/>
        </w:rPr>
        <w:t>：</w:t>
      </w:r>
    </w:p>
    <w:p w:rsidR="00E97687" w:rsidRPr="00E97687" w:rsidRDefault="00E97687" w:rsidP="00E97687">
      <w:pPr>
        <w:pStyle w:val="a8"/>
        <w:shd w:val="clear" w:color="auto" w:fill="FFFFFF"/>
        <w:spacing w:before="0" w:beforeAutospacing="0" w:after="0" w:afterAutospacing="0" w:line="279" w:lineRule="atLeast"/>
        <w:ind w:firstLine="420"/>
        <w:rPr>
          <w:rFonts w:asciiTheme="minorHAnsi" w:eastAsiaTheme="minorEastAsia" w:hAnsiTheme="minorHAnsi" w:cstheme="minorBidi" w:hint="eastAsia"/>
          <w:kern w:val="2"/>
          <w:sz w:val="21"/>
          <w:szCs w:val="22"/>
        </w:rPr>
      </w:pPr>
      <w:r w:rsidRPr="00E97687">
        <w:rPr>
          <w:rFonts w:asciiTheme="minorHAnsi" w:eastAsiaTheme="minorEastAsia" w:hAnsiTheme="minorHAnsi" w:cstheme="minorBidi" w:hint="eastAsia"/>
          <w:kern w:val="2"/>
          <w:sz w:val="21"/>
          <w:szCs w:val="22"/>
        </w:rPr>
        <w:t>如果</w:t>
      </w:r>
      <w:r w:rsidRPr="00E97687">
        <w:rPr>
          <w:rFonts w:asciiTheme="minorHAnsi" w:eastAsiaTheme="minorEastAsia" w:hAnsiTheme="minorHAnsi" w:cstheme="minorBidi" w:hint="eastAsia"/>
          <w:kern w:val="2"/>
          <w:sz w:val="21"/>
          <w:szCs w:val="22"/>
        </w:rPr>
        <w:t> </w:t>
      </w:r>
      <w:r w:rsidRPr="00E97687">
        <w:rPr>
          <w:rFonts w:asciiTheme="minorHAnsi" w:eastAsiaTheme="minorEastAsia" w:hAnsiTheme="minorHAnsi" w:cstheme="minorBidi" w:hint="eastAsia"/>
          <w:kern w:val="2"/>
          <w:sz w:val="21"/>
          <w:szCs w:val="22"/>
        </w:rPr>
        <w:t>（资产价格</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资产</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个月前价格</w:t>
      </w:r>
      <w:r w:rsidRPr="00E97687">
        <w:rPr>
          <w:rFonts w:asciiTheme="minorHAnsi" w:eastAsiaTheme="minorEastAsia" w:hAnsiTheme="minorHAnsi" w:cstheme="minorBidi" w:hint="eastAsia"/>
          <w:kern w:val="2"/>
          <w:sz w:val="21"/>
          <w:szCs w:val="22"/>
        </w:rPr>
        <w:t xml:space="preserve"> - 1</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GC</w:t>
      </w:r>
      <w:r>
        <w:rPr>
          <w:rFonts w:asciiTheme="minorHAnsi" w:eastAsiaTheme="minorEastAsia" w:hAnsiTheme="minorHAnsi" w:cstheme="minorBidi"/>
          <w:kern w:val="2"/>
          <w:sz w:val="21"/>
          <w:szCs w:val="22"/>
        </w:rPr>
        <w:t>001</w:t>
      </w:r>
      <w:r>
        <w:rPr>
          <w:rFonts w:asciiTheme="minorHAnsi" w:eastAsiaTheme="minorEastAsia" w:hAnsiTheme="minorHAnsi" w:cstheme="minorBidi" w:hint="eastAsia"/>
          <w:kern w:val="2"/>
          <w:sz w:val="21"/>
          <w:szCs w:val="22"/>
        </w:rPr>
        <w:t>逆回购</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个月回报</w:t>
      </w:r>
      <w:r w:rsidRPr="00E97687">
        <w:rPr>
          <w:rFonts w:asciiTheme="minorHAnsi" w:eastAsiaTheme="minorEastAsia" w:hAnsiTheme="minorHAnsi" w:cstheme="minorBidi" w:hint="eastAsia"/>
          <w:kern w:val="2"/>
          <w:sz w:val="21"/>
          <w:szCs w:val="22"/>
        </w:rPr>
        <w:t xml:space="preserve"> &gt; 0, </w:t>
      </w:r>
      <w:r w:rsidRPr="00E97687">
        <w:rPr>
          <w:rFonts w:asciiTheme="minorHAnsi" w:eastAsiaTheme="minorEastAsia" w:hAnsiTheme="minorHAnsi" w:cstheme="minorBidi" w:hint="eastAsia"/>
          <w:kern w:val="2"/>
          <w:sz w:val="21"/>
          <w:szCs w:val="22"/>
        </w:rPr>
        <w:t>买入并持有；</w:t>
      </w:r>
    </w:p>
    <w:p w:rsidR="00E97687" w:rsidRPr="00E97687" w:rsidRDefault="00E97687" w:rsidP="00E97687">
      <w:pPr>
        <w:pStyle w:val="a8"/>
        <w:shd w:val="clear" w:color="auto" w:fill="FFFFFF"/>
        <w:spacing w:before="0" w:beforeAutospacing="0" w:after="0" w:afterAutospacing="0" w:line="279" w:lineRule="atLeast"/>
        <w:ind w:firstLine="420"/>
        <w:rPr>
          <w:rFonts w:asciiTheme="minorHAnsi" w:eastAsiaTheme="minorEastAsia" w:hAnsiTheme="minorHAnsi" w:cstheme="minorBidi" w:hint="eastAsia"/>
          <w:kern w:val="2"/>
          <w:sz w:val="21"/>
          <w:szCs w:val="22"/>
        </w:rPr>
      </w:pPr>
      <w:r w:rsidRPr="00E97687">
        <w:rPr>
          <w:rFonts w:asciiTheme="minorHAnsi" w:eastAsiaTheme="minorEastAsia" w:hAnsiTheme="minorHAnsi" w:cstheme="minorBidi" w:hint="eastAsia"/>
          <w:kern w:val="2"/>
          <w:sz w:val="21"/>
          <w:szCs w:val="22"/>
        </w:rPr>
        <w:t>如果</w:t>
      </w:r>
      <w:r w:rsidRPr="00E97687">
        <w:rPr>
          <w:rFonts w:asciiTheme="minorHAnsi" w:eastAsiaTheme="minorEastAsia" w:hAnsiTheme="minorHAnsi" w:cstheme="minorBidi" w:hint="eastAsia"/>
          <w:kern w:val="2"/>
          <w:sz w:val="21"/>
          <w:szCs w:val="22"/>
        </w:rPr>
        <w:t xml:space="preserve"> </w:t>
      </w:r>
      <w:r w:rsidRPr="00E97687">
        <w:rPr>
          <w:rFonts w:asciiTheme="minorHAnsi" w:eastAsiaTheme="minorEastAsia" w:hAnsiTheme="minorHAnsi" w:cstheme="minorBidi" w:hint="eastAsia"/>
          <w:kern w:val="2"/>
          <w:sz w:val="21"/>
          <w:szCs w:val="22"/>
        </w:rPr>
        <w:t>（资产价格</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资产</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个月前价格</w:t>
      </w:r>
      <w:r w:rsidRPr="00E97687">
        <w:rPr>
          <w:rFonts w:asciiTheme="minorHAnsi" w:eastAsiaTheme="minorEastAsia" w:hAnsiTheme="minorHAnsi" w:cstheme="minorBidi" w:hint="eastAsia"/>
          <w:kern w:val="2"/>
          <w:sz w:val="21"/>
          <w:szCs w:val="22"/>
        </w:rPr>
        <w:t xml:space="preserve"> - 1</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GC</w:t>
      </w:r>
      <w:r>
        <w:rPr>
          <w:rFonts w:asciiTheme="minorHAnsi" w:eastAsiaTheme="minorEastAsia" w:hAnsiTheme="minorHAnsi" w:cstheme="minorBidi"/>
          <w:kern w:val="2"/>
          <w:sz w:val="21"/>
          <w:szCs w:val="22"/>
        </w:rPr>
        <w:t>001</w:t>
      </w:r>
      <w:r>
        <w:rPr>
          <w:rFonts w:asciiTheme="minorHAnsi" w:eastAsiaTheme="minorEastAsia" w:hAnsiTheme="minorHAnsi" w:cstheme="minorBidi" w:hint="eastAsia"/>
          <w:kern w:val="2"/>
          <w:sz w:val="21"/>
          <w:szCs w:val="22"/>
        </w:rPr>
        <w:t>逆回购</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个月回报</w:t>
      </w:r>
      <w:r w:rsidRPr="00E97687">
        <w:rPr>
          <w:rFonts w:asciiTheme="minorHAnsi" w:eastAsiaTheme="minorEastAsia" w:hAnsiTheme="minorHAnsi" w:cstheme="minorBidi" w:hint="eastAsia"/>
          <w:kern w:val="2"/>
          <w:sz w:val="21"/>
          <w:szCs w:val="22"/>
        </w:rPr>
        <w:t>&lt; 0</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卖出该资产并持有。</w:t>
      </w:r>
    </w:p>
    <w:p w:rsidR="00E97687" w:rsidRPr="00E97687" w:rsidRDefault="00E97687" w:rsidP="00AC1097">
      <w:pPr>
        <w:ind w:firstLine="420"/>
        <w:rPr>
          <w:rFonts w:hint="eastAsia"/>
        </w:rPr>
      </w:pPr>
    </w:p>
    <w:p w:rsidR="00EB3AC0" w:rsidRDefault="00EB3AC0" w:rsidP="002B6032">
      <w:pPr>
        <w:ind w:firstLine="420"/>
      </w:pPr>
    </w:p>
    <w:p w:rsidR="00FC520A" w:rsidRPr="00FC520A" w:rsidRDefault="008E2AEB"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TSMON</w:t>
      </w:r>
      <w:r w:rsidR="00FC520A" w:rsidRPr="00FC520A">
        <w:rPr>
          <w:rFonts w:ascii="微软雅黑" w:eastAsia="微软雅黑" w:hAnsi="微软雅黑" w:cs="宋体"/>
          <w:color w:val="000000"/>
          <w:kern w:val="0"/>
          <w:szCs w:val="21"/>
          <w:shd w:val="clear" w:color="auto" w:fill="FFFFFF"/>
        </w:rPr>
        <w:t>在风险平价模型的应用</w:t>
      </w:r>
    </w:p>
    <w:p w:rsidR="00FC520A" w:rsidRDefault="00D21F65" w:rsidP="00D21F65">
      <w:pPr>
        <w:ind w:firstLine="420"/>
      </w:pPr>
      <w:r>
        <w:lastRenderedPageBreak/>
        <w:t>本文先让资产按照风险平价模型在约束下计算权重</w:t>
      </w:r>
      <w:r>
        <w:rPr>
          <w:rFonts w:hint="eastAsia"/>
        </w:rPr>
        <w:t>，</w:t>
      </w:r>
      <w:r>
        <w:t>然后利用</w:t>
      </w:r>
      <w:r w:rsidR="008E2AEB">
        <w:rPr>
          <w:rFonts w:ascii="微软雅黑" w:eastAsia="微软雅黑" w:hAnsi="微软雅黑" w:cs="宋体" w:hint="eastAsia"/>
          <w:color w:val="000000"/>
          <w:kern w:val="0"/>
          <w:szCs w:val="21"/>
          <w:shd w:val="clear" w:color="auto" w:fill="FFFFFF"/>
        </w:rPr>
        <w:t>TSMON</w:t>
      </w:r>
      <w:r>
        <w:t>给出多空信号</w:t>
      </w:r>
      <w:r w:rsidR="00414BEE">
        <w:rPr>
          <w:rFonts w:hint="eastAsia"/>
        </w:rPr>
        <w:t>，</w:t>
      </w:r>
      <w:r w:rsidR="008E2AEB">
        <w:rPr>
          <w:rFonts w:hint="eastAsia"/>
        </w:rPr>
        <w:t>每周</w:t>
      </w:r>
      <w:r w:rsidR="00414BEE">
        <w:rPr>
          <w:rFonts w:hint="eastAsia"/>
        </w:rPr>
        <w:t>根据结果调仓。</w:t>
      </w:r>
    </w:p>
    <w:p w:rsidR="00B2174C" w:rsidRPr="00CE7E03" w:rsidRDefault="00C838BE" w:rsidP="00CE7E0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回测表现</w:t>
      </w:r>
    </w:p>
    <w:p w:rsidR="005979E3" w:rsidRDefault="00C838BE" w:rsidP="005979E3">
      <w:pPr>
        <w:widowControl/>
        <w:shd w:val="clear" w:color="auto" w:fill="FFFFFF"/>
        <w:spacing w:line="315" w:lineRule="atLeast"/>
      </w:pPr>
      <w:r>
        <w:rPr>
          <w:rFonts w:ascii="微软雅黑" w:eastAsia="微软雅黑" w:hAnsi="微软雅黑" w:cs="宋体" w:hint="eastAsia"/>
          <w:color w:val="000000"/>
          <w:kern w:val="0"/>
          <w:szCs w:val="21"/>
          <w:shd w:val="clear" w:color="auto" w:fill="FFFFFF"/>
        </w:rPr>
        <w:t>2.1</w:t>
      </w:r>
      <w:r w:rsidR="005979E3">
        <w:rPr>
          <w:rFonts w:ascii="微软雅黑" w:eastAsia="微软雅黑" w:hAnsi="微软雅黑" w:cs="宋体" w:hint="eastAsia"/>
          <w:color w:val="000000"/>
          <w:kern w:val="0"/>
          <w:szCs w:val="21"/>
          <w:shd w:val="clear" w:color="auto" w:fill="FFFFFF"/>
        </w:rPr>
        <w:t>、</w:t>
      </w:r>
      <w:r w:rsidR="005979E3" w:rsidRPr="005979E3">
        <w:rPr>
          <w:rFonts w:ascii="微软雅黑" w:eastAsia="微软雅黑" w:hAnsi="微软雅黑" w:cs="宋体"/>
          <w:color w:val="000000"/>
          <w:kern w:val="0"/>
          <w:szCs w:val="21"/>
          <w:shd w:val="clear" w:color="auto" w:fill="FFFFFF"/>
        </w:rPr>
        <w:t xml:space="preserve"> </w:t>
      </w:r>
      <w:r w:rsidR="005979E3" w:rsidRPr="005979E3">
        <w:rPr>
          <w:rFonts w:ascii="微软雅黑" w:eastAsia="微软雅黑" w:hAnsi="微软雅黑" w:cs="宋体" w:hint="eastAsia"/>
          <w:color w:val="000000"/>
          <w:kern w:val="0"/>
          <w:szCs w:val="21"/>
          <w:shd w:val="clear" w:color="auto" w:fill="FFFFFF"/>
        </w:rPr>
        <w:t>最优参数回测</w:t>
      </w:r>
    </w:p>
    <w:p w:rsidR="00B10BC1" w:rsidRPr="004F6BE6" w:rsidRDefault="005979E3" w:rsidP="00114A75">
      <w:r>
        <w:tab/>
      </w:r>
      <w:r>
        <w:rPr>
          <w:rFonts w:hint="eastAsia"/>
        </w:rPr>
        <w:t>当斜率判断天数</w:t>
      </w:r>
      <w:r>
        <w:rPr>
          <w:rFonts w:hint="eastAsia"/>
        </w:rPr>
        <w:t>d</w:t>
      </w:r>
      <w:r>
        <w:rPr>
          <w:rFonts w:hint="eastAsia"/>
        </w:rPr>
        <w:t>为</w:t>
      </w:r>
      <w:r>
        <w:rPr>
          <w:rFonts w:hint="eastAsia"/>
        </w:rPr>
        <w:t>43</w:t>
      </w:r>
      <w:r>
        <w:rPr>
          <w:rFonts w:hint="eastAsia"/>
        </w:rPr>
        <w:t>，平价模型配置比例判断天数</w:t>
      </w:r>
      <w:r>
        <w:rPr>
          <w:rFonts w:hint="eastAsia"/>
        </w:rPr>
        <w:t>b</w:t>
      </w:r>
      <w:r>
        <w:rPr>
          <w:rFonts w:hint="eastAsia"/>
        </w:rPr>
        <w:t>为</w:t>
      </w:r>
      <w:r>
        <w:rPr>
          <w:rFonts w:hint="eastAsia"/>
        </w:rPr>
        <w:t>225</w:t>
      </w:r>
      <w:r>
        <w:rPr>
          <w:rFonts w:hint="eastAsia"/>
        </w:rPr>
        <w:t>时，</w:t>
      </w:r>
      <w:r w:rsidR="00A017B0">
        <w:rPr>
          <w:rFonts w:hint="eastAsia"/>
        </w:rPr>
        <w:t>按</w:t>
      </w:r>
      <w:r w:rsidR="00A017B0">
        <w:rPr>
          <w:rFonts w:hint="eastAsia"/>
        </w:rPr>
        <w:t>700</w:t>
      </w:r>
      <w:r w:rsidR="00A017B0">
        <w:rPr>
          <w:rFonts w:hint="eastAsia"/>
        </w:rPr>
        <w:t>万</w:t>
      </w:r>
      <w:r w:rsidR="00A017B0">
        <w:rPr>
          <w:rFonts w:hint="eastAsia"/>
        </w:rPr>
        <w:t>capital</w:t>
      </w:r>
      <w:r w:rsidR="00A017B0">
        <w:rPr>
          <w:rFonts w:hint="eastAsia"/>
        </w:rPr>
        <w:t>计算，</w:t>
      </w:r>
      <w:r w:rsidR="0018545E">
        <w:rPr>
          <w:rFonts w:hint="eastAsia"/>
        </w:rPr>
        <w:t>从</w:t>
      </w:r>
      <w:r w:rsidR="0018545E">
        <w:rPr>
          <w:rFonts w:hint="eastAsia"/>
        </w:rPr>
        <w:t>2013</w:t>
      </w:r>
      <w:r w:rsidR="0018545E">
        <w:rPr>
          <w:rFonts w:hint="eastAsia"/>
        </w:rPr>
        <w:t>年</w:t>
      </w:r>
      <w:r w:rsidR="0018545E">
        <w:rPr>
          <w:rFonts w:hint="eastAsia"/>
        </w:rPr>
        <w:t>2</w:t>
      </w:r>
      <w:r w:rsidR="0018545E">
        <w:rPr>
          <w:rFonts w:hint="eastAsia"/>
        </w:rPr>
        <w:t>月</w:t>
      </w:r>
      <w:r w:rsidR="0018545E">
        <w:rPr>
          <w:rFonts w:hint="eastAsia"/>
        </w:rPr>
        <w:t>4</w:t>
      </w:r>
      <w:r w:rsidR="0018545E">
        <w:rPr>
          <w:rFonts w:hint="eastAsia"/>
        </w:rPr>
        <w:t>日至</w:t>
      </w:r>
      <w:r w:rsidR="0018545E">
        <w:rPr>
          <w:rFonts w:hint="eastAsia"/>
        </w:rPr>
        <w:t>2017</w:t>
      </w:r>
      <w:r w:rsidR="0018545E">
        <w:rPr>
          <w:rFonts w:hint="eastAsia"/>
        </w:rPr>
        <w:t>年</w:t>
      </w:r>
      <w:r w:rsidR="0018545E">
        <w:rPr>
          <w:rFonts w:hint="eastAsia"/>
        </w:rPr>
        <w:t>5</w:t>
      </w:r>
      <w:r w:rsidR="0018545E">
        <w:rPr>
          <w:rFonts w:hint="eastAsia"/>
        </w:rPr>
        <w:t>月</w:t>
      </w:r>
      <w:r w:rsidR="0018545E">
        <w:rPr>
          <w:rFonts w:hint="eastAsia"/>
        </w:rPr>
        <w:t>16</w:t>
      </w:r>
      <w:r w:rsidR="0018545E">
        <w:rPr>
          <w:rFonts w:hint="eastAsia"/>
        </w:rPr>
        <w:t>日，</w:t>
      </w:r>
      <w:r w:rsidR="00AC1097">
        <w:rPr>
          <w:rFonts w:hint="eastAsia"/>
        </w:rPr>
        <w:t>周调仓，</w:t>
      </w:r>
      <w:r>
        <w:rPr>
          <w:rFonts w:hint="eastAsia"/>
        </w:rPr>
        <w:t>策略回测结果如下</w:t>
      </w:r>
    </w:p>
    <w:p w:rsidR="00E919B5" w:rsidRDefault="00B548D3" w:rsidP="005979E3">
      <w:pPr>
        <w:ind w:firstLineChars="300" w:firstLine="630"/>
        <w:rPr>
          <w:rFonts w:hint="eastAsia"/>
        </w:rPr>
      </w:pPr>
      <w:r>
        <w:rPr>
          <w:noProof/>
        </w:rPr>
        <w:drawing>
          <wp:inline distT="0" distB="0" distL="0" distR="0" wp14:anchorId="6AC944F1" wp14:editId="16DE8ACA">
            <wp:extent cx="188595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1095375"/>
                    </a:xfrm>
                    <a:prstGeom prst="rect">
                      <a:avLst/>
                    </a:prstGeom>
                  </pic:spPr>
                </pic:pic>
              </a:graphicData>
            </a:graphic>
          </wp:inline>
        </w:drawing>
      </w:r>
    </w:p>
    <w:p w:rsidR="005979E3" w:rsidRDefault="005979E3" w:rsidP="005979E3">
      <w:pPr>
        <w:ind w:firstLineChars="300" w:firstLine="630"/>
      </w:pPr>
      <w:r>
        <w:rPr>
          <w:rFonts w:hint="eastAsia"/>
        </w:rPr>
        <w:t>净值曲线图如下</w:t>
      </w:r>
    </w:p>
    <w:p w:rsidR="005979E3" w:rsidRDefault="00B548D3" w:rsidP="005979E3">
      <w:pPr>
        <w:ind w:firstLineChars="300" w:firstLine="630"/>
      </w:pPr>
      <w:r>
        <w:rPr>
          <w:noProof/>
        </w:rPr>
        <w:drawing>
          <wp:inline distT="0" distB="0" distL="0" distR="0" wp14:anchorId="20BA3E07" wp14:editId="3F065C93">
            <wp:extent cx="4776826" cy="2566121"/>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049" cy="2571075"/>
                    </a:xfrm>
                    <a:prstGeom prst="rect">
                      <a:avLst/>
                    </a:prstGeom>
                  </pic:spPr>
                </pic:pic>
              </a:graphicData>
            </a:graphic>
          </wp:inline>
        </w:drawing>
      </w:r>
    </w:p>
    <w:p w:rsidR="00545851" w:rsidRDefault="00545851" w:rsidP="005979E3">
      <w:pPr>
        <w:ind w:firstLineChars="300" w:firstLine="630"/>
        <w:rPr>
          <w:rFonts w:hint="eastAsia"/>
        </w:rPr>
      </w:pPr>
    </w:p>
    <w:p w:rsidR="00545851" w:rsidRDefault="00545851" w:rsidP="005979E3">
      <w:pPr>
        <w:ind w:firstLineChars="300" w:firstLine="630"/>
      </w:pPr>
      <w:r>
        <w:t>半年来净值走势如图</w:t>
      </w:r>
    </w:p>
    <w:p w:rsidR="00545851" w:rsidRDefault="00545851" w:rsidP="005979E3">
      <w:pPr>
        <w:ind w:firstLineChars="300" w:firstLine="630"/>
        <w:rPr>
          <w:rFonts w:hint="eastAsia"/>
        </w:rPr>
      </w:pPr>
      <w:r>
        <w:rPr>
          <w:noProof/>
        </w:rPr>
        <w:drawing>
          <wp:inline distT="0" distB="0" distL="0" distR="0" wp14:anchorId="6230A3F9" wp14:editId="5BA7A294">
            <wp:extent cx="4689043" cy="2618841"/>
            <wp:effectExtent l="0" t="0" r="16510" b="1016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79E3" w:rsidRDefault="005979E3" w:rsidP="005979E3">
      <w:pPr>
        <w:ind w:firstLineChars="300" w:firstLine="630"/>
      </w:pPr>
      <w:r>
        <w:rPr>
          <w:rFonts w:hint="eastAsia"/>
        </w:rPr>
        <w:lastRenderedPageBreak/>
        <w:t>各个资产累计收益图如下：</w:t>
      </w:r>
    </w:p>
    <w:p w:rsidR="005979E3" w:rsidRDefault="00B548D3" w:rsidP="005979E3">
      <w:pPr>
        <w:ind w:firstLineChars="300" w:firstLine="630"/>
      </w:pPr>
      <w:r>
        <w:rPr>
          <w:noProof/>
        </w:rPr>
        <w:drawing>
          <wp:inline distT="0" distB="0" distL="0" distR="0" wp14:anchorId="75A911D4" wp14:editId="37087F1A">
            <wp:extent cx="4750674" cy="257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096" cy="2583309"/>
                    </a:xfrm>
                    <a:prstGeom prst="rect">
                      <a:avLst/>
                    </a:prstGeom>
                  </pic:spPr>
                </pic:pic>
              </a:graphicData>
            </a:graphic>
          </wp:inline>
        </w:drawing>
      </w:r>
    </w:p>
    <w:p w:rsidR="00B548D3" w:rsidRDefault="00B548D3" w:rsidP="005979E3">
      <w:pPr>
        <w:ind w:firstLineChars="300" w:firstLine="630"/>
        <w:rPr>
          <w:rFonts w:hint="eastAsia"/>
        </w:rPr>
      </w:pPr>
      <w:r>
        <w:t>与之前</w:t>
      </w:r>
      <w:r>
        <w:t>LLT</w:t>
      </w:r>
      <w:r>
        <w:t>相比</w:t>
      </w:r>
      <w:r>
        <w:rPr>
          <w:rFonts w:hint="eastAsia"/>
        </w:rPr>
        <w:t>，</w:t>
      </w:r>
      <w:r>
        <w:t>股票的表现不尽人意</w:t>
      </w:r>
      <w:r>
        <w:rPr>
          <w:rFonts w:hint="eastAsia"/>
        </w:rPr>
        <w:t>，</w:t>
      </w:r>
      <w:r>
        <w:t>但是商品的表现更好</w:t>
      </w:r>
      <w:r>
        <w:rPr>
          <w:rFonts w:hint="eastAsia"/>
        </w:rPr>
        <w:t>。</w:t>
      </w:r>
    </w:p>
    <w:p w:rsidR="005979E3" w:rsidRDefault="005979E3" w:rsidP="005979E3">
      <w:pPr>
        <w:ind w:firstLineChars="300" w:firstLine="630"/>
      </w:pPr>
      <w:r>
        <w:rPr>
          <w:rFonts w:hint="eastAsia"/>
        </w:rPr>
        <w:t>资产配置比例图如下：</w:t>
      </w:r>
    </w:p>
    <w:p w:rsidR="00B548D3" w:rsidRDefault="00B548D3" w:rsidP="00B548D3">
      <w:r>
        <w:rPr>
          <w:noProof/>
        </w:rPr>
        <w:drawing>
          <wp:inline distT="0" distB="0" distL="0" distR="0" wp14:anchorId="2A3AB646" wp14:editId="12087EDA">
            <wp:extent cx="4858662" cy="28218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559" cy="2843267"/>
                    </a:xfrm>
                    <a:prstGeom prst="rect">
                      <a:avLst/>
                    </a:prstGeom>
                  </pic:spPr>
                </pic:pic>
              </a:graphicData>
            </a:graphic>
          </wp:inline>
        </w:drawing>
      </w:r>
    </w:p>
    <w:p w:rsidR="00B548D3" w:rsidRDefault="00B548D3" w:rsidP="00B548D3">
      <w:pPr>
        <w:rPr>
          <w:rFonts w:hint="eastAsia"/>
        </w:rPr>
      </w:pPr>
      <w:r>
        <w:t>资产配置的比例跟之前的研报没有区别</w:t>
      </w:r>
      <w:r>
        <w:rPr>
          <w:rFonts w:hint="eastAsia"/>
        </w:rPr>
        <w:t>。</w:t>
      </w:r>
    </w:p>
    <w:p w:rsidR="005979E3" w:rsidRDefault="005979E3" w:rsidP="005979E3">
      <w:pPr>
        <w:ind w:firstLineChars="300" w:firstLine="630"/>
        <w:rPr>
          <w:rFonts w:hint="eastAsia"/>
        </w:rPr>
      </w:pPr>
    </w:p>
    <w:p w:rsidR="001F0C59" w:rsidRDefault="001F0C59" w:rsidP="001F0C59">
      <w:pPr>
        <w:widowControl/>
        <w:shd w:val="clear" w:color="auto" w:fill="FFFFFF"/>
        <w:spacing w:line="315" w:lineRule="atLeast"/>
        <w:rPr>
          <w:rFonts w:ascii="微软雅黑" w:eastAsia="微软雅黑" w:hAnsi="微软雅黑" w:cs="宋体"/>
          <w:color w:val="000000"/>
          <w:kern w:val="0"/>
          <w:szCs w:val="21"/>
          <w:shd w:val="clear" w:color="auto" w:fill="FFFFFF"/>
        </w:rPr>
      </w:pPr>
      <w:r w:rsidRPr="001F0C59">
        <w:rPr>
          <w:rFonts w:ascii="微软雅黑" w:eastAsia="微软雅黑" w:hAnsi="微软雅黑" w:cs="宋体" w:hint="eastAsia"/>
          <w:color w:val="000000"/>
          <w:kern w:val="0"/>
          <w:szCs w:val="21"/>
          <w:shd w:val="clear" w:color="auto" w:fill="FFFFFF"/>
        </w:rPr>
        <w:t>2.2</w:t>
      </w:r>
      <w:r>
        <w:rPr>
          <w:rFonts w:ascii="微软雅黑" w:eastAsia="微软雅黑" w:hAnsi="微软雅黑" w:cs="宋体" w:hint="eastAsia"/>
          <w:color w:val="000000"/>
          <w:kern w:val="0"/>
          <w:szCs w:val="21"/>
          <w:shd w:val="clear" w:color="auto" w:fill="FFFFFF"/>
        </w:rPr>
        <w:t>回测总结</w:t>
      </w:r>
    </w:p>
    <w:p w:rsidR="001F0C59" w:rsidRDefault="0018545E" w:rsidP="0018545E">
      <w:pPr>
        <w:ind w:firstLine="420"/>
      </w:pPr>
      <w:r>
        <w:t>索罗斯</w:t>
      </w:r>
      <w:r>
        <w:rPr>
          <w:rFonts w:hint="eastAsia"/>
        </w:rPr>
        <w:t>用来</w:t>
      </w:r>
      <w:r>
        <w:t>赚大钱的</w:t>
      </w:r>
      <w:r>
        <w:t>TSMON</w:t>
      </w:r>
      <w:r>
        <w:t>在中国</w:t>
      </w:r>
      <w:r>
        <w:rPr>
          <w:rFonts w:hint="eastAsia"/>
        </w:rPr>
        <w:t>股市</w:t>
      </w:r>
      <w:r>
        <w:t>的表现不尽人意</w:t>
      </w:r>
      <w:r>
        <w:rPr>
          <w:rFonts w:hint="eastAsia"/>
        </w:rPr>
        <w:t>，</w:t>
      </w:r>
      <w:r>
        <w:t>我想除了一些规则设定的原因之外</w:t>
      </w:r>
      <w:r>
        <w:rPr>
          <w:rFonts w:hint="eastAsia"/>
        </w:rPr>
        <w:t>，</w:t>
      </w:r>
      <w:r>
        <w:t>中国股市和美国股市之间的差别也是重要的原因</w:t>
      </w:r>
      <w:r>
        <w:rPr>
          <w:rFonts w:hint="eastAsia"/>
        </w:rPr>
        <w:t>。</w:t>
      </w:r>
    </w:p>
    <w:p w:rsidR="0018545E" w:rsidRDefault="0018545E" w:rsidP="0018545E">
      <w:pPr>
        <w:ind w:firstLine="420"/>
        <w:rPr>
          <w:rFonts w:hint="eastAsia"/>
        </w:rPr>
      </w:pPr>
      <w:r>
        <w:rPr>
          <w:rFonts w:hint="eastAsia"/>
        </w:rPr>
        <w:t>13</w:t>
      </w:r>
      <w:r>
        <w:rPr>
          <w:rFonts w:hint="eastAsia"/>
        </w:rPr>
        <w:t>年至今纳斯达克指数走势如下：</w:t>
      </w:r>
    </w:p>
    <w:p w:rsidR="0018545E" w:rsidRDefault="0018545E" w:rsidP="0018545E">
      <w:pPr>
        <w:ind w:firstLine="420"/>
      </w:pPr>
      <w:r>
        <w:rPr>
          <w:noProof/>
        </w:rPr>
        <w:lastRenderedPageBreak/>
        <w:drawing>
          <wp:inline distT="0" distB="0" distL="0" distR="0" wp14:anchorId="0CE18E44" wp14:editId="5A988CEA">
            <wp:extent cx="5274310" cy="24968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96820"/>
                    </a:xfrm>
                    <a:prstGeom prst="rect">
                      <a:avLst/>
                    </a:prstGeom>
                  </pic:spPr>
                </pic:pic>
              </a:graphicData>
            </a:graphic>
          </wp:inline>
        </w:drawing>
      </w:r>
    </w:p>
    <w:p w:rsidR="0018545E" w:rsidRDefault="0018545E" w:rsidP="0018545E">
      <w:pPr>
        <w:ind w:firstLine="420"/>
      </w:pPr>
      <w:r>
        <w:rPr>
          <w:rFonts w:hint="eastAsia"/>
        </w:rPr>
        <w:t>13</w:t>
      </w:r>
      <w:r>
        <w:rPr>
          <w:rFonts w:hint="eastAsia"/>
        </w:rPr>
        <w:t>年至今道琼斯工业指数走势如下：</w:t>
      </w:r>
    </w:p>
    <w:p w:rsidR="0018545E" w:rsidRDefault="0018545E" w:rsidP="0018545E">
      <w:pPr>
        <w:ind w:firstLine="420"/>
      </w:pPr>
      <w:r>
        <w:rPr>
          <w:noProof/>
        </w:rPr>
        <w:drawing>
          <wp:inline distT="0" distB="0" distL="0" distR="0" wp14:anchorId="3A5C1B50" wp14:editId="55E0C113">
            <wp:extent cx="5274310" cy="2496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96820"/>
                    </a:xfrm>
                    <a:prstGeom prst="rect">
                      <a:avLst/>
                    </a:prstGeom>
                  </pic:spPr>
                </pic:pic>
              </a:graphicData>
            </a:graphic>
          </wp:inline>
        </w:drawing>
      </w:r>
    </w:p>
    <w:p w:rsidR="0018545E" w:rsidRDefault="0018545E" w:rsidP="0018545E">
      <w:pPr>
        <w:ind w:firstLine="420"/>
      </w:pPr>
      <w:r>
        <w:t>而上证综指在相同时间段内</w:t>
      </w:r>
      <w:r>
        <w:rPr>
          <w:rFonts w:hint="eastAsia"/>
        </w:rPr>
        <w:t>，</w:t>
      </w:r>
      <w:r>
        <w:t>表现得更加反复无常</w:t>
      </w:r>
      <w:r>
        <w:rPr>
          <w:rFonts w:hint="eastAsia"/>
        </w:rPr>
        <w:t>，</w:t>
      </w:r>
      <w:r w:rsidR="00F709F0">
        <w:t>不利于</w:t>
      </w:r>
      <w:r w:rsidR="00F709F0">
        <w:rPr>
          <w:rFonts w:hint="eastAsia"/>
        </w:rPr>
        <w:t>12</w:t>
      </w:r>
      <w:r w:rsidR="00F709F0">
        <w:rPr>
          <w:rFonts w:hint="eastAsia"/>
        </w:rPr>
        <w:t>个月窗口的</w:t>
      </w:r>
      <w:r w:rsidR="00F709F0">
        <w:t>TSMON</w:t>
      </w:r>
      <w:r w:rsidR="00F709F0">
        <w:rPr>
          <w:rFonts w:hint="eastAsia"/>
        </w:rPr>
        <w:t>。</w:t>
      </w:r>
      <w:r w:rsidR="00F709F0">
        <w:t xml:space="preserve"> </w:t>
      </w:r>
    </w:p>
    <w:p w:rsidR="0018545E" w:rsidRDefault="0018545E" w:rsidP="0018545E">
      <w:pPr>
        <w:ind w:firstLine="420"/>
      </w:pPr>
      <w:r>
        <w:rPr>
          <w:noProof/>
        </w:rPr>
        <w:drawing>
          <wp:inline distT="0" distB="0" distL="0" distR="0" wp14:anchorId="0332A205" wp14:editId="23F29DC6">
            <wp:extent cx="5274310" cy="24968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96820"/>
                    </a:xfrm>
                    <a:prstGeom prst="rect">
                      <a:avLst/>
                    </a:prstGeom>
                  </pic:spPr>
                </pic:pic>
              </a:graphicData>
            </a:graphic>
          </wp:inline>
        </w:drawing>
      </w:r>
    </w:p>
    <w:p w:rsidR="00F709F0" w:rsidRDefault="00F709F0" w:rsidP="0018545E">
      <w:pPr>
        <w:ind w:firstLine="420"/>
      </w:pPr>
      <w:r>
        <w:t>当然</w:t>
      </w:r>
      <w:r>
        <w:rPr>
          <w:rFonts w:hint="eastAsia"/>
        </w:rPr>
        <w:t>，</w:t>
      </w:r>
      <w:r>
        <w:t>要仔细比较</w:t>
      </w:r>
      <w:r>
        <w:t>TSMON</w:t>
      </w:r>
      <w:r>
        <w:rPr>
          <w:rFonts w:hint="eastAsia"/>
        </w:rPr>
        <w:t>，</w:t>
      </w:r>
      <w:r>
        <w:t>之后可以将中国各个大类资产的指数单独拿出来回测</w:t>
      </w:r>
      <w:r>
        <w:rPr>
          <w:rFonts w:hint="eastAsia"/>
        </w:rPr>
        <w:t>，</w:t>
      </w:r>
      <w:r>
        <w:t>而本文主要是在风险平价模型之下来</w:t>
      </w:r>
      <w:r w:rsidR="00356862">
        <w:rPr>
          <w:rFonts w:hint="eastAsia"/>
        </w:rPr>
        <w:t>评价</w:t>
      </w:r>
      <w:bookmarkStart w:id="0" w:name="_GoBack"/>
      <w:bookmarkEnd w:id="0"/>
      <w:r>
        <w:t>策略</w:t>
      </w:r>
      <w:r>
        <w:rPr>
          <w:rFonts w:hint="eastAsia"/>
        </w:rPr>
        <w:t>。</w:t>
      </w:r>
    </w:p>
    <w:p w:rsidR="00F24663" w:rsidRDefault="00F24663" w:rsidP="0018545E">
      <w:pPr>
        <w:ind w:firstLine="420"/>
      </w:pPr>
      <w:r>
        <w:t>另外为了减小风险</w:t>
      </w:r>
      <w:r>
        <w:rPr>
          <w:rFonts w:hint="eastAsia"/>
        </w:rPr>
        <w:t>，</w:t>
      </w:r>
      <w:r>
        <w:t>本文也可以改进一下规则</w:t>
      </w:r>
      <w:r>
        <w:rPr>
          <w:rFonts w:hint="eastAsia"/>
        </w:rPr>
        <w:t>，</w:t>
      </w:r>
    </w:p>
    <w:p w:rsidR="00F24663" w:rsidRPr="00E97687" w:rsidRDefault="00F24663" w:rsidP="00F24663">
      <w:pPr>
        <w:pStyle w:val="a8"/>
        <w:shd w:val="clear" w:color="auto" w:fill="FFFFFF"/>
        <w:spacing w:before="0" w:beforeAutospacing="0" w:after="0" w:afterAutospacing="0" w:line="279" w:lineRule="atLeast"/>
        <w:ind w:firstLine="420"/>
        <w:rPr>
          <w:rFonts w:asciiTheme="minorHAnsi" w:eastAsiaTheme="minorEastAsia" w:hAnsiTheme="minorHAnsi" w:cstheme="minorBidi" w:hint="eastAsia"/>
          <w:kern w:val="2"/>
          <w:sz w:val="21"/>
          <w:szCs w:val="22"/>
        </w:rPr>
      </w:pPr>
      <w:r w:rsidRPr="00E97687">
        <w:rPr>
          <w:rFonts w:asciiTheme="minorHAnsi" w:eastAsiaTheme="minorEastAsia" w:hAnsiTheme="minorHAnsi" w:cstheme="minorBidi" w:hint="eastAsia"/>
          <w:kern w:val="2"/>
          <w:sz w:val="21"/>
          <w:szCs w:val="22"/>
        </w:rPr>
        <w:lastRenderedPageBreak/>
        <w:t>如果</w:t>
      </w:r>
      <w:r w:rsidRPr="00E97687">
        <w:rPr>
          <w:rFonts w:asciiTheme="minorHAnsi" w:eastAsiaTheme="minorEastAsia" w:hAnsiTheme="minorHAnsi" w:cstheme="minorBidi" w:hint="eastAsia"/>
          <w:kern w:val="2"/>
          <w:sz w:val="21"/>
          <w:szCs w:val="22"/>
        </w:rPr>
        <w:t> </w:t>
      </w:r>
      <w:r w:rsidRPr="00E97687">
        <w:rPr>
          <w:rFonts w:asciiTheme="minorHAnsi" w:eastAsiaTheme="minorEastAsia" w:hAnsiTheme="minorHAnsi" w:cstheme="minorBidi" w:hint="eastAsia"/>
          <w:kern w:val="2"/>
          <w:sz w:val="21"/>
          <w:szCs w:val="22"/>
        </w:rPr>
        <w:t>（资产价格</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资产</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个月前价格</w:t>
      </w:r>
      <w:r w:rsidRPr="00E97687">
        <w:rPr>
          <w:rFonts w:asciiTheme="minorHAnsi" w:eastAsiaTheme="minorEastAsia" w:hAnsiTheme="minorHAnsi" w:cstheme="minorBidi" w:hint="eastAsia"/>
          <w:kern w:val="2"/>
          <w:sz w:val="21"/>
          <w:szCs w:val="22"/>
        </w:rPr>
        <w:t xml:space="preserve"> - 1</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GC</w:t>
      </w:r>
      <w:r>
        <w:rPr>
          <w:rFonts w:asciiTheme="minorHAnsi" w:eastAsiaTheme="minorEastAsia" w:hAnsiTheme="minorHAnsi" w:cstheme="minorBidi"/>
          <w:kern w:val="2"/>
          <w:sz w:val="21"/>
          <w:szCs w:val="22"/>
        </w:rPr>
        <w:t>001</w:t>
      </w:r>
      <w:r>
        <w:rPr>
          <w:rFonts w:asciiTheme="minorHAnsi" w:eastAsiaTheme="minorEastAsia" w:hAnsiTheme="minorHAnsi" w:cstheme="minorBidi" w:hint="eastAsia"/>
          <w:kern w:val="2"/>
          <w:sz w:val="21"/>
          <w:szCs w:val="22"/>
        </w:rPr>
        <w:t>逆回购</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个月回报</w:t>
      </w:r>
      <w:r w:rsidRPr="00E97687">
        <w:rPr>
          <w:rFonts w:asciiTheme="minorHAnsi" w:eastAsiaTheme="minorEastAsia" w:hAnsiTheme="minorHAnsi" w:cstheme="minorBidi" w:hint="eastAsia"/>
          <w:kern w:val="2"/>
          <w:sz w:val="21"/>
          <w:szCs w:val="22"/>
        </w:rPr>
        <w:t xml:space="preserve"> &gt; 0, </w:t>
      </w:r>
      <w:r w:rsidRPr="00E97687">
        <w:rPr>
          <w:rFonts w:asciiTheme="minorHAnsi" w:eastAsiaTheme="minorEastAsia" w:hAnsiTheme="minorHAnsi" w:cstheme="minorBidi" w:hint="eastAsia"/>
          <w:kern w:val="2"/>
          <w:sz w:val="21"/>
          <w:szCs w:val="22"/>
        </w:rPr>
        <w:t>买入并持有；</w:t>
      </w:r>
    </w:p>
    <w:p w:rsidR="00F24663" w:rsidRPr="00E97687" w:rsidRDefault="00F24663" w:rsidP="00F24663">
      <w:pPr>
        <w:pStyle w:val="a8"/>
        <w:shd w:val="clear" w:color="auto" w:fill="FFFFFF"/>
        <w:spacing w:before="0" w:beforeAutospacing="0" w:after="0" w:afterAutospacing="0" w:line="279" w:lineRule="atLeast"/>
        <w:ind w:firstLine="420"/>
        <w:rPr>
          <w:rFonts w:asciiTheme="minorHAnsi" w:eastAsiaTheme="minorEastAsia" w:hAnsiTheme="minorHAnsi" w:cstheme="minorBidi" w:hint="eastAsia"/>
          <w:kern w:val="2"/>
          <w:sz w:val="21"/>
          <w:szCs w:val="22"/>
        </w:rPr>
      </w:pPr>
      <w:r w:rsidRPr="00E97687">
        <w:rPr>
          <w:rFonts w:asciiTheme="minorHAnsi" w:eastAsiaTheme="minorEastAsia" w:hAnsiTheme="minorHAnsi" w:cstheme="minorBidi" w:hint="eastAsia"/>
          <w:kern w:val="2"/>
          <w:sz w:val="21"/>
          <w:szCs w:val="22"/>
        </w:rPr>
        <w:t>如果</w:t>
      </w:r>
      <w:r w:rsidRPr="00E97687">
        <w:rPr>
          <w:rFonts w:asciiTheme="minorHAnsi" w:eastAsiaTheme="minorEastAsia" w:hAnsiTheme="minorHAnsi" w:cstheme="minorBidi" w:hint="eastAsia"/>
          <w:kern w:val="2"/>
          <w:sz w:val="21"/>
          <w:szCs w:val="22"/>
        </w:rPr>
        <w:t xml:space="preserve"> </w:t>
      </w:r>
      <w:r w:rsidRPr="00E97687">
        <w:rPr>
          <w:rFonts w:asciiTheme="minorHAnsi" w:eastAsiaTheme="minorEastAsia" w:hAnsiTheme="minorHAnsi" w:cstheme="minorBidi" w:hint="eastAsia"/>
          <w:kern w:val="2"/>
          <w:sz w:val="21"/>
          <w:szCs w:val="22"/>
        </w:rPr>
        <w:t>（资产价格</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资产</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个月前价格</w:t>
      </w:r>
      <w:r w:rsidRPr="00E97687">
        <w:rPr>
          <w:rFonts w:asciiTheme="minorHAnsi" w:eastAsiaTheme="minorEastAsia" w:hAnsiTheme="minorHAnsi" w:cstheme="minorBidi" w:hint="eastAsia"/>
          <w:kern w:val="2"/>
          <w:sz w:val="21"/>
          <w:szCs w:val="22"/>
        </w:rPr>
        <w:t xml:space="preserve"> - 1</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GC</w:t>
      </w:r>
      <w:r>
        <w:rPr>
          <w:rFonts w:asciiTheme="minorHAnsi" w:eastAsiaTheme="minorEastAsia" w:hAnsiTheme="minorHAnsi" w:cstheme="minorBidi"/>
          <w:kern w:val="2"/>
          <w:sz w:val="21"/>
          <w:szCs w:val="22"/>
        </w:rPr>
        <w:t>001</w:t>
      </w:r>
      <w:r>
        <w:rPr>
          <w:rFonts w:asciiTheme="minorHAnsi" w:eastAsiaTheme="minorEastAsia" w:hAnsiTheme="minorHAnsi" w:cstheme="minorBidi" w:hint="eastAsia"/>
          <w:kern w:val="2"/>
          <w:sz w:val="21"/>
          <w:szCs w:val="22"/>
        </w:rPr>
        <w:t>逆回购</w:t>
      </w:r>
      <w:r w:rsidRPr="00E97687">
        <w:rPr>
          <w:rFonts w:asciiTheme="minorHAnsi" w:eastAsiaTheme="minorEastAsia" w:hAnsiTheme="minorHAnsi" w:cstheme="minorBidi" w:hint="eastAsia"/>
          <w:kern w:val="2"/>
          <w:sz w:val="21"/>
          <w:szCs w:val="22"/>
        </w:rPr>
        <w:t>12</w:t>
      </w:r>
      <w:r w:rsidRPr="00E97687">
        <w:rPr>
          <w:rFonts w:asciiTheme="minorHAnsi" w:eastAsiaTheme="minorEastAsia" w:hAnsiTheme="minorHAnsi" w:cstheme="minorBidi" w:hint="eastAsia"/>
          <w:kern w:val="2"/>
          <w:sz w:val="21"/>
          <w:szCs w:val="22"/>
        </w:rPr>
        <w:t>个月回报</w:t>
      </w:r>
      <w:r w:rsidRPr="00E97687">
        <w:rPr>
          <w:rFonts w:asciiTheme="minorHAnsi" w:eastAsiaTheme="minorEastAsia" w:hAnsiTheme="minorHAnsi" w:cstheme="minorBidi" w:hint="eastAsia"/>
          <w:kern w:val="2"/>
          <w:sz w:val="21"/>
          <w:szCs w:val="22"/>
        </w:rPr>
        <w:t>&lt; 0</w:t>
      </w:r>
      <w:r w:rsidRPr="00E97687">
        <w:rPr>
          <w:rFonts w:asciiTheme="minorHAnsi" w:eastAsiaTheme="minorEastAsia" w:hAnsiTheme="minorHAnsi" w:cstheme="minorBidi" w:hint="eastAsia"/>
          <w:kern w:val="2"/>
          <w:sz w:val="21"/>
          <w:szCs w:val="22"/>
        </w:rPr>
        <w:t>，</w:t>
      </w:r>
      <w:r w:rsidRPr="00E97687">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卖出该资产</w:t>
      </w:r>
      <w:r>
        <w:rPr>
          <w:rFonts w:asciiTheme="minorHAnsi" w:eastAsiaTheme="minorEastAsia" w:hAnsiTheme="minorHAnsi" w:cstheme="minorBidi" w:hint="eastAsia"/>
          <w:kern w:val="2"/>
          <w:sz w:val="21"/>
          <w:szCs w:val="22"/>
        </w:rPr>
        <w:t>不再持有，并投资逆回购</w:t>
      </w:r>
      <w:r>
        <w:rPr>
          <w:rFonts w:asciiTheme="minorHAnsi" w:eastAsiaTheme="minorEastAsia" w:hAnsiTheme="minorHAnsi" w:cstheme="minorBidi" w:hint="eastAsia"/>
          <w:kern w:val="2"/>
          <w:sz w:val="21"/>
          <w:szCs w:val="22"/>
        </w:rPr>
        <w:t>。</w:t>
      </w:r>
    </w:p>
    <w:p w:rsidR="00F24663" w:rsidRPr="00F24663" w:rsidRDefault="00F24663" w:rsidP="0018545E">
      <w:pPr>
        <w:ind w:firstLine="420"/>
        <w:rPr>
          <w:rFonts w:hint="eastAsia"/>
        </w:rPr>
      </w:pPr>
      <w:r>
        <w:rPr>
          <w:rFonts w:hint="eastAsia"/>
        </w:rPr>
        <w:t>也许能减小回撤，使策略更加稳健。</w:t>
      </w:r>
    </w:p>
    <w:sectPr w:rsidR="00F24663" w:rsidRPr="00F24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371" w:rsidRDefault="00BC3371" w:rsidP="00E168EC">
      <w:r>
        <w:separator/>
      </w:r>
    </w:p>
  </w:endnote>
  <w:endnote w:type="continuationSeparator" w:id="0">
    <w:p w:rsidR="00BC3371" w:rsidRDefault="00BC3371"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371" w:rsidRDefault="00BC3371" w:rsidP="00E168EC">
      <w:r>
        <w:separator/>
      </w:r>
    </w:p>
  </w:footnote>
  <w:footnote w:type="continuationSeparator" w:id="0">
    <w:p w:rsidR="00BC3371" w:rsidRDefault="00BC3371"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C58B3"/>
    <w:rsid w:val="000D42D2"/>
    <w:rsid w:val="000F4ADD"/>
    <w:rsid w:val="001005C1"/>
    <w:rsid w:val="001018AE"/>
    <w:rsid w:val="00114A75"/>
    <w:rsid w:val="001417F4"/>
    <w:rsid w:val="00154855"/>
    <w:rsid w:val="0018545E"/>
    <w:rsid w:val="00196284"/>
    <w:rsid w:val="00197FA2"/>
    <w:rsid w:val="001D1785"/>
    <w:rsid w:val="001F0C59"/>
    <w:rsid w:val="001F159E"/>
    <w:rsid w:val="001F761E"/>
    <w:rsid w:val="00201C7D"/>
    <w:rsid w:val="00227CAC"/>
    <w:rsid w:val="00273550"/>
    <w:rsid w:val="002741A6"/>
    <w:rsid w:val="002862D1"/>
    <w:rsid w:val="002B25A2"/>
    <w:rsid w:val="002B6032"/>
    <w:rsid w:val="002C1A1F"/>
    <w:rsid w:val="002D0641"/>
    <w:rsid w:val="002E4F67"/>
    <w:rsid w:val="002E79BF"/>
    <w:rsid w:val="002F0E4E"/>
    <w:rsid w:val="002F69A3"/>
    <w:rsid w:val="00315250"/>
    <w:rsid w:val="00327C5A"/>
    <w:rsid w:val="00330D99"/>
    <w:rsid w:val="00337198"/>
    <w:rsid w:val="00356862"/>
    <w:rsid w:val="00375BF5"/>
    <w:rsid w:val="00382A18"/>
    <w:rsid w:val="0039111B"/>
    <w:rsid w:val="003D7607"/>
    <w:rsid w:val="0040049A"/>
    <w:rsid w:val="004121FE"/>
    <w:rsid w:val="00414BEE"/>
    <w:rsid w:val="00441403"/>
    <w:rsid w:val="00442E3C"/>
    <w:rsid w:val="004466D0"/>
    <w:rsid w:val="00470282"/>
    <w:rsid w:val="00485C59"/>
    <w:rsid w:val="004960E3"/>
    <w:rsid w:val="004D7CFA"/>
    <w:rsid w:val="004F2AFD"/>
    <w:rsid w:val="004F6BE6"/>
    <w:rsid w:val="00502CFC"/>
    <w:rsid w:val="00514D1F"/>
    <w:rsid w:val="00530050"/>
    <w:rsid w:val="0053747B"/>
    <w:rsid w:val="00545851"/>
    <w:rsid w:val="00553AFA"/>
    <w:rsid w:val="005707DB"/>
    <w:rsid w:val="005761C0"/>
    <w:rsid w:val="005870C8"/>
    <w:rsid w:val="0059544C"/>
    <w:rsid w:val="005979E3"/>
    <w:rsid w:val="005B72BB"/>
    <w:rsid w:val="005C3A47"/>
    <w:rsid w:val="005E07CF"/>
    <w:rsid w:val="00602A62"/>
    <w:rsid w:val="006035D3"/>
    <w:rsid w:val="00647897"/>
    <w:rsid w:val="00652EFA"/>
    <w:rsid w:val="006767C8"/>
    <w:rsid w:val="00680478"/>
    <w:rsid w:val="00691325"/>
    <w:rsid w:val="007049F6"/>
    <w:rsid w:val="00706969"/>
    <w:rsid w:val="007508F4"/>
    <w:rsid w:val="007D416B"/>
    <w:rsid w:val="007D5D45"/>
    <w:rsid w:val="007E0CE9"/>
    <w:rsid w:val="007E4C11"/>
    <w:rsid w:val="00843DB2"/>
    <w:rsid w:val="0085589C"/>
    <w:rsid w:val="0089038F"/>
    <w:rsid w:val="00897347"/>
    <w:rsid w:val="008A23BC"/>
    <w:rsid w:val="008B249E"/>
    <w:rsid w:val="008B3922"/>
    <w:rsid w:val="008D1087"/>
    <w:rsid w:val="008E2AEB"/>
    <w:rsid w:val="008E68B6"/>
    <w:rsid w:val="008F2754"/>
    <w:rsid w:val="00920C30"/>
    <w:rsid w:val="009428D1"/>
    <w:rsid w:val="00946F24"/>
    <w:rsid w:val="009841F8"/>
    <w:rsid w:val="009A781A"/>
    <w:rsid w:val="00A017B0"/>
    <w:rsid w:val="00A55216"/>
    <w:rsid w:val="00A64F22"/>
    <w:rsid w:val="00A74EF3"/>
    <w:rsid w:val="00AA4F96"/>
    <w:rsid w:val="00AC1097"/>
    <w:rsid w:val="00AC4DD1"/>
    <w:rsid w:val="00AF2088"/>
    <w:rsid w:val="00AF74B2"/>
    <w:rsid w:val="00B10BC1"/>
    <w:rsid w:val="00B2174C"/>
    <w:rsid w:val="00B4163C"/>
    <w:rsid w:val="00B548D3"/>
    <w:rsid w:val="00B66B4F"/>
    <w:rsid w:val="00B768ED"/>
    <w:rsid w:val="00B91B92"/>
    <w:rsid w:val="00BC3371"/>
    <w:rsid w:val="00BE3B2C"/>
    <w:rsid w:val="00C415D2"/>
    <w:rsid w:val="00C43ACB"/>
    <w:rsid w:val="00C52F4E"/>
    <w:rsid w:val="00C55080"/>
    <w:rsid w:val="00C579CB"/>
    <w:rsid w:val="00C60DE0"/>
    <w:rsid w:val="00C6355E"/>
    <w:rsid w:val="00C838BE"/>
    <w:rsid w:val="00CC53B8"/>
    <w:rsid w:val="00CE483E"/>
    <w:rsid w:val="00CE7E03"/>
    <w:rsid w:val="00CF2EBB"/>
    <w:rsid w:val="00D21F65"/>
    <w:rsid w:val="00D24BFB"/>
    <w:rsid w:val="00D54688"/>
    <w:rsid w:val="00D71CCF"/>
    <w:rsid w:val="00DA4D87"/>
    <w:rsid w:val="00DE20C9"/>
    <w:rsid w:val="00DF486A"/>
    <w:rsid w:val="00E01393"/>
    <w:rsid w:val="00E168EC"/>
    <w:rsid w:val="00E252A3"/>
    <w:rsid w:val="00E73A15"/>
    <w:rsid w:val="00E85638"/>
    <w:rsid w:val="00E919B5"/>
    <w:rsid w:val="00E97687"/>
    <w:rsid w:val="00EB3AC0"/>
    <w:rsid w:val="00EE0D1A"/>
    <w:rsid w:val="00EE2180"/>
    <w:rsid w:val="00F159FC"/>
    <w:rsid w:val="00F24663"/>
    <w:rsid w:val="00F44E99"/>
    <w:rsid w:val="00F55DB0"/>
    <w:rsid w:val="00F709F0"/>
    <w:rsid w:val="00F70A37"/>
    <w:rsid w:val="00F716A3"/>
    <w:rsid w:val="00F87444"/>
    <w:rsid w:val="00FA7C3B"/>
    <w:rsid w:val="00FB01FC"/>
    <w:rsid w:val="00FC520A"/>
    <w:rsid w:val="00FC534D"/>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 w:type="paragraph" w:styleId="a8">
    <w:name w:val="Normal (Web)"/>
    <w:basedOn w:val="a"/>
    <w:uiPriority w:val="99"/>
    <w:semiHidden/>
    <w:unhideWhenUsed/>
    <w:rsid w:val="00AC109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C1097"/>
    <w:rPr>
      <w:b/>
      <w:bCs/>
    </w:rPr>
  </w:style>
  <w:style w:type="paragraph" w:styleId="aa">
    <w:name w:val="Date"/>
    <w:basedOn w:val="a"/>
    <w:next w:val="a"/>
    <w:link w:val="Char1"/>
    <w:uiPriority w:val="99"/>
    <w:semiHidden/>
    <w:unhideWhenUsed/>
    <w:rsid w:val="0018545E"/>
    <w:pPr>
      <w:ind w:leftChars="2500" w:left="100"/>
    </w:pPr>
  </w:style>
  <w:style w:type="character" w:customStyle="1" w:styleId="Char1">
    <w:name w:val="日期 Char"/>
    <w:basedOn w:val="a0"/>
    <w:link w:val="aa"/>
    <w:uiPriority w:val="99"/>
    <w:semiHidden/>
    <w:rsid w:val="0018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417554942">
      <w:bodyDiv w:val="1"/>
      <w:marLeft w:val="0"/>
      <w:marRight w:val="0"/>
      <w:marTop w:val="0"/>
      <w:marBottom w:val="0"/>
      <w:divBdr>
        <w:top w:val="none" w:sz="0" w:space="0" w:color="auto"/>
        <w:left w:val="none" w:sz="0" w:space="0" w:color="auto"/>
        <w:bottom w:val="none" w:sz="0" w:space="0" w:color="auto"/>
        <w:right w:val="none" w:sz="0" w:space="0" w:color="auto"/>
      </w:divBdr>
    </w:div>
    <w:div w:id="1486051962">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_&#24179;&#20215;&#22810;&#31354;\ThreeAssetTSMON\report\TSMON&#22312;&#39118;&#38505;&#24179;&#20215;&#27169;&#22411;&#30340;&#24212;&#29992;_20170517\&#26684;&#24335;&#35843;&#2597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半年来净值走势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Sheet2!$E$3:$E$128</c:f>
              <c:numCache>
                <c:formatCode>yyyy\-mm\-dd</c:formatCode>
                <c:ptCount val="126"/>
                <c:pt idx="0">
                  <c:v>42683</c:v>
                </c:pt>
                <c:pt idx="1">
                  <c:v>42684</c:v>
                </c:pt>
                <c:pt idx="2">
                  <c:v>42685</c:v>
                </c:pt>
                <c:pt idx="3">
                  <c:v>42688</c:v>
                </c:pt>
                <c:pt idx="4">
                  <c:v>42689</c:v>
                </c:pt>
                <c:pt idx="5">
                  <c:v>42690</c:v>
                </c:pt>
                <c:pt idx="6">
                  <c:v>42691</c:v>
                </c:pt>
                <c:pt idx="7">
                  <c:v>42692</c:v>
                </c:pt>
                <c:pt idx="8">
                  <c:v>42695</c:v>
                </c:pt>
                <c:pt idx="9">
                  <c:v>42696</c:v>
                </c:pt>
                <c:pt idx="10">
                  <c:v>42697</c:v>
                </c:pt>
                <c:pt idx="11">
                  <c:v>42698</c:v>
                </c:pt>
                <c:pt idx="12">
                  <c:v>42699</c:v>
                </c:pt>
                <c:pt idx="13">
                  <c:v>42702</c:v>
                </c:pt>
                <c:pt idx="14">
                  <c:v>42703</c:v>
                </c:pt>
                <c:pt idx="15">
                  <c:v>42704</c:v>
                </c:pt>
                <c:pt idx="16">
                  <c:v>42705</c:v>
                </c:pt>
                <c:pt idx="17">
                  <c:v>42706</c:v>
                </c:pt>
                <c:pt idx="18">
                  <c:v>42709</c:v>
                </c:pt>
                <c:pt idx="19">
                  <c:v>42710</c:v>
                </c:pt>
                <c:pt idx="20">
                  <c:v>42711</c:v>
                </c:pt>
                <c:pt idx="21">
                  <c:v>42712</c:v>
                </c:pt>
                <c:pt idx="22">
                  <c:v>42713</c:v>
                </c:pt>
                <c:pt idx="23">
                  <c:v>42716</c:v>
                </c:pt>
                <c:pt idx="24">
                  <c:v>42717</c:v>
                </c:pt>
                <c:pt idx="25">
                  <c:v>42718</c:v>
                </c:pt>
                <c:pt idx="26">
                  <c:v>42719</c:v>
                </c:pt>
                <c:pt idx="27">
                  <c:v>42720</c:v>
                </c:pt>
                <c:pt idx="28">
                  <c:v>42723</c:v>
                </c:pt>
                <c:pt idx="29">
                  <c:v>42724</c:v>
                </c:pt>
                <c:pt idx="30">
                  <c:v>42725</c:v>
                </c:pt>
                <c:pt idx="31">
                  <c:v>42726</c:v>
                </c:pt>
                <c:pt idx="32">
                  <c:v>42727</c:v>
                </c:pt>
                <c:pt idx="33">
                  <c:v>42730</c:v>
                </c:pt>
                <c:pt idx="34">
                  <c:v>42731</c:v>
                </c:pt>
                <c:pt idx="35">
                  <c:v>42732</c:v>
                </c:pt>
                <c:pt idx="36">
                  <c:v>42733</c:v>
                </c:pt>
                <c:pt idx="37">
                  <c:v>42734</c:v>
                </c:pt>
                <c:pt idx="38">
                  <c:v>42738</c:v>
                </c:pt>
                <c:pt idx="39">
                  <c:v>42739</c:v>
                </c:pt>
                <c:pt idx="40">
                  <c:v>42740</c:v>
                </c:pt>
                <c:pt idx="41">
                  <c:v>42741</c:v>
                </c:pt>
                <c:pt idx="42">
                  <c:v>42744</c:v>
                </c:pt>
                <c:pt idx="43">
                  <c:v>42745</c:v>
                </c:pt>
                <c:pt idx="44">
                  <c:v>42746</c:v>
                </c:pt>
                <c:pt idx="45">
                  <c:v>42747</c:v>
                </c:pt>
                <c:pt idx="46">
                  <c:v>42748</c:v>
                </c:pt>
                <c:pt idx="47">
                  <c:v>42751</c:v>
                </c:pt>
                <c:pt idx="48">
                  <c:v>42752</c:v>
                </c:pt>
                <c:pt idx="49">
                  <c:v>42753</c:v>
                </c:pt>
                <c:pt idx="50">
                  <c:v>42754</c:v>
                </c:pt>
                <c:pt idx="51">
                  <c:v>42755</c:v>
                </c:pt>
                <c:pt idx="52">
                  <c:v>42758</c:v>
                </c:pt>
                <c:pt idx="53">
                  <c:v>42759</c:v>
                </c:pt>
                <c:pt idx="54">
                  <c:v>42760</c:v>
                </c:pt>
                <c:pt idx="55">
                  <c:v>42761</c:v>
                </c:pt>
                <c:pt idx="56">
                  <c:v>42769</c:v>
                </c:pt>
                <c:pt idx="57">
                  <c:v>42772</c:v>
                </c:pt>
                <c:pt idx="58">
                  <c:v>42773</c:v>
                </c:pt>
                <c:pt idx="59">
                  <c:v>42774</c:v>
                </c:pt>
                <c:pt idx="60">
                  <c:v>42775</c:v>
                </c:pt>
                <c:pt idx="61">
                  <c:v>42776</c:v>
                </c:pt>
                <c:pt idx="62">
                  <c:v>42779</c:v>
                </c:pt>
                <c:pt idx="63">
                  <c:v>42780</c:v>
                </c:pt>
                <c:pt idx="64">
                  <c:v>42781</c:v>
                </c:pt>
                <c:pt idx="65">
                  <c:v>42782</c:v>
                </c:pt>
                <c:pt idx="66">
                  <c:v>42783</c:v>
                </c:pt>
                <c:pt idx="67">
                  <c:v>42786</c:v>
                </c:pt>
                <c:pt idx="68">
                  <c:v>42787</c:v>
                </c:pt>
                <c:pt idx="69">
                  <c:v>42788</c:v>
                </c:pt>
                <c:pt idx="70">
                  <c:v>42789</c:v>
                </c:pt>
                <c:pt idx="71">
                  <c:v>42790</c:v>
                </c:pt>
                <c:pt idx="72">
                  <c:v>42793</c:v>
                </c:pt>
                <c:pt idx="73">
                  <c:v>42794</c:v>
                </c:pt>
                <c:pt idx="74">
                  <c:v>42795</c:v>
                </c:pt>
                <c:pt idx="75">
                  <c:v>42796</c:v>
                </c:pt>
                <c:pt idx="76">
                  <c:v>42797</c:v>
                </c:pt>
                <c:pt idx="77">
                  <c:v>42800</c:v>
                </c:pt>
                <c:pt idx="78">
                  <c:v>42801</c:v>
                </c:pt>
                <c:pt idx="79">
                  <c:v>42802</c:v>
                </c:pt>
                <c:pt idx="80">
                  <c:v>42803</c:v>
                </c:pt>
                <c:pt idx="81">
                  <c:v>42804</c:v>
                </c:pt>
                <c:pt idx="82">
                  <c:v>42807</c:v>
                </c:pt>
                <c:pt idx="83">
                  <c:v>42808</c:v>
                </c:pt>
                <c:pt idx="84">
                  <c:v>42809</c:v>
                </c:pt>
                <c:pt idx="85">
                  <c:v>42810</c:v>
                </c:pt>
                <c:pt idx="86">
                  <c:v>42811</c:v>
                </c:pt>
                <c:pt idx="87">
                  <c:v>42814</c:v>
                </c:pt>
                <c:pt idx="88">
                  <c:v>42815</c:v>
                </c:pt>
                <c:pt idx="89">
                  <c:v>42816</c:v>
                </c:pt>
                <c:pt idx="90">
                  <c:v>42817</c:v>
                </c:pt>
                <c:pt idx="91">
                  <c:v>42818</c:v>
                </c:pt>
                <c:pt idx="92">
                  <c:v>42821</c:v>
                </c:pt>
                <c:pt idx="93">
                  <c:v>42822</c:v>
                </c:pt>
                <c:pt idx="94">
                  <c:v>42823</c:v>
                </c:pt>
                <c:pt idx="95">
                  <c:v>42824</c:v>
                </c:pt>
                <c:pt idx="96">
                  <c:v>42825</c:v>
                </c:pt>
                <c:pt idx="97">
                  <c:v>42830</c:v>
                </c:pt>
                <c:pt idx="98">
                  <c:v>42831</c:v>
                </c:pt>
                <c:pt idx="99">
                  <c:v>42832</c:v>
                </c:pt>
                <c:pt idx="100">
                  <c:v>42835</c:v>
                </c:pt>
                <c:pt idx="101">
                  <c:v>42836</c:v>
                </c:pt>
                <c:pt idx="102">
                  <c:v>42837</c:v>
                </c:pt>
                <c:pt idx="103">
                  <c:v>42838</c:v>
                </c:pt>
                <c:pt idx="104">
                  <c:v>42839</c:v>
                </c:pt>
                <c:pt idx="105">
                  <c:v>42842</c:v>
                </c:pt>
                <c:pt idx="106">
                  <c:v>42843</c:v>
                </c:pt>
                <c:pt idx="107">
                  <c:v>42844</c:v>
                </c:pt>
                <c:pt idx="108">
                  <c:v>42845</c:v>
                </c:pt>
                <c:pt idx="109">
                  <c:v>42846</c:v>
                </c:pt>
                <c:pt idx="110">
                  <c:v>42849</c:v>
                </c:pt>
                <c:pt idx="111">
                  <c:v>42850</c:v>
                </c:pt>
                <c:pt idx="112">
                  <c:v>42851</c:v>
                </c:pt>
                <c:pt idx="113">
                  <c:v>42852</c:v>
                </c:pt>
                <c:pt idx="114">
                  <c:v>42853</c:v>
                </c:pt>
                <c:pt idx="115">
                  <c:v>42857</c:v>
                </c:pt>
                <c:pt idx="116">
                  <c:v>42858</c:v>
                </c:pt>
                <c:pt idx="117">
                  <c:v>42859</c:v>
                </c:pt>
                <c:pt idx="118">
                  <c:v>42860</c:v>
                </c:pt>
                <c:pt idx="119">
                  <c:v>42863</c:v>
                </c:pt>
                <c:pt idx="120">
                  <c:v>42864</c:v>
                </c:pt>
                <c:pt idx="121">
                  <c:v>42865</c:v>
                </c:pt>
                <c:pt idx="122">
                  <c:v>42866</c:v>
                </c:pt>
                <c:pt idx="123">
                  <c:v>42867</c:v>
                </c:pt>
                <c:pt idx="124">
                  <c:v>42870</c:v>
                </c:pt>
                <c:pt idx="125">
                  <c:v>42871</c:v>
                </c:pt>
              </c:numCache>
            </c:numRef>
          </c:cat>
          <c:val>
            <c:numRef>
              <c:f>Sheet2!$H$3:$H$128</c:f>
              <c:numCache>
                <c:formatCode>General</c:formatCode>
                <c:ptCount val="126"/>
                <c:pt idx="0">
                  <c:v>1</c:v>
                </c:pt>
                <c:pt idx="1">
                  <c:v>1.0004895175651165</c:v>
                </c:pt>
                <c:pt idx="2">
                  <c:v>1.0002087724506317</c:v>
                </c:pt>
                <c:pt idx="3">
                  <c:v>0.99419785731882471</c:v>
                </c:pt>
                <c:pt idx="4">
                  <c:v>0.99039975332729935</c:v>
                </c:pt>
                <c:pt idx="5">
                  <c:v>0.99388393524100727</c:v>
                </c:pt>
                <c:pt idx="6">
                  <c:v>0.99110584709587413</c:v>
                </c:pt>
                <c:pt idx="7">
                  <c:v>0.98972066692956873</c:v>
                </c:pt>
                <c:pt idx="8">
                  <c:v>0.99094684581110837</c:v>
                </c:pt>
                <c:pt idx="9">
                  <c:v>0.99463088155402701</c:v>
                </c:pt>
                <c:pt idx="10">
                  <c:v>0.99509234654388601</c:v>
                </c:pt>
                <c:pt idx="11">
                  <c:v>0.99515615993141449</c:v>
                </c:pt>
                <c:pt idx="12">
                  <c:v>0.99498782884249304</c:v>
                </c:pt>
                <c:pt idx="13">
                  <c:v>0.99789413483863432</c:v>
                </c:pt>
                <c:pt idx="14">
                  <c:v>0.99055542467052382</c:v>
                </c:pt>
                <c:pt idx="15">
                  <c:v>0.98693399935253889</c:v>
                </c:pt>
                <c:pt idx="16">
                  <c:v>0.98755046651772482</c:v>
                </c:pt>
                <c:pt idx="17">
                  <c:v>0.98527802671204534</c:v>
                </c:pt>
                <c:pt idx="18">
                  <c:v>0.98995568769899678</c:v>
                </c:pt>
                <c:pt idx="19">
                  <c:v>0.99587773164369775</c:v>
                </c:pt>
                <c:pt idx="20">
                  <c:v>0.9976981803015984</c:v>
                </c:pt>
                <c:pt idx="21">
                  <c:v>0.99481836504225329</c:v>
                </c:pt>
                <c:pt idx="22">
                  <c:v>0.99517752452901298</c:v>
                </c:pt>
                <c:pt idx="23">
                  <c:v>1.0006823365916528</c:v>
                </c:pt>
                <c:pt idx="24">
                  <c:v>1.0059654871460557</c:v>
                </c:pt>
                <c:pt idx="25">
                  <c:v>1.0054956223163103</c:v>
                </c:pt>
                <c:pt idx="26">
                  <c:v>1.0139691946693892</c:v>
                </c:pt>
                <c:pt idx="27">
                  <c:v>1.0117708214847883</c:v>
                </c:pt>
                <c:pt idx="28">
                  <c:v>1.0104125000729025</c:v>
                </c:pt>
                <c:pt idx="29">
                  <c:v>1.0133242214045037</c:v>
                </c:pt>
                <c:pt idx="30">
                  <c:v>1.0099643673967438</c:v>
                </c:pt>
                <c:pt idx="31">
                  <c:v>1.0033258620500947</c:v>
                </c:pt>
                <c:pt idx="32">
                  <c:v>1.0017216438435483</c:v>
                </c:pt>
                <c:pt idx="33">
                  <c:v>0.99922983327851145</c:v>
                </c:pt>
                <c:pt idx="34">
                  <c:v>0.99855257017047161</c:v>
                </c:pt>
                <c:pt idx="35">
                  <c:v>1.0000860600120018</c:v>
                </c:pt>
                <c:pt idx="36">
                  <c:v>0.99769501402773031</c:v>
                </c:pt>
                <c:pt idx="37">
                  <c:v>0.99142157502478301</c:v>
                </c:pt>
                <c:pt idx="38">
                  <c:v>0.99485956099542228</c:v>
                </c:pt>
                <c:pt idx="39">
                  <c:v>0.99332062722196668</c:v>
                </c:pt>
                <c:pt idx="40">
                  <c:v>0.99952658404940309</c:v>
                </c:pt>
                <c:pt idx="41">
                  <c:v>0.99824871849013397</c:v>
                </c:pt>
                <c:pt idx="42">
                  <c:v>1.0013410401408793</c:v>
                </c:pt>
                <c:pt idx="43">
                  <c:v>1.0017847803595032</c:v>
                </c:pt>
                <c:pt idx="44">
                  <c:v>1.0058322659815306</c:v>
                </c:pt>
                <c:pt idx="45">
                  <c:v>1.0055863493015507</c:v>
                </c:pt>
                <c:pt idx="46">
                  <c:v>1.0074661764791955</c:v>
                </c:pt>
                <c:pt idx="47">
                  <c:v>1.0115218844689462</c:v>
                </c:pt>
                <c:pt idx="48">
                  <c:v>1.0114731572590547</c:v>
                </c:pt>
                <c:pt idx="49">
                  <c:v>1.0118288006373291</c:v>
                </c:pt>
                <c:pt idx="50">
                  <c:v>1.0125388566805684</c:v>
                </c:pt>
                <c:pt idx="51">
                  <c:v>1.0073529838156929</c:v>
                </c:pt>
                <c:pt idx="52">
                  <c:v>1.0091557322177878</c:v>
                </c:pt>
                <c:pt idx="53">
                  <c:v>1.0116608203137303</c:v>
                </c:pt>
                <c:pt idx="54">
                  <c:v>1.0141019062162882</c:v>
                </c:pt>
                <c:pt idx="55">
                  <c:v>1.0170773298485696</c:v>
                </c:pt>
                <c:pt idx="56">
                  <c:v>1.0134710190593437</c:v>
                </c:pt>
                <c:pt idx="57">
                  <c:v>1.0193824394206525</c:v>
                </c:pt>
                <c:pt idx="58">
                  <c:v>1.0218571341857774</c:v>
                </c:pt>
                <c:pt idx="59">
                  <c:v>1.0229032943383833</c:v>
                </c:pt>
                <c:pt idx="60">
                  <c:v>1.0216385881795087</c:v>
                </c:pt>
                <c:pt idx="61">
                  <c:v>1.0222210896896378</c:v>
                </c:pt>
                <c:pt idx="62">
                  <c:v>1.0274703482121179</c:v>
                </c:pt>
                <c:pt idx="63">
                  <c:v>1.0262743346348591</c:v>
                </c:pt>
                <c:pt idx="64">
                  <c:v>1.0256653821113386</c:v>
                </c:pt>
                <c:pt idx="65">
                  <c:v>1.022787014209938</c:v>
                </c:pt>
                <c:pt idx="66">
                  <c:v>1.0219615132360851</c:v>
                </c:pt>
                <c:pt idx="67">
                  <c:v>1.0210675235111042</c:v>
                </c:pt>
                <c:pt idx="68">
                  <c:v>1.0228096910786804</c:v>
                </c:pt>
                <c:pt idx="69">
                  <c:v>1.0224065377199567</c:v>
                </c:pt>
                <c:pt idx="70">
                  <c:v>1.0188737267916848</c:v>
                </c:pt>
                <c:pt idx="71">
                  <c:v>1.0199528568539449</c:v>
                </c:pt>
                <c:pt idx="72">
                  <c:v>1.019342813110282</c:v>
                </c:pt>
                <c:pt idx="73">
                  <c:v>1.0180382598261171</c:v>
                </c:pt>
                <c:pt idx="74">
                  <c:v>1.0196358691277887</c:v>
                </c:pt>
                <c:pt idx="75">
                  <c:v>1.0199942858900044</c:v>
                </c:pt>
                <c:pt idx="76">
                  <c:v>1.0201558114281903</c:v>
                </c:pt>
                <c:pt idx="77">
                  <c:v>1.0207034197679865</c:v>
                </c:pt>
                <c:pt idx="78">
                  <c:v>1.0211612273553283</c:v>
                </c:pt>
                <c:pt idx="79">
                  <c:v>1.0190224027888268</c:v>
                </c:pt>
                <c:pt idx="80">
                  <c:v>1.0188078129312286</c:v>
                </c:pt>
                <c:pt idx="81">
                  <c:v>1.0183573629959017</c:v>
                </c:pt>
                <c:pt idx="82">
                  <c:v>1.0217847062021694</c:v>
                </c:pt>
                <c:pt idx="83">
                  <c:v>1.0189437073412806</c:v>
                </c:pt>
                <c:pt idx="84">
                  <c:v>1.0200020016006592</c:v>
                </c:pt>
                <c:pt idx="85">
                  <c:v>1.0168745711218714</c:v>
                </c:pt>
                <c:pt idx="86">
                  <c:v>1.0172247322553631</c:v>
                </c:pt>
                <c:pt idx="87">
                  <c:v>1.0175276499692298</c:v>
                </c:pt>
                <c:pt idx="88">
                  <c:v>1.0181620626978019</c:v>
                </c:pt>
                <c:pt idx="89">
                  <c:v>1.0136536288448146</c:v>
                </c:pt>
                <c:pt idx="90">
                  <c:v>1.0153852730683832</c:v>
                </c:pt>
                <c:pt idx="91">
                  <c:v>1.0138188889006772</c:v>
                </c:pt>
                <c:pt idx="92">
                  <c:v>1.0084517776996693</c:v>
                </c:pt>
                <c:pt idx="93">
                  <c:v>1.0086165602279873</c:v>
                </c:pt>
                <c:pt idx="94">
                  <c:v>1.0124706760835718</c:v>
                </c:pt>
                <c:pt idx="95">
                  <c:v>1.0101228795003547</c:v>
                </c:pt>
                <c:pt idx="96">
                  <c:v>1.0107338447176377</c:v>
                </c:pt>
                <c:pt idx="97">
                  <c:v>1.0158607605083967</c:v>
                </c:pt>
                <c:pt idx="98">
                  <c:v>1.0185978423841691</c:v>
                </c:pt>
                <c:pt idx="99">
                  <c:v>1.0149021753525664</c:v>
                </c:pt>
                <c:pt idx="100">
                  <c:v>1.0143182227306218</c:v>
                </c:pt>
                <c:pt idx="101">
                  <c:v>1.015193269850776</c:v>
                </c:pt>
                <c:pt idx="102">
                  <c:v>1.0116748973303713</c:v>
                </c:pt>
                <c:pt idx="103">
                  <c:v>1.0128757050986055</c:v>
                </c:pt>
                <c:pt idx="104">
                  <c:v>1.0121527502730645</c:v>
                </c:pt>
                <c:pt idx="105">
                  <c:v>1.014720558456661</c:v>
                </c:pt>
                <c:pt idx="106">
                  <c:v>1.0130830707354797</c:v>
                </c:pt>
                <c:pt idx="107">
                  <c:v>1.011182998285711</c:v>
                </c:pt>
                <c:pt idx="108">
                  <c:v>1.0142386931158158</c:v>
                </c:pt>
                <c:pt idx="109">
                  <c:v>1.015221271342156</c:v>
                </c:pt>
                <c:pt idx="110">
                  <c:v>1.0145551641536117</c:v>
                </c:pt>
                <c:pt idx="111">
                  <c:v>1.0148340908077289</c:v>
                </c:pt>
                <c:pt idx="112">
                  <c:v>1.0136610462045523</c:v>
                </c:pt>
                <c:pt idx="113">
                  <c:v>1.0144185636955445</c:v>
                </c:pt>
                <c:pt idx="114">
                  <c:v>1.0156216277863563</c:v>
                </c:pt>
                <c:pt idx="115">
                  <c:v>1.0157081286010845</c:v>
                </c:pt>
                <c:pt idx="116">
                  <c:v>1.0164948375554441</c:v>
                </c:pt>
                <c:pt idx="117">
                  <c:v>1.0127122048131834</c:v>
                </c:pt>
                <c:pt idx="118">
                  <c:v>1.0105598763595547</c:v>
                </c:pt>
                <c:pt idx="119">
                  <c:v>1.0113023660026592</c:v>
                </c:pt>
                <c:pt idx="120">
                  <c:v>1.012141079933691</c:v>
                </c:pt>
                <c:pt idx="121">
                  <c:v>1.0131692869856952</c:v>
                </c:pt>
                <c:pt idx="122">
                  <c:v>1.017544489172139</c:v>
                </c:pt>
                <c:pt idx="123">
                  <c:v>1.0154809387856045</c:v>
                </c:pt>
                <c:pt idx="124">
                  <c:v>1.0168073363517991</c:v>
                </c:pt>
                <c:pt idx="125">
                  <c:v>1.0197361161917649</c:v>
                </c:pt>
              </c:numCache>
            </c:numRef>
          </c:val>
          <c:smooth val="0"/>
        </c:ser>
        <c:dLbls>
          <c:showLegendKey val="0"/>
          <c:showVal val="0"/>
          <c:showCatName val="0"/>
          <c:showSerName val="0"/>
          <c:showPercent val="0"/>
          <c:showBubbleSize val="0"/>
        </c:dLbls>
        <c:smooth val="0"/>
        <c:axId val="602936616"/>
        <c:axId val="602939752"/>
      </c:lineChart>
      <c:dateAx>
        <c:axId val="602936616"/>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939752"/>
        <c:crosses val="autoZero"/>
        <c:auto val="1"/>
        <c:lblOffset val="100"/>
        <c:baseTimeUnit val="days"/>
      </c:dateAx>
      <c:valAx>
        <c:axId val="602939752"/>
        <c:scaling>
          <c:orientation val="minMax"/>
          <c:min val="0.9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93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2563E-D3DF-4646-9256-0538D7DD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5</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108</cp:revision>
  <cp:lastPrinted>2017-04-27T06:42:00Z</cp:lastPrinted>
  <dcterms:created xsi:type="dcterms:W3CDTF">2017-02-16T14:30:00Z</dcterms:created>
  <dcterms:modified xsi:type="dcterms:W3CDTF">2017-05-17T08:09:00Z</dcterms:modified>
</cp:coreProperties>
</file>