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A75" w:rsidRPr="00114A75" w:rsidRDefault="00D21F65" w:rsidP="00D21F65">
      <w:pPr>
        <w:ind w:firstLine="420"/>
        <w:jc w:val="center"/>
        <w:rPr>
          <w:rFonts w:ascii="微软雅黑" w:eastAsia="微软雅黑" w:hAnsi="微软雅黑" w:cs="宋体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LLT</w:t>
      </w:r>
      <w:r w:rsidR="0083435E">
        <w:rPr>
          <w:rFonts w:ascii="微软雅黑" w:eastAsia="微软雅黑" w:hAnsi="微软雅黑" w:cs="宋体"/>
          <w:color w:val="000000"/>
          <w:kern w:val="0"/>
          <w:sz w:val="28"/>
          <w:szCs w:val="28"/>
          <w:shd w:val="clear" w:color="auto" w:fill="FFFFFF"/>
        </w:rPr>
        <w:t>在</w:t>
      </w:r>
      <w:r w:rsidR="0083435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  <w:shd w:val="clear" w:color="auto" w:fill="FFFFFF"/>
        </w:rPr>
        <w:t>B</w:t>
      </w:r>
      <w:r w:rsidR="0083435E">
        <w:rPr>
          <w:rFonts w:ascii="微软雅黑" w:eastAsia="微软雅黑" w:hAnsi="微软雅黑" w:cs="宋体"/>
          <w:color w:val="000000"/>
          <w:kern w:val="0"/>
          <w:sz w:val="28"/>
          <w:szCs w:val="28"/>
          <w:shd w:val="clear" w:color="auto" w:fill="FFFFFF"/>
        </w:rPr>
        <w:t>lack-Litterman</w:t>
      </w:r>
      <w:r>
        <w:rPr>
          <w:rFonts w:ascii="微软雅黑" w:eastAsia="微软雅黑" w:hAnsi="微软雅黑" w:cs="宋体"/>
          <w:color w:val="000000"/>
          <w:kern w:val="0"/>
          <w:sz w:val="28"/>
          <w:szCs w:val="28"/>
          <w:shd w:val="clear" w:color="auto" w:fill="FFFFFF"/>
        </w:rPr>
        <w:t>模型的应用</w:t>
      </w:r>
    </w:p>
    <w:p w:rsidR="00114A75" w:rsidRDefault="00114A75" w:rsidP="00DF486A">
      <w:pPr>
        <w:ind w:firstLine="420"/>
      </w:pPr>
    </w:p>
    <w:p w:rsidR="00114A75" w:rsidRDefault="00FC520A" w:rsidP="00114A75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简介</w:t>
      </w:r>
    </w:p>
    <w:p w:rsidR="0002035F" w:rsidRPr="0002035F" w:rsidRDefault="0002035F" w:rsidP="0002035F">
      <w:pPr>
        <w:pStyle w:val="a5"/>
        <w:widowControl/>
        <w:numPr>
          <w:ilvl w:val="1"/>
          <w:numId w:val="16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0" w:name="OLE_LINK4"/>
      <w:r w:rsidRPr="0002035F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Black-Litterman</w:t>
      </w:r>
      <w:r w:rsidRPr="0002035F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策略</w:t>
      </w:r>
      <w:r w:rsidRPr="0002035F">
        <w:rPr>
          <w:rFonts w:ascii="微软雅黑" w:eastAsia="微软雅黑" w:hAnsi="微软雅黑" w:cs="宋体" w:hint="eastAsia"/>
          <w:color w:val="000000"/>
          <w:kern w:val="0"/>
          <w:szCs w:val="21"/>
        </w:rPr>
        <w:t>简介</w:t>
      </w:r>
    </w:p>
    <w:p w:rsidR="0002035F" w:rsidRDefault="0002035F" w:rsidP="0002035F">
      <w:pPr>
        <w:ind w:firstLineChars="100" w:firstLine="210"/>
      </w:pPr>
      <w:bookmarkStart w:id="1" w:name="OLE_LINK1"/>
      <w:bookmarkStart w:id="2" w:name="OLE_LINK2"/>
      <w:bookmarkEnd w:id="0"/>
      <w:r>
        <w:t>Markowitz</w:t>
      </w:r>
      <w:r>
        <w:t>模型</w:t>
      </w:r>
      <w:r w:rsidRPr="00F42465">
        <w:rPr>
          <w:rFonts w:hint="eastAsia"/>
        </w:rPr>
        <w:t>模型对收益率的输入变化极为敏感，且历史收益率作为资产未来的收益率容易出现配置的偏差。为了克服传统均值方差模型的缺点</w:t>
      </w:r>
      <w:r>
        <w:rPr>
          <w:rFonts w:hint="eastAsia"/>
        </w:rPr>
        <w:t>。</w:t>
      </w:r>
      <w:r w:rsidRPr="00F42465">
        <w:t>Black-Litterman</w:t>
      </w:r>
      <w:r w:rsidRPr="00110116">
        <w:rPr>
          <w:rFonts w:hint="eastAsia"/>
        </w:rPr>
        <w:t>模型</w:t>
      </w:r>
      <w:r>
        <w:rPr>
          <w:rFonts w:hint="eastAsia"/>
        </w:rPr>
        <w:t>被提出来。</w:t>
      </w:r>
    </w:p>
    <w:p w:rsidR="0002035F" w:rsidRDefault="0002035F" w:rsidP="0002035F">
      <w:pPr>
        <w:ind w:firstLineChars="100" w:firstLine="210"/>
      </w:pPr>
      <w:r w:rsidRPr="00F42465">
        <w:t>Black-Litterman</w:t>
      </w:r>
      <w:r w:rsidRPr="00110116">
        <w:rPr>
          <w:rFonts w:hint="eastAsia"/>
        </w:rPr>
        <w:t>模型</w:t>
      </w:r>
      <w:r w:rsidRPr="00F42465">
        <w:rPr>
          <w:rFonts w:hint="eastAsia"/>
        </w:rPr>
        <w:t>将先验观点与历史均衡收益相结合，模型构建的投资组合不但是历史规律的总结，同时也反映了投资者的主观观点。当投资者对自己观点的信心水平较高时，组合收益接近主观预期收益，而信心较低，组合收益反映市场均衡收益。</w:t>
      </w:r>
    </w:p>
    <w:p w:rsidR="0002035F" w:rsidRDefault="0002035F" w:rsidP="0002035F">
      <w:pPr>
        <w:ind w:firstLineChars="100" w:firstLine="210"/>
      </w:pPr>
      <w:r>
        <w:rPr>
          <w:noProof/>
        </w:rPr>
        <w:drawing>
          <wp:inline distT="0" distB="0" distL="0" distR="0" wp14:anchorId="033AAC6D" wp14:editId="7CF58A8A">
            <wp:extent cx="5274310" cy="251015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5F" w:rsidRPr="00EE05F3" w:rsidRDefault="0002035F" w:rsidP="0002035F">
      <w:pPr>
        <w:ind w:firstLine="420"/>
      </w:pPr>
      <w:r>
        <w:rPr>
          <w:rFonts w:hint="eastAsia"/>
        </w:rPr>
        <w:t>本文将股票、商品、国债、现金按照目标策略来配置资产比例，其中，股票使用上证指数，商品使用</w:t>
      </w:r>
      <w:r w:rsidRPr="008059D1">
        <w:rPr>
          <w:rFonts w:hint="eastAsia"/>
        </w:rPr>
        <w:t>南华</w:t>
      </w:r>
      <w:r>
        <w:rPr>
          <w:rFonts w:hint="eastAsia"/>
        </w:rPr>
        <w:t>商品</w:t>
      </w:r>
      <w:r w:rsidRPr="008059D1">
        <w:rPr>
          <w:rFonts w:hint="eastAsia"/>
        </w:rPr>
        <w:t>指数</w:t>
      </w:r>
      <w:r>
        <w:rPr>
          <w:rFonts w:hint="eastAsia"/>
        </w:rPr>
        <w:t>，国债使用</w:t>
      </w:r>
      <w:r>
        <w:rPr>
          <w:rFonts w:hint="eastAsia"/>
        </w:rPr>
        <w:t>10</w:t>
      </w:r>
      <w:r>
        <w:rPr>
          <w:rFonts w:hint="eastAsia"/>
        </w:rPr>
        <w:t>年期国债收益率换算成的国债现券价格，现金使用逆回购收益率计算，代码为</w:t>
      </w:r>
      <w:r>
        <w:rPr>
          <w:rFonts w:hint="eastAsia"/>
        </w:rPr>
        <w:t>204001.SH</w:t>
      </w:r>
      <w:r>
        <w:rPr>
          <w:rFonts w:hint="eastAsia"/>
        </w:rPr>
        <w:t>。</w:t>
      </w:r>
    </w:p>
    <w:p w:rsidR="0002035F" w:rsidRDefault="0002035F" w:rsidP="0002035F">
      <w:pPr>
        <w:ind w:firstLine="420"/>
      </w:pPr>
      <w:r>
        <w:rPr>
          <w:rFonts w:hint="eastAsia"/>
        </w:rPr>
        <w:t>每个月调仓一次，总资本为</w:t>
      </w:r>
      <w:r>
        <w:rPr>
          <w:rFonts w:hint="eastAsia"/>
        </w:rPr>
        <w:t>3</w:t>
      </w:r>
      <w:r>
        <w:rPr>
          <w:rFonts w:hint="eastAsia"/>
        </w:rPr>
        <w:t>亿。计算资产配置比例的数据回溯长度为</w:t>
      </w:r>
      <w:r>
        <w:rPr>
          <w:rFonts w:hint="eastAsia"/>
        </w:rPr>
        <w:t>60</w:t>
      </w:r>
      <w:r>
        <w:rPr>
          <w:rFonts w:hint="eastAsia"/>
        </w:rPr>
        <w:t>个交易日。</w:t>
      </w:r>
    </w:p>
    <w:bookmarkEnd w:id="1"/>
    <w:bookmarkEnd w:id="2"/>
    <w:p w:rsidR="002B6032" w:rsidRPr="00FC520A" w:rsidRDefault="002B6032" w:rsidP="0002035F">
      <w:pPr>
        <w:pStyle w:val="a5"/>
        <w:widowControl/>
        <w:numPr>
          <w:ilvl w:val="1"/>
          <w:numId w:val="16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FC520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基于低延迟趋势线(LLT</w:t>
      </w:r>
      <w:r w:rsidRPr="00FC520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)的择时策略介绍</w:t>
      </w:r>
    </w:p>
    <w:p w:rsidR="002B6032" w:rsidRDefault="002B6032" w:rsidP="002B6032">
      <w:pPr>
        <w:ind w:firstLine="420"/>
      </w:pPr>
      <w:r>
        <w:t>LLT</w:t>
      </w:r>
      <w:r>
        <w:t>低延迟趋势线由二阶滤波器设计而来</w:t>
      </w:r>
      <w:r>
        <w:rPr>
          <w:rFonts w:hint="eastAsia"/>
        </w:rPr>
        <w:t>，</w:t>
      </w:r>
      <w:r>
        <w:t>它在低频部分的输出信号较强</w:t>
      </w:r>
      <w:r>
        <w:rPr>
          <w:rFonts w:hint="eastAsia"/>
        </w:rPr>
        <w:t>，</w:t>
      </w:r>
      <w:r>
        <w:t>同时与</w:t>
      </w:r>
      <w:r>
        <w:t>MA</w:t>
      </w:r>
      <w:r>
        <w:t>均线和</w:t>
      </w:r>
      <w:r>
        <w:t>EMA</w:t>
      </w:r>
      <w:r>
        <w:t>均线相比</w:t>
      </w:r>
      <w:r>
        <w:rPr>
          <w:rFonts w:hint="eastAsia"/>
        </w:rPr>
        <w:t>，</w:t>
      </w:r>
      <w:r>
        <w:t>延迟幅度大幅下降</w:t>
      </w:r>
      <w:r>
        <w:rPr>
          <w:rFonts w:hint="eastAsia"/>
        </w:rPr>
        <w:t>。</w:t>
      </w:r>
      <w:r w:rsidR="00EE2180">
        <w:rPr>
          <w:rFonts w:hint="eastAsia"/>
        </w:rPr>
        <w:t>本文</w:t>
      </w:r>
      <w:r w:rsidR="00EE2180">
        <w:rPr>
          <w:rFonts w:hint="eastAsia"/>
        </w:rPr>
        <w:t>LLT</w:t>
      </w:r>
      <w:r w:rsidR="00EE2180">
        <w:rPr>
          <w:rFonts w:hint="eastAsia"/>
        </w:rPr>
        <w:t>指标</w:t>
      </w:r>
      <w:r w:rsidR="00337198">
        <w:rPr>
          <w:rFonts w:hint="eastAsia"/>
        </w:rPr>
        <w:t>来自于</w:t>
      </w:r>
      <w:r w:rsidR="00EE2180">
        <w:rPr>
          <w:rFonts w:hint="eastAsia"/>
        </w:rPr>
        <w:t>《低延迟趋势线与交易性择时——短线择时策略研究之三》</w:t>
      </w:r>
      <w:r w:rsidR="00337198">
        <w:rPr>
          <w:rFonts w:hint="eastAsia"/>
        </w:rPr>
        <w:t>。详细信息在本文“模型细节”一节中介绍。</w:t>
      </w:r>
      <w:r w:rsidR="009841F8">
        <w:rPr>
          <w:rFonts w:hint="eastAsia"/>
        </w:rPr>
        <w:t>得到</w:t>
      </w:r>
      <w:r w:rsidR="009841F8">
        <w:rPr>
          <w:rFonts w:hint="eastAsia"/>
        </w:rPr>
        <w:t>LLT</w:t>
      </w:r>
      <w:r w:rsidR="009841F8">
        <w:rPr>
          <w:rFonts w:hint="eastAsia"/>
        </w:rPr>
        <w:t>曲线后，计算过去一段时间</w:t>
      </w:r>
      <w:r w:rsidR="009841F8">
        <w:rPr>
          <w:rFonts w:hint="eastAsia"/>
        </w:rPr>
        <w:t>LLT</w:t>
      </w:r>
      <w:r w:rsidR="009841F8">
        <w:rPr>
          <w:rFonts w:hint="eastAsia"/>
        </w:rPr>
        <w:t>曲线起始点连线的斜率，如果斜率大于</w:t>
      </w:r>
      <w:r w:rsidR="009841F8">
        <w:rPr>
          <w:rFonts w:hint="eastAsia"/>
        </w:rPr>
        <w:t>0</w:t>
      </w:r>
      <w:r w:rsidR="009841F8">
        <w:rPr>
          <w:rFonts w:hint="eastAsia"/>
        </w:rPr>
        <w:t>，我们视之为做多信号；如果斜率小于</w:t>
      </w:r>
      <w:r w:rsidR="009841F8">
        <w:rPr>
          <w:rFonts w:hint="eastAsia"/>
        </w:rPr>
        <w:t>0</w:t>
      </w:r>
      <w:r w:rsidR="009841F8">
        <w:rPr>
          <w:rFonts w:hint="eastAsia"/>
        </w:rPr>
        <w:t>，我们视之为做空信号；若曲线不变，则不开仓。</w:t>
      </w:r>
      <w:r w:rsidR="00E85638">
        <w:rPr>
          <w:rFonts w:hint="eastAsia"/>
        </w:rPr>
        <w:t>由于逆回购情况特殊，我们将逆回购特殊处理，让它始终接收做多信号。</w:t>
      </w:r>
    </w:p>
    <w:p w:rsidR="00FC520A" w:rsidRPr="00FC520A" w:rsidRDefault="00FC520A" w:rsidP="0002035F">
      <w:pPr>
        <w:pStyle w:val="a5"/>
        <w:widowControl/>
        <w:numPr>
          <w:ilvl w:val="1"/>
          <w:numId w:val="16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FC520A"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  <w:t>LLT在风险平价模型的应用</w:t>
      </w:r>
    </w:p>
    <w:p w:rsidR="00FC520A" w:rsidRPr="009841F8" w:rsidRDefault="00D21F65" w:rsidP="00D21F65">
      <w:pPr>
        <w:ind w:firstLine="420"/>
      </w:pPr>
      <w:r>
        <w:t>本文先让资产按照</w:t>
      </w:r>
      <w:r w:rsidR="00516EF9">
        <w:rPr>
          <w:rFonts w:hint="eastAsia"/>
        </w:rPr>
        <w:t>B</w:t>
      </w:r>
      <w:r w:rsidR="00516EF9">
        <w:t>L</w:t>
      </w:r>
      <w:r>
        <w:t>模型在约束下计算权重</w:t>
      </w:r>
      <w:r>
        <w:rPr>
          <w:rFonts w:hint="eastAsia"/>
        </w:rPr>
        <w:t>，</w:t>
      </w:r>
      <w:r>
        <w:t>然后利用</w:t>
      </w:r>
      <w:r>
        <w:t>LLT</w:t>
      </w:r>
      <w:r>
        <w:t>择时系统给出多空信号</w:t>
      </w:r>
      <w:r w:rsidR="00414BEE">
        <w:rPr>
          <w:rFonts w:hint="eastAsia"/>
        </w:rPr>
        <w:t>，根据结果调仓。</w:t>
      </w:r>
    </w:p>
    <w:p w:rsidR="00114A75" w:rsidRDefault="00114A75" w:rsidP="00FC520A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F87444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策略表现</w:t>
      </w:r>
    </w:p>
    <w:p w:rsidR="00516EF9" w:rsidRDefault="00516EF9" w:rsidP="00AF74B2">
      <w:pPr>
        <w:widowControl/>
        <w:shd w:val="clear" w:color="auto" w:fill="FFFFFF"/>
        <w:spacing w:line="315" w:lineRule="atLeast"/>
        <w:ind w:firstLine="420"/>
      </w:pPr>
    </w:p>
    <w:p w:rsidR="00516EF9" w:rsidRDefault="00516EF9" w:rsidP="00AF74B2">
      <w:pPr>
        <w:widowControl/>
        <w:shd w:val="clear" w:color="auto" w:fill="FFFFFF"/>
        <w:spacing w:line="315" w:lineRule="atLeast"/>
        <w:ind w:firstLine="420"/>
      </w:pPr>
    </w:p>
    <w:p w:rsidR="00516EF9" w:rsidRDefault="00516EF9" w:rsidP="00AF74B2">
      <w:pPr>
        <w:widowControl/>
        <w:shd w:val="clear" w:color="auto" w:fill="FFFFFF"/>
        <w:spacing w:line="315" w:lineRule="atLeast"/>
        <w:ind w:firstLine="420"/>
      </w:pPr>
    </w:p>
    <w:p w:rsidR="009841F8" w:rsidRDefault="009841F8" w:rsidP="00AF74B2">
      <w:pPr>
        <w:widowControl/>
        <w:shd w:val="clear" w:color="auto" w:fill="FFFFFF"/>
        <w:spacing w:line="315" w:lineRule="atLeast"/>
        <w:ind w:firstLine="420"/>
      </w:pPr>
      <w:r>
        <w:t>经过调试</w:t>
      </w:r>
      <w:r>
        <w:rPr>
          <w:rFonts w:hint="eastAsia"/>
        </w:rPr>
        <w:t>，计算</w:t>
      </w:r>
      <w:r>
        <w:rPr>
          <w:rFonts w:hint="eastAsia"/>
        </w:rPr>
        <w:t>alpha</w:t>
      </w:r>
      <w:r>
        <w:rPr>
          <w:rFonts w:hint="eastAsia"/>
        </w:rPr>
        <w:t>的天数</w:t>
      </w:r>
      <w:r>
        <w:rPr>
          <w:rFonts w:hint="eastAsia"/>
        </w:rPr>
        <w:t>d</w:t>
      </w:r>
      <w:r>
        <w:rPr>
          <w:rFonts w:hint="eastAsia"/>
        </w:rPr>
        <w:t>设定为</w:t>
      </w:r>
      <w:r>
        <w:rPr>
          <w:rFonts w:hint="eastAsia"/>
        </w:rPr>
        <w:t>39</w:t>
      </w:r>
      <w:r w:rsidR="00AF74B2">
        <w:rPr>
          <w:rFonts w:hint="eastAsia"/>
        </w:rPr>
        <w:t>天</w:t>
      </w:r>
      <w:r>
        <w:rPr>
          <w:rFonts w:hint="eastAsia"/>
        </w:rPr>
        <w:t>，斜率计算天数</w:t>
      </w:r>
      <w:r w:rsidR="00AF74B2">
        <w:rPr>
          <w:rFonts w:hint="eastAsia"/>
        </w:rPr>
        <w:t>设定为</w:t>
      </w:r>
      <w:r w:rsidR="00AF74B2">
        <w:rPr>
          <w:rFonts w:hint="eastAsia"/>
        </w:rPr>
        <w:t>39</w:t>
      </w:r>
      <w:r w:rsidR="00AF74B2">
        <w:rPr>
          <w:rFonts w:hint="eastAsia"/>
        </w:rPr>
        <w:t>天时，该策略表现较好。风险资产占总资产的比例</w:t>
      </w:r>
      <w:r w:rsidR="002364FB">
        <w:rPr>
          <w:rFonts w:hint="eastAsia"/>
        </w:rPr>
        <w:t>设置为</w:t>
      </w:r>
      <w:r w:rsidR="002364FB">
        <w:rPr>
          <w:rFonts w:hint="eastAsia"/>
        </w:rPr>
        <w:t>70%</w:t>
      </w:r>
      <w:r w:rsidR="00AF74B2">
        <w:rPr>
          <w:rFonts w:hint="eastAsia"/>
        </w:rPr>
        <w:t>。</w:t>
      </w:r>
    </w:p>
    <w:p w:rsidR="00516EF9" w:rsidRDefault="00114A75" w:rsidP="00114A75">
      <w:r>
        <w:tab/>
      </w:r>
      <w:r>
        <w:rPr>
          <w:rFonts w:hint="eastAsia"/>
        </w:rPr>
        <w:t>策略</w:t>
      </w:r>
      <w:r w:rsidR="005870C8">
        <w:rPr>
          <w:rFonts w:hint="eastAsia"/>
        </w:rPr>
        <w:t>从</w:t>
      </w:r>
      <w:r w:rsidR="005870C8">
        <w:rPr>
          <w:rFonts w:hint="eastAsia"/>
        </w:rPr>
        <w:t>2013</w:t>
      </w:r>
      <w:r w:rsidR="005870C8">
        <w:rPr>
          <w:rFonts w:hint="eastAsia"/>
        </w:rPr>
        <w:t>年</w:t>
      </w:r>
      <w:r w:rsidR="005870C8">
        <w:rPr>
          <w:rFonts w:hint="eastAsia"/>
        </w:rPr>
        <w:t>2</w:t>
      </w:r>
      <w:r w:rsidR="005870C8">
        <w:rPr>
          <w:rFonts w:hint="eastAsia"/>
        </w:rPr>
        <w:t>月</w:t>
      </w:r>
      <w:r w:rsidR="005870C8">
        <w:rPr>
          <w:rFonts w:hint="eastAsia"/>
        </w:rPr>
        <w:t>4</w:t>
      </w:r>
      <w:r w:rsidR="005870C8">
        <w:rPr>
          <w:rFonts w:hint="eastAsia"/>
        </w:rPr>
        <w:t>日到</w:t>
      </w:r>
      <w:r w:rsidR="005870C8">
        <w:rPr>
          <w:rFonts w:hint="eastAsia"/>
        </w:rPr>
        <w:t>2017</w:t>
      </w:r>
      <w:r w:rsidR="005870C8">
        <w:rPr>
          <w:rFonts w:hint="eastAsia"/>
        </w:rPr>
        <w:t>年</w:t>
      </w:r>
      <w:r w:rsidR="002364FB">
        <w:t>3</w:t>
      </w:r>
      <w:r w:rsidR="005870C8">
        <w:rPr>
          <w:rFonts w:hint="eastAsia"/>
        </w:rPr>
        <w:t>月</w:t>
      </w:r>
      <w:r w:rsidR="002364FB">
        <w:rPr>
          <w:rFonts w:hint="eastAsia"/>
        </w:rPr>
        <w:t>22</w:t>
      </w:r>
      <w:r w:rsidR="005870C8">
        <w:rPr>
          <w:rFonts w:hint="eastAsia"/>
        </w:rPr>
        <w:t>日</w:t>
      </w:r>
      <w:r>
        <w:rPr>
          <w:rFonts w:hint="eastAsia"/>
        </w:rPr>
        <w:t>表现如下：</w:t>
      </w:r>
    </w:p>
    <w:p w:rsidR="00114A75" w:rsidRDefault="002364FB" w:rsidP="00114A75">
      <w:pPr>
        <w:rPr>
          <w:rFonts w:hint="eastAsia"/>
        </w:rPr>
      </w:pPr>
      <w:r>
        <w:rPr>
          <w:noProof/>
        </w:rPr>
        <w:drawing>
          <wp:inline distT="0" distB="0" distL="0" distR="0" wp14:anchorId="076E04E2" wp14:editId="36A032A5">
            <wp:extent cx="5274310" cy="2850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75" w:rsidRDefault="00D1366E" w:rsidP="00114A75">
      <w:pPr>
        <w:ind w:firstLine="420"/>
      </w:pPr>
      <w:r>
        <w:rPr>
          <w:rFonts w:hint="eastAsia"/>
        </w:rPr>
        <w:t>该策略指标如下表格左侧所示。</w:t>
      </w:r>
    </w:p>
    <w:tbl>
      <w:tblPr>
        <w:tblStyle w:val="a6"/>
        <w:tblpPr w:leftFromText="180" w:rightFromText="180" w:vertAnchor="text" w:horzAnchor="page" w:tblpX="2340" w:tblpY="100"/>
        <w:tblW w:w="3659" w:type="dxa"/>
        <w:tblLook w:val="04A0" w:firstRow="1" w:lastRow="0" w:firstColumn="1" w:lastColumn="0" w:noHBand="0" w:noVBand="1"/>
      </w:tblPr>
      <w:tblGrid>
        <w:gridCol w:w="1580"/>
        <w:gridCol w:w="2079"/>
      </w:tblGrid>
      <w:tr w:rsidR="002364FB" w:rsidRPr="00343121" w:rsidTr="001D59CC">
        <w:trPr>
          <w:trHeight w:val="270"/>
        </w:trPr>
        <w:tc>
          <w:tcPr>
            <w:tcW w:w="1580" w:type="dxa"/>
            <w:noWrap/>
            <w:hideMark/>
          </w:tcPr>
          <w:p w:rsidR="002364FB" w:rsidRPr="00343121" w:rsidRDefault="002364FB" w:rsidP="002364FB">
            <w:bookmarkStart w:id="3" w:name="_Hlk477206611"/>
            <w:r w:rsidRPr="00343121">
              <w:rPr>
                <w:rFonts w:hint="eastAsia"/>
              </w:rPr>
              <w:t>累计盈亏</w:t>
            </w:r>
          </w:p>
        </w:tc>
        <w:tc>
          <w:tcPr>
            <w:tcW w:w="2079" w:type="dxa"/>
            <w:noWrap/>
            <w:vAlign w:val="bottom"/>
            <w:hideMark/>
          </w:tcPr>
          <w:p w:rsidR="002364FB" w:rsidRDefault="002364FB" w:rsidP="002364FB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250,160,670 </w:t>
            </w:r>
          </w:p>
        </w:tc>
      </w:tr>
      <w:tr w:rsidR="002364FB" w:rsidRPr="00343121" w:rsidTr="001D59CC">
        <w:trPr>
          <w:trHeight w:val="270"/>
        </w:trPr>
        <w:tc>
          <w:tcPr>
            <w:tcW w:w="1580" w:type="dxa"/>
            <w:noWrap/>
            <w:hideMark/>
          </w:tcPr>
          <w:p w:rsidR="002364FB" w:rsidRPr="00343121" w:rsidRDefault="002364FB" w:rsidP="002364FB">
            <w:r w:rsidRPr="00343121">
              <w:rPr>
                <w:rFonts w:hint="eastAsia"/>
              </w:rPr>
              <w:t>收益率</w:t>
            </w:r>
          </w:p>
        </w:tc>
        <w:tc>
          <w:tcPr>
            <w:tcW w:w="2079" w:type="dxa"/>
            <w:noWrap/>
            <w:vAlign w:val="bottom"/>
            <w:hideMark/>
          </w:tcPr>
          <w:p w:rsidR="002364FB" w:rsidRDefault="002364FB" w:rsidP="002364FB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83.39%</w:t>
            </w:r>
          </w:p>
        </w:tc>
      </w:tr>
      <w:tr w:rsidR="002364FB" w:rsidRPr="00343121" w:rsidTr="001D59CC">
        <w:trPr>
          <w:trHeight w:val="270"/>
        </w:trPr>
        <w:tc>
          <w:tcPr>
            <w:tcW w:w="1580" w:type="dxa"/>
            <w:noWrap/>
            <w:hideMark/>
          </w:tcPr>
          <w:p w:rsidR="002364FB" w:rsidRPr="00343121" w:rsidRDefault="002364FB" w:rsidP="002364FB">
            <w:r w:rsidRPr="00343121">
              <w:rPr>
                <w:rFonts w:hint="eastAsia"/>
              </w:rPr>
              <w:t>最大回撤</w:t>
            </w:r>
          </w:p>
        </w:tc>
        <w:tc>
          <w:tcPr>
            <w:tcW w:w="2079" w:type="dxa"/>
            <w:noWrap/>
            <w:vAlign w:val="bottom"/>
            <w:hideMark/>
          </w:tcPr>
          <w:p w:rsidR="002364FB" w:rsidRDefault="002364FB" w:rsidP="002364FB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-10.56%</w:t>
            </w:r>
          </w:p>
        </w:tc>
      </w:tr>
      <w:tr w:rsidR="002364FB" w:rsidRPr="00343121" w:rsidTr="001D59CC">
        <w:trPr>
          <w:trHeight w:val="270"/>
        </w:trPr>
        <w:tc>
          <w:tcPr>
            <w:tcW w:w="1580" w:type="dxa"/>
            <w:noWrap/>
            <w:hideMark/>
          </w:tcPr>
          <w:p w:rsidR="002364FB" w:rsidRPr="00343121" w:rsidRDefault="002364FB" w:rsidP="002364FB">
            <w:r w:rsidRPr="00343121">
              <w:rPr>
                <w:rFonts w:hint="eastAsia"/>
              </w:rPr>
              <w:t>年化收益率</w:t>
            </w:r>
          </w:p>
        </w:tc>
        <w:tc>
          <w:tcPr>
            <w:tcW w:w="2079" w:type="dxa"/>
            <w:noWrap/>
            <w:vAlign w:val="bottom"/>
            <w:hideMark/>
          </w:tcPr>
          <w:p w:rsidR="002364FB" w:rsidRDefault="002364FB" w:rsidP="002364FB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15.25%</w:t>
            </w:r>
          </w:p>
        </w:tc>
      </w:tr>
      <w:tr w:rsidR="002364FB" w:rsidRPr="00343121" w:rsidTr="001D59CC">
        <w:trPr>
          <w:trHeight w:val="270"/>
        </w:trPr>
        <w:tc>
          <w:tcPr>
            <w:tcW w:w="1580" w:type="dxa"/>
            <w:noWrap/>
            <w:hideMark/>
          </w:tcPr>
          <w:p w:rsidR="002364FB" w:rsidRPr="00343121" w:rsidRDefault="002364FB" w:rsidP="002364FB">
            <w:r w:rsidRPr="00343121">
              <w:rPr>
                <w:rFonts w:hint="eastAsia"/>
              </w:rPr>
              <w:t>年化波动率</w:t>
            </w:r>
          </w:p>
        </w:tc>
        <w:tc>
          <w:tcPr>
            <w:tcW w:w="2079" w:type="dxa"/>
            <w:noWrap/>
            <w:vAlign w:val="bottom"/>
            <w:hideMark/>
          </w:tcPr>
          <w:p w:rsidR="002364FB" w:rsidRDefault="002364FB" w:rsidP="002364FB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10.87%</w:t>
            </w:r>
          </w:p>
        </w:tc>
      </w:tr>
      <w:tr w:rsidR="002364FB" w:rsidRPr="00343121" w:rsidTr="001D59CC">
        <w:trPr>
          <w:trHeight w:val="270"/>
        </w:trPr>
        <w:tc>
          <w:tcPr>
            <w:tcW w:w="1580" w:type="dxa"/>
            <w:noWrap/>
            <w:hideMark/>
          </w:tcPr>
          <w:p w:rsidR="002364FB" w:rsidRPr="00343121" w:rsidRDefault="002364FB" w:rsidP="002364FB">
            <w:r w:rsidRPr="00343121">
              <w:rPr>
                <w:rFonts w:hint="eastAsia"/>
              </w:rPr>
              <w:t>年化夏普率</w:t>
            </w:r>
          </w:p>
        </w:tc>
        <w:tc>
          <w:tcPr>
            <w:tcW w:w="2079" w:type="dxa"/>
            <w:noWrap/>
            <w:vAlign w:val="bottom"/>
            <w:hideMark/>
          </w:tcPr>
          <w:p w:rsidR="002364FB" w:rsidRDefault="002364FB" w:rsidP="002364FB">
            <w:pPr>
              <w:jc w:val="center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1.40 </w:t>
            </w:r>
          </w:p>
        </w:tc>
      </w:tr>
      <w:bookmarkEnd w:id="3"/>
    </w:tbl>
    <w:p w:rsidR="00114A75" w:rsidRDefault="00114A75" w:rsidP="00114A75"/>
    <w:p w:rsidR="00114A75" w:rsidRDefault="00114A75" w:rsidP="00114A75"/>
    <w:p w:rsidR="00114A75" w:rsidRDefault="00114A75" w:rsidP="00114A75"/>
    <w:p w:rsidR="00114A75" w:rsidRDefault="00114A75" w:rsidP="00114A75"/>
    <w:p w:rsidR="00114A75" w:rsidRDefault="00114A75" w:rsidP="00114A75"/>
    <w:p w:rsidR="00114A75" w:rsidRDefault="00114A75" w:rsidP="00114A75"/>
    <w:p w:rsidR="00CC53B8" w:rsidRDefault="00CC53B8" w:rsidP="00114A75"/>
    <w:p w:rsidR="00114A75" w:rsidRDefault="00114A75" w:rsidP="00114A75">
      <w:pPr>
        <w:pStyle w:val="a5"/>
        <w:ind w:left="420" w:firstLineChars="0" w:firstLine="0"/>
      </w:pPr>
      <w:bookmarkStart w:id="4" w:name="OLE_LINK5"/>
      <w:r>
        <w:rPr>
          <w:rFonts w:hint="eastAsia"/>
        </w:rPr>
        <w:t>当前</w:t>
      </w:r>
      <w:bookmarkEnd w:id="4"/>
      <w:r>
        <w:rPr>
          <w:rFonts w:hint="eastAsia"/>
        </w:rPr>
        <w:t>策略涉及多种资产，每种资产在策略中的累计盈亏如下：</w:t>
      </w:r>
    </w:p>
    <w:p w:rsidR="00114A75" w:rsidRDefault="002364FB" w:rsidP="00114A75">
      <w:pPr>
        <w:rPr>
          <w:rFonts w:hint="eastAsia"/>
        </w:rPr>
      </w:pPr>
      <w:r>
        <w:rPr>
          <w:noProof/>
        </w:rPr>
        <w:drawing>
          <wp:inline distT="0" distB="0" distL="0" distR="0" wp14:anchorId="759D7550" wp14:editId="681169F8">
            <wp:extent cx="5274310" cy="2877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75" w:rsidRDefault="00114A75" w:rsidP="00114A75">
      <w:r>
        <w:lastRenderedPageBreak/>
        <w:tab/>
      </w:r>
    </w:p>
    <w:p w:rsidR="00114A75" w:rsidRPr="00846B55" w:rsidRDefault="00114A75" w:rsidP="00114A75">
      <w:pPr>
        <w:ind w:firstLine="420"/>
      </w:pPr>
      <w:r>
        <w:rPr>
          <w:rFonts w:hint="eastAsia"/>
        </w:rPr>
        <w:t>本策略配置比例图如下：</w:t>
      </w:r>
    </w:p>
    <w:p w:rsidR="00114A75" w:rsidRDefault="002364FB" w:rsidP="00114A75">
      <w:pPr>
        <w:rPr>
          <w:rFonts w:hint="eastAsia"/>
        </w:rPr>
      </w:pPr>
      <w:r>
        <w:rPr>
          <w:noProof/>
        </w:rPr>
        <w:drawing>
          <wp:inline distT="0" distB="0" distL="0" distR="0" wp14:anchorId="1FE110DC" wp14:editId="0BE7C13E">
            <wp:extent cx="5274310" cy="29076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75" w:rsidRDefault="00114A75" w:rsidP="00114A75">
      <w:pPr>
        <w:pStyle w:val="a5"/>
        <w:ind w:left="420" w:firstLineChars="0" w:firstLine="0"/>
      </w:pPr>
    </w:p>
    <w:p w:rsidR="00114A75" w:rsidRPr="00FC0835" w:rsidRDefault="00114A75" w:rsidP="00114A75">
      <w:r>
        <w:tab/>
      </w:r>
      <w:r>
        <w:rPr>
          <w:rFonts w:hint="eastAsia"/>
        </w:rPr>
        <w:t>看图后可知，</w:t>
      </w:r>
      <w:r w:rsidR="002364FB">
        <w:rPr>
          <w:rFonts w:hint="eastAsia"/>
        </w:rPr>
        <w:t>加入风险资产比例后，资产配置比例明显得到了控制。</w:t>
      </w:r>
    </w:p>
    <w:p w:rsidR="00A74EF3" w:rsidRPr="0083435E" w:rsidRDefault="00114A75" w:rsidP="0083435E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327C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模型细节</w:t>
      </w:r>
    </w:p>
    <w:p w:rsidR="002B6032" w:rsidRDefault="002B6032" w:rsidP="00114A75">
      <w:r>
        <w:tab/>
      </w:r>
      <w:r>
        <w:t>广发证券</w:t>
      </w:r>
      <w:r>
        <w:rPr>
          <w:rFonts w:hint="eastAsia"/>
        </w:rPr>
        <w:t>《低延迟趋势线与交易性择时——短线择时策略</w:t>
      </w:r>
      <w:r w:rsidR="00B4163C">
        <w:rPr>
          <w:rFonts w:hint="eastAsia"/>
        </w:rPr>
        <w:t>研究之三</w:t>
      </w:r>
      <w:r>
        <w:rPr>
          <w:rFonts w:hint="eastAsia"/>
        </w:rPr>
        <w:t>》</w:t>
      </w:r>
      <w:r w:rsidR="00B4163C">
        <w:rPr>
          <w:rFonts w:hint="eastAsia"/>
        </w:rPr>
        <w:t>一文中，推导出了</w:t>
      </w:r>
      <w:r w:rsidR="00B4163C">
        <w:rPr>
          <w:rFonts w:hint="eastAsia"/>
        </w:rPr>
        <w:t>LLT</w:t>
      </w:r>
      <w:r w:rsidR="00B4163C">
        <w:rPr>
          <w:rFonts w:hint="eastAsia"/>
        </w:rPr>
        <w:t>指标与价格的关系：</w:t>
      </w:r>
    </w:p>
    <w:p w:rsidR="00B4163C" w:rsidRDefault="00B4163C" w:rsidP="00114A75">
      <w:r>
        <w:tab/>
      </w:r>
      <w:r>
        <w:rPr>
          <w:noProof/>
        </w:rPr>
        <w:drawing>
          <wp:inline distT="0" distB="0" distL="0" distR="0" wp14:anchorId="19129BC0" wp14:editId="2D4552C8">
            <wp:extent cx="4645152" cy="639226"/>
            <wp:effectExtent l="0" t="0" r="317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0725" cy="64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63C" w:rsidRDefault="00B4163C" w:rsidP="00114A75">
      <w:r>
        <w:tab/>
      </w:r>
      <w: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为滞后算子</w:t>
      </w:r>
      <w:r>
        <w:rPr>
          <w:rFonts w:hint="eastAsia"/>
        </w:rPr>
        <w:t>，</w:t>
      </w:r>
      <w:r>
        <w:rPr>
          <w:rFonts w:hint="eastAsia"/>
        </w:rPr>
        <w:t>price</w:t>
      </w:r>
      <w:r>
        <w:t>(t)</w:t>
      </w:r>
      <w:r>
        <w:t>通过与它计算可以得到</w:t>
      </w:r>
      <w:r>
        <w:rPr>
          <w:rFonts w:hint="eastAsia"/>
        </w:rPr>
        <w:t>prize(t</w:t>
      </w:r>
      <w:r>
        <w:t>-1)</w:t>
      </w:r>
      <w:r>
        <w:rPr>
          <w:rFonts w:hint="eastAsia"/>
        </w:rPr>
        <w:t>，</w:t>
      </w:r>
      <w:r>
        <w:t>LLT(t)</w:t>
      </w:r>
      <w:r>
        <w:t>通过与它计算可以得到</w:t>
      </w:r>
      <w:r>
        <w:rPr>
          <w:rFonts w:hint="eastAsia"/>
        </w:rPr>
        <w:t>LLT(t-1)</w:t>
      </w:r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t>同理</w:t>
      </w:r>
      <w:r>
        <w:rPr>
          <w:rFonts w:hint="eastAsia"/>
        </w:rPr>
        <w:t>。</w:t>
      </w:r>
      <w:r w:rsidR="00EE2180">
        <w:rPr>
          <w:rFonts w:hint="eastAsia"/>
        </w:rPr>
        <w:t>同时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EE2180">
        <w:rPr>
          <w:rFonts w:hint="eastAsia"/>
        </w:rPr>
        <w:t>参数与</w:t>
      </w:r>
      <w:r w:rsidR="00EE2180">
        <w:rPr>
          <w:rFonts w:hint="eastAsia"/>
        </w:rPr>
        <w:t>MA</w:t>
      </w:r>
      <w:r w:rsidR="00EE2180">
        <w:rPr>
          <w:rFonts w:hint="eastAsia"/>
        </w:rPr>
        <w:t>均线计算天数</w:t>
      </w:r>
      <w:r w:rsidR="00EE2180">
        <w:rPr>
          <w:rFonts w:hint="eastAsia"/>
        </w:rPr>
        <w:t>d</w:t>
      </w:r>
      <w:r w:rsidR="00EE2180">
        <w:rPr>
          <w:rFonts w:hint="eastAsia"/>
        </w:rPr>
        <w:t>有如下关系：</w:t>
      </w:r>
    </w:p>
    <w:p w:rsidR="00EE2180" w:rsidRPr="00EE2180" w:rsidRDefault="00EE2180" w:rsidP="00EE2180">
      <w:pPr>
        <w:ind w:firstLineChars="300" w:firstLine="630"/>
      </w:pPr>
      <w:r>
        <w:tab/>
      </w:r>
      <w:r>
        <w:rPr>
          <w:noProof/>
        </w:rPr>
        <w:drawing>
          <wp:inline distT="0" distB="0" distL="0" distR="0" wp14:anchorId="5A6BC2A5" wp14:editId="2EDC0819">
            <wp:extent cx="1060704" cy="53815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2663" cy="5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80" w:rsidRPr="00B4163C" w:rsidRDefault="00EE2180" w:rsidP="00114A75">
      <w:r>
        <w:tab/>
      </w:r>
    </w:p>
    <w:p w:rsidR="00114A75" w:rsidRPr="00327C5A" w:rsidRDefault="00114A75" w:rsidP="00327C5A">
      <w:pPr>
        <w:pStyle w:val="a5"/>
        <w:widowControl/>
        <w:numPr>
          <w:ilvl w:val="0"/>
          <w:numId w:val="1"/>
        </w:numPr>
        <w:shd w:val="clear" w:color="auto" w:fill="FFFFFF"/>
        <w:spacing w:line="315" w:lineRule="atLeast"/>
        <w:ind w:firstLineChars="0"/>
        <w:rPr>
          <w:rFonts w:ascii="微软雅黑" w:eastAsia="微软雅黑" w:hAnsi="微软雅黑" w:cs="宋体"/>
          <w:color w:val="000000"/>
          <w:kern w:val="0"/>
          <w:szCs w:val="21"/>
          <w:shd w:val="clear" w:color="auto" w:fill="FFFFFF"/>
        </w:rPr>
      </w:pPr>
      <w:r w:rsidRPr="00327C5A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结论</w:t>
      </w:r>
    </w:p>
    <w:p w:rsidR="00E919B5" w:rsidRDefault="002364FB" w:rsidP="00831034">
      <w:pPr>
        <w:ind w:firstLine="420"/>
        <w:rPr>
          <w:rFonts w:hint="eastAsia"/>
        </w:rPr>
      </w:pPr>
      <w:r>
        <w:rPr>
          <w:rFonts w:hint="eastAsia"/>
        </w:rPr>
        <w:t>加入</w:t>
      </w:r>
      <w:r>
        <w:t>风险资产比例后</w:t>
      </w:r>
      <w:r>
        <w:rPr>
          <w:rFonts w:hint="eastAsia"/>
        </w:rPr>
        <w:t>，</w:t>
      </w:r>
      <w:r>
        <w:t>BlackLitterman</w:t>
      </w:r>
      <w:r>
        <w:t>模型</w:t>
      </w:r>
      <w:r w:rsidR="00930CC4">
        <w:t>在理想的投资者观点下表现不错</w:t>
      </w:r>
      <w:r w:rsidR="00930CC4">
        <w:rPr>
          <w:rFonts w:hint="eastAsia"/>
        </w:rPr>
        <w:t>。接下来应当尽快建立起宏观数据库，为策略决策提供依据。</w:t>
      </w:r>
      <w:bookmarkStart w:id="5" w:name="_GoBack"/>
      <w:bookmarkEnd w:id="5"/>
    </w:p>
    <w:sectPr w:rsidR="00E91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591C" w:rsidRDefault="0067591C" w:rsidP="00E168EC">
      <w:r>
        <w:separator/>
      </w:r>
    </w:p>
  </w:endnote>
  <w:endnote w:type="continuationSeparator" w:id="0">
    <w:p w:rsidR="0067591C" w:rsidRDefault="0067591C" w:rsidP="00E16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591C" w:rsidRDefault="0067591C" w:rsidP="00E168EC">
      <w:r>
        <w:separator/>
      </w:r>
    </w:p>
  </w:footnote>
  <w:footnote w:type="continuationSeparator" w:id="0">
    <w:p w:rsidR="0067591C" w:rsidRDefault="0067591C" w:rsidP="00E16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A23E0"/>
    <w:multiLevelType w:val="multilevel"/>
    <w:tmpl w:val="F3849CA4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653A1A"/>
    <w:multiLevelType w:val="multilevel"/>
    <w:tmpl w:val="68F2A6D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1C5DBF"/>
    <w:multiLevelType w:val="multilevel"/>
    <w:tmpl w:val="5DFACBB2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D853DD0"/>
    <w:multiLevelType w:val="multilevel"/>
    <w:tmpl w:val="117E851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1400" w:hanging="1800"/>
      </w:pPr>
      <w:rPr>
        <w:rFonts w:hint="default"/>
      </w:rPr>
    </w:lvl>
  </w:abstractNum>
  <w:abstractNum w:abstractNumId="4" w15:restartNumberingAfterBreak="0">
    <w:nsid w:val="1FB0509C"/>
    <w:multiLevelType w:val="multilevel"/>
    <w:tmpl w:val="48762EC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9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62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90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1760" w:hanging="2160"/>
      </w:pPr>
      <w:rPr>
        <w:rFonts w:hint="default"/>
      </w:rPr>
    </w:lvl>
  </w:abstractNum>
  <w:abstractNum w:abstractNumId="5" w15:restartNumberingAfterBreak="0">
    <w:nsid w:val="32425343"/>
    <w:multiLevelType w:val="multilevel"/>
    <w:tmpl w:val="6A084F9E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046952"/>
    <w:multiLevelType w:val="multilevel"/>
    <w:tmpl w:val="6B9813A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0E417A"/>
    <w:multiLevelType w:val="multilevel"/>
    <w:tmpl w:val="2A3A5874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C201F71"/>
    <w:multiLevelType w:val="multilevel"/>
    <w:tmpl w:val="6B9813A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58A60E1"/>
    <w:multiLevelType w:val="multilevel"/>
    <w:tmpl w:val="E72E73F8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94E511B"/>
    <w:multiLevelType w:val="multilevel"/>
    <w:tmpl w:val="93FA78B8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99F727C"/>
    <w:multiLevelType w:val="hybridMultilevel"/>
    <w:tmpl w:val="3FEE0672"/>
    <w:lvl w:ilvl="0" w:tplc="8DCC3F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536228"/>
    <w:multiLevelType w:val="multilevel"/>
    <w:tmpl w:val="DA94E24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AF744ED"/>
    <w:multiLevelType w:val="hybridMultilevel"/>
    <w:tmpl w:val="65CCC770"/>
    <w:lvl w:ilvl="0" w:tplc="83222BD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C8282012">
      <w:start w:val="2"/>
      <w:numFmt w:val="decimal"/>
      <w:lvlText w:val="%3，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EF3FBE"/>
    <w:multiLevelType w:val="multilevel"/>
    <w:tmpl w:val="46D4AB2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4BC1FEA"/>
    <w:multiLevelType w:val="multilevel"/>
    <w:tmpl w:val="33A6B7D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15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4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120" w:hanging="216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  <w:num w:numId="12">
    <w:abstractNumId w:val="4"/>
  </w:num>
  <w:num w:numId="13">
    <w:abstractNumId w:val="8"/>
  </w:num>
  <w:num w:numId="14">
    <w:abstractNumId w:val="12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16B"/>
    <w:rsid w:val="0001505B"/>
    <w:rsid w:val="0002035F"/>
    <w:rsid w:val="00020B8E"/>
    <w:rsid w:val="0004575E"/>
    <w:rsid w:val="000515B5"/>
    <w:rsid w:val="00072444"/>
    <w:rsid w:val="00073B43"/>
    <w:rsid w:val="00091CB8"/>
    <w:rsid w:val="000D42D2"/>
    <w:rsid w:val="001018AE"/>
    <w:rsid w:val="00114A75"/>
    <w:rsid w:val="001417F4"/>
    <w:rsid w:val="00197FA2"/>
    <w:rsid w:val="001D1785"/>
    <w:rsid w:val="001F159E"/>
    <w:rsid w:val="00201C7D"/>
    <w:rsid w:val="00224325"/>
    <w:rsid w:val="00227CAC"/>
    <w:rsid w:val="002364FB"/>
    <w:rsid w:val="00273550"/>
    <w:rsid w:val="002741A6"/>
    <w:rsid w:val="002B25A2"/>
    <w:rsid w:val="002B6032"/>
    <w:rsid w:val="002D0641"/>
    <w:rsid w:val="002E4F67"/>
    <w:rsid w:val="002E79BF"/>
    <w:rsid w:val="002F0E4E"/>
    <w:rsid w:val="00315250"/>
    <w:rsid w:val="00327C5A"/>
    <w:rsid w:val="00337198"/>
    <w:rsid w:val="00375BF5"/>
    <w:rsid w:val="00382A18"/>
    <w:rsid w:val="0039111B"/>
    <w:rsid w:val="004121FE"/>
    <w:rsid w:val="00414BEE"/>
    <w:rsid w:val="00441403"/>
    <w:rsid w:val="00442E3C"/>
    <w:rsid w:val="00470282"/>
    <w:rsid w:val="00485C59"/>
    <w:rsid w:val="004D7CFA"/>
    <w:rsid w:val="00516EF9"/>
    <w:rsid w:val="00530050"/>
    <w:rsid w:val="0053747B"/>
    <w:rsid w:val="00553AFA"/>
    <w:rsid w:val="005707DB"/>
    <w:rsid w:val="005761C0"/>
    <w:rsid w:val="005870C8"/>
    <w:rsid w:val="0059544C"/>
    <w:rsid w:val="005B72BB"/>
    <w:rsid w:val="005C3A47"/>
    <w:rsid w:val="005E07CF"/>
    <w:rsid w:val="006035D3"/>
    <w:rsid w:val="00647897"/>
    <w:rsid w:val="00652EFA"/>
    <w:rsid w:val="0067591C"/>
    <w:rsid w:val="00680478"/>
    <w:rsid w:val="00691325"/>
    <w:rsid w:val="007049F6"/>
    <w:rsid w:val="00706969"/>
    <w:rsid w:val="007508F4"/>
    <w:rsid w:val="007D416B"/>
    <w:rsid w:val="007D5D45"/>
    <w:rsid w:val="007E0CE9"/>
    <w:rsid w:val="007E4C11"/>
    <w:rsid w:val="00831034"/>
    <w:rsid w:val="0083435E"/>
    <w:rsid w:val="0085589C"/>
    <w:rsid w:val="00897347"/>
    <w:rsid w:val="008A23BC"/>
    <w:rsid w:val="008D1087"/>
    <w:rsid w:val="00930CC4"/>
    <w:rsid w:val="009841F8"/>
    <w:rsid w:val="009A781A"/>
    <w:rsid w:val="00A1738D"/>
    <w:rsid w:val="00A47FE8"/>
    <w:rsid w:val="00A64F22"/>
    <w:rsid w:val="00A74EF3"/>
    <w:rsid w:val="00AA4F96"/>
    <w:rsid w:val="00AC4DD1"/>
    <w:rsid w:val="00AF2088"/>
    <w:rsid w:val="00AF74B2"/>
    <w:rsid w:val="00B4163C"/>
    <w:rsid w:val="00B66B4F"/>
    <w:rsid w:val="00B91B92"/>
    <w:rsid w:val="00BE3B2C"/>
    <w:rsid w:val="00C43ACB"/>
    <w:rsid w:val="00C579CB"/>
    <w:rsid w:val="00C60DE0"/>
    <w:rsid w:val="00C6355E"/>
    <w:rsid w:val="00C9158D"/>
    <w:rsid w:val="00CC53B8"/>
    <w:rsid w:val="00CD75D5"/>
    <w:rsid w:val="00CE483E"/>
    <w:rsid w:val="00CF2EBB"/>
    <w:rsid w:val="00D1366E"/>
    <w:rsid w:val="00D21F65"/>
    <w:rsid w:val="00D24BFB"/>
    <w:rsid w:val="00D54688"/>
    <w:rsid w:val="00D62F7B"/>
    <w:rsid w:val="00D71CCF"/>
    <w:rsid w:val="00DA4D87"/>
    <w:rsid w:val="00DF486A"/>
    <w:rsid w:val="00E01393"/>
    <w:rsid w:val="00E168EC"/>
    <w:rsid w:val="00E252A3"/>
    <w:rsid w:val="00E85638"/>
    <w:rsid w:val="00E919B5"/>
    <w:rsid w:val="00EE0D1A"/>
    <w:rsid w:val="00EE2180"/>
    <w:rsid w:val="00F159FC"/>
    <w:rsid w:val="00F55DB0"/>
    <w:rsid w:val="00F716A3"/>
    <w:rsid w:val="00F87444"/>
    <w:rsid w:val="00FA7C3B"/>
    <w:rsid w:val="00FB01FC"/>
    <w:rsid w:val="00FC520A"/>
    <w:rsid w:val="00FD0BC6"/>
    <w:rsid w:val="00FD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557BD5-7136-4352-BB62-53B30C5C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8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8EC"/>
    <w:rPr>
      <w:sz w:val="18"/>
      <w:szCs w:val="18"/>
    </w:rPr>
  </w:style>
  <w:style w:type="paragraph" w:styleId="a5">
    <w:name w:val="List Paragraph"/>
    <w:basedOn w:val="a"/>
    <w:uiPriority w:val="34"/>
    <w:qFormat/>
    <w:rsid w:val="00E168EC"/>
    <w:pPr>
      <w:ind w:firstLineChars="200" w:firstLine="420"/>
    </w:pPr>
  </w:style>
  <w:style w:type="table" w:styleId="a6">
    <w:name w:val="Table Grid"/>
    <w:basedOn w:val="a1"/>
    <w:uiPriority w:val="39"/>
    <w:rsid w:val="00114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B416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75A2E2-7E08-43EA-BBBC-60E500E5D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3376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KC002</dc:creator>
  <cp:keywords/>
  <dc:description/>
  <cp:lastModifiedBy>KC002</cp:lastModifiedBy>
  <cp:revision>77</cp:revision>
  <cp:lastPrinted>2017-02-22T03:36:00Z</cp:lastPrinted>
  <dcterms:created xsi:type="dcterms:W3CDTF">2017-02-16T14:30:00Z</dcterms:created>
  <dcterms:modified xsi:type="dcterms:W3CDTF">2017-03-23T15:47:00Z</dcterms:modified>
</cp:coreProperties>
</file>