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lang w:eastAsia="zh-CN"/>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lang w:eastAsia="zh-CN"/>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lang w:eastAsia="zh-CN"/>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w:t>
      </w:r>
      <w:proofErr w:type="spellStart"/>
      <w:r w:rsidRPr="06CDF9EC">
        <w:rPr>
          <w:rFonts w:ascii="Calibri" w:eastAsia="Calibri" w:hAnsi="Calibri" w:cs="Calibri"/>
        </w:rPr>
        <w:t>t</w:t>
      </w:r>
      <w:proofErr w:type="spell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lang w:eastAsia="zh-CN"/>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lang w:eastAsia="zh-CN"/>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lang w:eastAsia="zh-CN"/>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lang w:eastAsia="zh-CN"/>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lang w:eastAsia="zh-CN"/>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lang w:eastAsia="zh-CN"/>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lastRenderedPageBreak/>
        <w:t>Center of mass</w:t>
      </w:r>
    </w:p>
    <w:p w:rsidR="00323588" w:rsidRDefault="00323588" w:rsidP="00685C1F">
      <w:pPr>
        <w:rPr>
          <w:rFonts w:eastAsiaTheme="minorEastAsia"/>
          <w:sz w:val="36"/>
          <w:szCs w:val="36"/>
        </w:rPr>
      </w:pPr>
      <w:r>
        <w:rPr>
          <w:rFonts w:ascii="proxima-nova" w:hAnsi="proxima-nova" w:cs="Arial"/>
          <w:noProof/>
          <w:color w:val="4A4A4A"/>
          <w:sz w:val="21"/>
          <w:szCs w:val="21"/>
          <w:lang w:eastAsia="zh-CN"/>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lang w:eastAsia="zh-CN"/>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EF0EF0" w:rsidP="00685C1F">
      <w:pPr>
        <w:rPr>
          <w:rFonts w:eastAsiaTheme="minorEastAsia"/>
          <w:sz w:val="36"/>
          <w:szCs w:val="36"/>
        </w:rPr>
      </w:pPr>
      <w:proofErr w:type="spellStart"/>
      <w:r>
        <w:rPr>
          <w:rFonts w:eastAsiaTheme="minorEastAsia"/>
          <w:sz w:val="36"/>
          <w:szCs w:val="36"/>
        </w:rPr>
        <w:t>mr</w:t>
      </w:r>
      <w:proofErr w:type="spellEnd"/>
      <w:r w:rsidRPr="00C669E1">
        <w:rPr>
          <w:rFonts w:ascii="Calibri" w:eastAsia="Calibri" w:hAnsi="Calibri" w:cs="Calibri"/>
        </w:rPr>
        <w:t xml:space="preserve"> </w:t>
      </w:r>
      <w:r w:rsidRPr="00C669E1">
        <w:rPr>
          <w:rFonts w:ascii="Calibri" w:eastAsia="Calibri" w:hAnsi="Calibri" w:cs="Calibri"/>
          <w:sz w:val="36"/>
          <w:szCs w:val="36"/>
        </w:rPr>
        <w:t>ω</w:t>
      </w:r>
      <w:r w:rsidRPr="00C669E1">
        <w:rPr>
          <w:rFonts w:ascii="Calibri" w:eastAsia="Calibri" w:hAnsi="Calibri" w:cs="Calibri"/>
          <w:sz w:val="36"/>
          <w:szCs w:val="36"/>
          <w:vertAlign w:val="superscript"/>
        </w:rPr>
        <w:t>2</w:t>
      </w:r>
      <w:r>
        <w:rPr>
          <w:rFonts w:eastAsiaTheme="minorEastAsia"/>
          <w:sz w:val="36"/>
          <w:szCs w:val="36"/>
        </w:rPr>
        <w:t>, or mv</w:t>
      </w:r>
      <w:r>
        <w:rPr>
          <w:rFonts w:eastAsiaTheme="minorEastAsia"/>
          <w:sz w:val="36"/>
          <w:szCs w:val="36"/>
          <w:vertAlign w:val="superscript"/>
        </w:rPr>
        <w:t>2</w:t>
      </w:r>
      <w:r>
        <w:rPr>
          <w:rFonts w:eastAsiaTheme="minorEastAsia"/>
          <w:sz w:val="36"/>
          <w:szCs w:val="36"/>
        </w:rPr>
        <w:t>/r</w:t>
      </w:r>
      <w:r w:rsidR="00BB2194">
        <w:rPr>
          <w:rFonts w:eastAsiaTheme="minorEastAsia"/>
          <w:sz w:val="36"/>
          <w:szCs w:val="36"/>
        </w:rPr>
        <w:t xml:space="preserve">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lastRenderedPageBreak/>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EF0EF0" w:rsidP="00685C1F">
      <w:pPr>
        <w:rPr>
          <w:rFonts w:eastAsiaTheme="minorEastAsia"/>
          <w:sz w:val="24"/>
          <w:szCs w:val="24"/>
        </w:rPr>
      </w:pPr>
      <w:r>
        <w:rPr>
          <w:rFonts w:eastAsiaTheme="minorEastAsia"/>
          <w:sz w:val="24"/>
          <w:szCs w:val="24"/>
        </w:rPr>
        <w:t>½ mv</w:t>
      </w:r>
      <w:r>
        <w:rPr>
          <w:rFonts w:eastAsiaTheme="minorEastAsia"/>
          <w:sz w:val="24"/>
          <w:szCs w:val="24"/>
          <w:vertAlign w:val="superscript"/>
        </w:rPr>
        <w:t>2</w:t>
      </w:r>
      <w:r w:rsidR="0033119C">
        <w:rPr>
          <w:rFonts w:eastAsiaTheme="minorEastAsia"/>
          <w:sz w:val="24"/>
          <w:szCs w:val="24"/>
        </w:rPr>
        <w:t xml:space="preserve"> = </w:t>
      </w:r>
      <w:proofErr w:type="spellStart"/>
      <w:r w:rsidR="0033119C">
        <w:rPr>
          <w:rFonts w:eastAsiaTheme="minorEastAsia"/>
          <w:sz w:val="24"/>
          <w:szCs w:val="24"/>
        </w:rPr>
        <w:t>GMm</w:t>
      </w:r>
      <w:proofErr w:type="spellEnd"/>
      <w:r w:rsidR="0033119C">
        <w:rPr>
          <w:rFonts w:eastAsiaTheme="minorEastAsia"/>
          <w:sz w:val="24"/>
          <w:szCs w:val="24"/>
        </w:rPr>
        <w:t>/r</w:t>
      </w:r>
      <w:bookmarkStart w:id="0" w:name="_GoBack"/>
      <w:bookmarkEnd w:id="0"/>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lang w:eastAsia="zh-CN"/>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Pr="0033119C" w:rsidRDefault="0033119C" w:rsidP="00685C1F">
      <w:pPr>
        <w:rPr>
          <w:rFonts w:eastAsiaTheme="minorEastAsia"/>
          <w:sz w:val="24"/>
          <w:szCs w:val="24"/>
        </w:rPr>
      </w:pPr>
      <w:r>
        <w:rPr>
          <w:rFonts w:eastAsiaTheme="minorEastAsia"/>
          <w:sz w:val="24"/>
          <w:szCs w:val="24"/>
        </w:rPr>
        <w:t xml:space="preserve">Used to determine the speed of an object in orbit. </w:t>
      </w:r>
    </w:p>
    <w:sectPr w:rsidR="0033119C" w:rsidRPr="0033119C"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0B6D12"/>
    <w:rsid w:val="0022440E"/>
    <w:rsid w:val="00323588"/>
    <w:rsid w:val="0033119C"/>
    <w:rsid w:val="00685C1F"/>
    <w:rsid w:val="009303A1"/>
    <w:rsid w:val="00A70C82"/>
    <w:rsid w:val="00B22956"/>
    <w:rsid w:val="00BB2194"/>
    <w:rsid w:val="00E55EE9"/>
    <w:rsid w:val="00EF0EF0"/>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728E"/>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Luke Z.</cp:lastModifiedBy>
  <cp:revision>9</cp:revision>
  <dcterms:created xsi:type="dcterms:W3CDTF">2016-09-25T17:06:00Z</dcterms:created>
  <dcterms:modified xsi:type="dcterms:W3CDTF">2017-01-02T20:52:00Z</dcterms:modified>
</cp:coreProperties>
</file>