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956" w:rsidRDefault="799A838B" w:rsidP="799A838B">
      <w:pPr>
        <w:pStyle w:val="Heading1"/>
      </w:pPr>
      <w:bookmarkStart w:id="0" w:name="_GoBack"/>
      <w:bookmarkEnd w:id="0"/>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w:t>
      </w:r>
      <w:proofErr w:type="gramStart"/>
      <w:r w:rsidRPr="799A838B">
        <w:rPr>
          <w:rFonts w:ascii="Times New Roman" w:eastAsia="Times New Roman" w:hAnsi="Times New Roman" w:cs="Times New Roman"/>
        </w:rPr>
        <w:t>an acceleration</w:t>
      </w:r>
      <w:proofErr w:type="gramEnd"/>
      <w:r w:rsidRPr="799A838B">
        <w:rPr>
          <w:rFonts w:ascii="Times New Roman" w:eastAsia="Times New Roman" w:hAnsi="Times New Roman" w:cs="Times New Roman"/>
        </w:rPr>
        <w:t xml:space="preserve">,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w:t>
      </w:r>
      <w:proofErr w:type="gramStart"/>
      <w:r w:rsidRPr="799A838B">
        <w:rPr>
          <w:rFonts w:ascii="Times New Roman" w:eastAsia="Times New Roman" w:hAnsi="Times New Roman" w:cs="Times New Roman"/>
        </w:rPr>
        <w:t>an acceleration</w:t>
      </w:r>
      <w:proofErr w:type="gramEnd"/>
      <w:r w:rsidRPr="799A838B">
        <w:rPr>
          <w:rFonts w:ascii="Times New Roman" w:eastAsia="Times New Roman" w:hAnsi="Times New Roman" w:cs="Times New Roman"/>
        </w:rPr>
        <w:t>, it must interact with an object external to itself.</w:t>
      </w:r>
    </w:p>
    <w:p w:rsidR="799A838B" w:rsidRDefault="799A838B" w:rsidP="799A838B">
      <w:pPr>
        <w:ind w:left="720"/>
      </w:pPr>
      <w:r>
        <w:rPr>
          <w:noProof/>
          <w:lang w:eastAsia="zh-CN"/>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proofErr w:type="gramStart"/>
      <w:r w:rsidRPr="799A838B">
        <w:rPr>
          <w:b/>
          <w:bCs/>
          <w:color w:val="252525"/>
        </w:rPr>
        <w:t>law</w:t>
      </w:r>
      <w:proofErr w:type="gramEnd"/>
      <w:r w:rsidRPr="799A838B">
        <w:rPr>
          <w:b/>
          <w:bCs/>
          <w:color w:val="252525"/>
        </w:rPr>
        <w:t xml:space="preserve">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proofErr w:type="gramStart"/>
      <w:r w:rsidRPr="799A838B">
        <w:rPr>
          <w:rFonts w:ascii="Arial" w:eastAsia="Arial" w:hAnsi="Arial" w:cs="Arial"/>
          <w:b/>
          <w:bCs/>
          <w:color w:val="222222"/>
          <w:highlight w:val="yellow"/>
        </w:rPr>
        <w:t>conservation</w:t>
      </w:r>
      <w:proofErr w:type="gramEnd"/>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lang w:eastAsia="zh-CN"/>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proofErr w:type="gramStart"/>
      <w:r w:rsidRPr="73F25746">
        <w:rPr>
          <w:rFonts w:ascii="Calibri" w:eastAsia="Calibri" w:hAnsi="Calibri" w:cs="Calibri"/>
          <w:color w:val="252525"/>
        </w:rPr>
        <w:t>)</w:t>
      </w:r>
      <w:r w:rsidRPr="73F25746">
        <w:rPr>
          <w:rFonts w:ascii="Calibri" w:eastAsia="Calibri" w:hAnsi="Calibri" w:cs="Calibri"/>
          <w:color w:val="252525"/>
          <w:vertAlign w:val="superscript"/>
        </w:rPr>
        <w:t>2</w:t>
      </w:r>
      <w:proofErr w:type="gramEnd"/>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lang w:eastAsia="zh-CN"/>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w:t>
      </w:r>
      <w:proofErr w:type="gramStart"/>
      <w:r w:rsidRPr="06CDF9EC">
        <w:rPr>
          <w:rFonts w:ascii="Calibri" w:eastAsia="Calibri" w:hAnsi="Calibri" w:cs="Calibri"/>
        </w:rPr>
        <w:t>radians(</w:t>
      </w:r>
      <w:proofErr w:type="gramEnd"/>
      <w:r w:rsidRPr="06CDF9EC">
        <w:rPr>
          <w:rFonts w:ascii="Calibri" w:eastAsia="Calibri" w:hAnsi="Calibri" w:cs="Calibri"/>
        </w:rPr>
        <w:t xml:space="preserve">not degrees). </w:t>
      </w:r>
      <w:proofErr w:type="gramStart"/>
      <w:r w:rsidRPr="06CDF9EC">
        <w:rPr>
          <w:rFonts w:ascii="Calibri" w:eastAsia="Calibri" w:hAnsi="Calibri" w:cs="Calibri"/>
        </w:rPr>
        <w:t>t</w:t>
      </w:r>
      <w:proofErr w:type="gram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lang w:eastAsia="zh-CN"/>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lang w:eastAsia="zh-CN"/>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Pr="00A70C82" w:rsidRDefault="00A70C82" w:rsidP="00A70C82">
      <w:pPr>
        <w:rPr>
          <w:rFonts w:eastAsiaTheme="minorEastAsia"/>
          <w:sz w:val="24"/>
          <w:szCs w:val="24"/>
        </w:rPr>
      </w:pPr>
    </w:p>
    <w:sectPr w:rsidR="00A70C82" w:rsidRPr="00A70C82" w:rsidSect="00B22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99A838B"/>
    <w:rsid w:val="00A70C82"/>
    <w:rsid w:val="00B22956"/>
    <w:rsid w:val="06CDF9EC"/>
    <w:rsid w:val="73F25746"/>
    <w:rsid w:val="799A83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 Type="http://schemas.openxmlformats.org/officeDocument/2006/relationships/settings" Target="settings.xml"/><Relationship Id="rId21" Type="http://schemas.openxmlformats.org/officeDocument/2006/relationships/hyperlink" Target="https://en.wikipedia.org/wiki/Physics" TargetMode="External"/><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theme" Target="theme/theme1.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qingb</cp:lastModifiedBy>
  <cp:revision>2</cp:revision>
  <dcterms:created xsi:type="dcterms:W3CDTF">2016-09-25T17:06:00Z</dcterms:created>
  <dcterms:modified xsi:type="dcterms:W3CDTF">2016-11-11T02:56:00Z</dcterms:modified>
</cp:coreProperties>
</file>