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ORIGINAL RESEARCH ARTICLE • SPATIAL COMPUTATIONAL ONCOLOGY</w:t>
      </w:r>
    </w:p>
    <w:bookmarkStart w:id="61" w:name="X7f1dcb492eeadb5874978d8b7784bff76640ba5"/>
    <w:p>
      <w:pPr>
        <w:pStyle w:val="Heading1"/>
      </w:pPr>
      <w:r>
        <w:t xml:space="preserve">InSituGame: In Situ Spatial Evolutionary Game Assay for Inferring Tumor Subclonal Payoff Matrices and Exploring Adaptive Therapy in Intact Human Biopsies</w:t>
      </w:r>
    </w:p>
    <w:p>
      <w:pPr>
        <w:pStyle w:val="FirstParagraph"/>
      </w:pPr>
      <w:r>
        <w:rPr>
          <w:b/>
          <w:bCs/>
        </w:rPr>
        <w:t xml:space="preserve">Luca Celebrano</w:t>
      </w:r>
      <m:oMath>
        <m:sSup>
          <m:e>
            <m:r>
              <m:t>​</m:t>
            </m:r>
          </m:e>
          <m:sup>
            <m:r>
              <m:t>1</m:t>
            </m:r>
            <m:r>
              <m:rPr>
                <m:sty m:val="p"/>
              </m:rPr>
              <m:t>,</m:t>
            </m:r>
            <m:r>
              <m:rPr>
                <m:sty m:val="p"/>
              </m:rPr>
              <m:t>*</m:t>
            </m:r>
          </m:sup>
        </m:sSup>
      </m:oMath>
      <w:r>
        <w:br/>
      </w:r>
      <m:oMath>
        <m:sSup>
          <m:e>
            <m:r>
              <m:t>​</m:t>
            </m:r>
          </m:e>
          <m:sup>
            <m:r>
              <m:t>1</m:t>
            </m:r>
          </m:sup>
        </m:sSup>
      </m:oMath>
      <w:r>
        <w:t xml:space="preserve"> </w:t>
      </w:r>
      <w:r>
        <w:t xml:space="preserve">Department of Clinical Medicine and Surgery, School of Medicine, University of Naples Federico II, Via Sergio Pansini 5, 80131 Naples, Italy</w:t>
      </w:r>
      <w:r>
        <w:br/>
      </w:r>
      <m:oMath>
        <m:sSup>
          <m:e>
            <m:r>
              <m:t>​</m:t>
            </m:r>
          </m:e>
          <m:sup>
            <m:r>
              <m:rPr>
                <m:sty m:val="p"/>
              </m:rPr>
              <m:t>*</m:t>
            </m:r>
          </m:sup>
        </m:sSup>
      </m:oMath>
      <w:r>
        <w:t xml:space="preserve"> </w:t>
      </w:r>
      <w:r>
        <w:rPr>
          <w:b/>
          <w:bCs/>
        </w:rPr>
        <w:t xml:space="preserve">Corresponding Author:</w:t>
      </w:r>
      <w:r>
        <w:t xml:space="preserve"> </w:t>
      </w:r>
      <w:r>
        <w:t xml:space="preserve">Luca Celebrano • Email:</w:t>
      </w:r>
      <w:r>
        <w:t xml:space="preserve"> </w:t>
      </w:r>
      <w:r>
        <w:rPr>
          <w:rStyle w:val="VerbatimChar"/>
        </w:rPr>
        <w:t xml:space="preserve">l.celebrano@studenti.unina.it</w:t>
      </w:r>
      <w:r>
        <w:t xml:space="preserve"> </w:t>
      </w:r>
      <w:r>
        <w:t xml:space="preserve">• Public ORCID:</w:t>
      </w:r>
      <w:r>
        <w:t xml:space="preserve"> </w:t>
      </w:r>
      <w:hyperlink r:id="rId20">
        <w:r>
          <w:rPr>
            <w:rStyle w:val="VerbatimChar"/>
          </w:rPr>
          <w:t xml:space="preserve">0009-0007-0931-3555</w:t>
        </w:r>
      </w:hyperlink>
      <w:r>
        <w:br/>
      </w:r>
      <w:r>
        <w:t xml:space="preserve">Repository:</w:t>
      </w:r>
      <w:r>
        <w:t xml:space="preserve"> </w:t>
      </w:r>
      <w:hyperlink r:id="rId21">
        <w:r>
          <w:rPr>
            <w:rStyle w:val="VerbatimChar"/>
          </w:rPr>
          <w:t xml:space="preserve">https://github.com/Lukecele/spatial-game-assay</w:t>
        </w:r>
      </w:hyperlink>
      <w:r>
        <w:t xml:space="preserve"> </w:t>
      </w:r>
      <w:r>
        <w:t xml:space="preserve">• Permanent Zenodo Archive:</w:t>
      </w:r>
      <w:r>
        <w:t xml:space="preserve"> </w:t>
      </w:r>
      <w:hyperlink r:id="rId22">
        <w:r>
          <w:rPr>
            <w:rStyle w:val="VerbatimChar"/>
          </w:rPr>
          <w:t xml:space="preserve">https://doi.org/10.5281/zenodo.23585216</w:t>
        </w:r>
      </w:hyperlink>
    </w:p>
    <w:p>
      <w:r>
        <w:pict>
          <v:rect style="width:0;height:1.5pt" o:hralign="center" o:hrstd="t" o:hr="t"/>
        </w:pict>
      </w:r>
    </w:p>
    <w:bookmarkStart w:id="23" w:name="abstract"/>
    <w:p>
      <w:pPr>
        <w:pStyle w:val="Heading2"/>
      </w:pPr>
      <w:r>
        <w:t xml:space="preserve">Abstract</w:t>
      </w:r>
    </w:p>
    <w:p>
      <w:pPr>
        <w:pStyle w:val="FirstParagraph"/>
      </w:pPr>
      <w:r>
        <w:rPr>
          <w:b/>
          <w:bCs/>
        </w:rPr>
        <w:t xml:space="preserve">Motivation:</w:t>
      </w:r>
      <w:r>
        <w:t xml:space="preserve"> </w:t>
      </w:r>
      <w:r>
        <w:t xml:space="preserve">Evolutionary game theory (EGT) provides a compelling mathematical foundation for cancer adaptive therapy: suppressing lethal drug-resistant clones by maintaining a stable competing subpopulation of treatment-sensitive cells. However, clinical translation has been fundamentally constrained by the inability to infer frequency-dependent payoff matrices directly from human patient biopsies. Existing parameter estimation relies either on arbitrary mathematical heuristics or on in vitro two-dimensional Petri dish co-cultures that lack native three-dimensional tissue architecture, cancer-associated stroma, and physical microenvironmental gradients.</w:t>
      </w:r>
    </w:p>
    <w:p>
      <w:pPr>
        <w:pStyle w:val="BodyText"/>
      </w:pPr>
      <w:r>
        <w:rPr>
          <w:b/>
          <w:bCs/>
        </w:rPr>
        <w:t xml:space="preserve">Methods:</w:t>
      </w:r>
      <w:r>
        <w:t xml:space="preserve"> </w:t>
      </w:r>
      <w:r>
        <w:t xml:space="preserve">Here, we introduce the</w:t>
      </w:r>
      <w:r>
        <w:t xml:space="preserve"> </w:t>
      </w:r>
      <w:r>
        <w:rPr>
          <w:b/>
          <w:bCs/>
        </w:rPr>
        <w:t xml:space="preserve">In Situ Spatial Evolutionary Game Assay</w:t>
      </w:r>
      <w:r>
        <w:t xml:space="preserve"> </w:t>
      </w:r>
      <w:r>
        <w:t xml:space="preserve">(</w:t>
      </w:r>
      <w:r>
        <w:rPr>
          <w:i/>
          <w:iCs/>
        </w:rPr>
        <w:t xml:space="preserve">InSituGame</w:t>
      </w:r>
      <w:r>
        <w:t xml:space="preserve">), an exploratory computational framework designed to estimate empirical subclonal payoff matrices, compute corresponding Nash equilibria, and simulate patient-specific adaptive dosing schedules directly from intact human tumor biopsies via spatial transcriptomics (10x Genomics Visium and CytAssist FFPE). To address microenvironmental confounding,</w:t>
      </w:r>
      <w:r>
        <w:t xml:space="preserve"> </w:t>
      </w:r>
      <w:r>
        <w:rPr>
          <w:i/>
          <w:iCs/>
        </w:rPr>
        <w:t xml:space="preserve">InSituGame</w:t>
      </w:r>
      <w:r>
        <w:t xml:space="preserve"> </w:t>
      </w:r>
      <w:r>
        <w:t xml:space="preserve">decouples local cell proliferation (</w:t>
      </w:r>
      <m:oMath>
        <m:r>
          <m:t>w</m:t>
        </m:r>
      </m:oMath>
      <w:r>
        <w:t xml:space="preserve">) from extrinsic niche covariates (hypoxia signature</w:t>
      </w:r>
      <w:r>
        <w:t xml:space="preserve"> </w:t>
      </w:r>
      <m:oMath>
        <m:sSub>
          <m:e>
            <m:r>
              <m:t>Z</m:t>
            </m:r>
          </m:e>
          <m:sub>
            <m:r>
              <m:t>h</m:t>
            </m:r>
            <m:r>
              <m:t>y</m:t>
            </m:r>
            <m:r>
              <m:t>p</m:t>
            </m:r>
          </m:sub>
        </m:sSub>
      </m:oMath>
      <w:r>
        <w:t xml:space="preserve"> </w:t>
      </w:r>
      <w:r>
        <w:t xml:space="preserve">and vascular endothelia</w:t>
      </w:r>
      <w:r>
        <w:t xml:space="preserve"> </w:t>
      </w:r>
      <m:oMath>
        <m:sSub>
          <m:e>
            <m:r>
              <m:t>Z</m:t>
            </m:r>
          </m:e>
          <m:sub>
            <m:r>
              <m:t>v</m:t>
            </m:r>
            <m:r>
              <m:t>a</m:t>
            </m:r>
            <m:r>
              <m:t>s</m:t>
            </m:r>
            <m:r>
              <m:t>c</m:t>
            </m:r>
          </m:sub>
        </m:sSub>
      </m:oMath>
      <w:r>
        <w:t xml:space="preserve">) prior to interaction modeling. By establishing the</w:t>
      </w:r>
      <w:r>
        <w:t xml:space="preserve"> </w:t>
      </w:r>
      <w:r>
        <w:rPr>
          <w:b/>
          <w:bCs/>
        </w:rPr>
        <w:t xml:space="preserve">Space-for-Time Ergodic Mapping Framework (Proposition 1)</w:t>
      </w:r>
      <w:r>
        <w:t xml:space="preserve">, we formally bridge instantaneous single-cell-cycle RNA transcription across spatial micro-neighborhoods to the continuous time derivatives of non-linear replicator dynamics. We resolve mathematical collinearity on the frequency simplex by formulating a fully identifiable 9-parameter absorbed payoff matrix (</w:t>
      </w:r>
      <m:oMath>
        <m:sSub>
          <m:e>
            <m:acc>
              <m:accPr>
                <m:chr m:val="̃"/>
              </m:accPr>
              <m:e>
                <m:r>
                  <m:t>A</m:t>
                </m:r>
              </m:e>
            </m:acc>
          </m:e>
          <m:sub>
            <m:r>
              <m:t>i</m:t>
            </m:r>
            <m:r>
              <m:t>j</m:t>
            </m:r>
          </m:sub>
        </m:sSub>
        <m:r>
          <m:rPr>
            <m:sty m:val="p"/>
          </m:rPr>
          <m:t>=</m:t>
        </m:r>
        <m:sSub>
          <m:e>
            <m:r>
              <m:t>b</m:t>
            </m:r>
          </m:e>
          <m:sub>
            <m:r>
              <m:t>i</m:t>
            </m:r>
          </m:sub>
        </m:sSub>
        <m:r>
          <m:rPr>
            <m:sty m:val="p"/>
          </m:rPr>
          <m:t>+</m:t>
        </m:r>
        <m:sSub>
          <m:e>
            <m:r>
              <m:t>A</m:t>
            </m:r>
          </m:e>
          <m:sub>
            <m:r>
              <m:t>i</m:t>
            </m:r>
            <m:r>
              <m:t>j</m:t>
            </m:r>
          </m:sub>
        </m:sSub>
      </m:oMath>
      <w:r>
        <w:t xml:space="preserve">) estimated via ordinary least squares without intercept.</w:t>
      </w:r>
    </w:p>
    <w:p>
      <w:pPr>
        <w:pStyle w:val="BodyText"/>
      </w:pPr>
      <w:r>
        <w:rPr>
          <w:b/>
          <w:bCs/>
        </w:rPr>
        <w:t xml:space="preserve">Results:</w:t>
      </w:r>
      <w:r>
        <w:t xml:space="preserve"> </w:t>
      </w:r>
      <w:r>
        <w:t xml:space="preserve">We evaluated the framework across</w:t>
      </w:r>
      <w:r>
        <w:t xml:space="preserve"> </w:t>
      </w:r>
      <m:oMath>
        <m:r>
          <m:t>N</m:t>
        </m:r>
        <m:r>
          <m:rPr>
            <m:sty m:val="p"/>
          </m:rPr>
          <m:t>=</m:t>
        </m:r>
        <m:r>
          <m:t>20</m:t>
        </m:r>
        <m:r>
          <m:rPr>
            <m:sty m:val="p"/>
          </m:rPr>
          <m:t>,</m:t>
        </m:r>
        <m:r>
          <m:t>093</m:t>
        </m:r>
      </m:oMath>
      <w:r>
        <w:t xml:space="preserve"> </w:t>
      </w:r>
      <w:r>
        <w:t xml:space="preserve">in-tissue spatial spots spanning human lung squamous cell carcinoma (</w:t>
      </w:r>
      <m:oMath>
        <m:r>
          <m:t>N</m:t>
        </m:r>
        <m:r>
          <m:rPr>
            <m:sty m:val="p"/>
          </m:rPr>
          <m:t>=</m:t>
        </m:r>
        <m:r>
          <m:t>3</m:t>
        </m:r>
        <m:r>
          <m:rPr>
            <m:sty m:val="p"/>
          </m:rPr>
          <m:t>,</m:t>
        </m:r>
        <m:r>
          <m:t>858</m:t>
        </m:r>
      </m:oMath>
      <w:r>
        <w:t xml:space="preserve">), invasive ductal breast carcinoma (</w:t>
      </w:r>
      <m:oMath>
        <m:r>
          <m:t>N</m:t>
        </m:r>
        <m:r>
          <m:rPr>
            <m:sty m:val="p"/>
          </m:rPr>
          <m:t>=</m:t>
        </m:r>
        <m:r>
          <m:t>4</m:t>
        </m:r>
        <m:r>
          <m:rPr>
            <m:sty m:val="p"/>
          </m:rPr>
          <m:t>,</m:t>
        </m:r>
        <m:r>
          <m:t>992</m:t>
        </m:r>
      </m:oMath>
      <w:r>
        <w:t xml:space="preserve">), cutaneous malignant melanoma (</w:t>
      </w:r>
      <m:oMath>
        <m:r>
          <m:t>N</m:t>
        </m:r>
        <m:r>
          <m:rPr>
            <m:sty m:val="p"/>
          </m:rPr>
          <m:t>=</m:t>
        </m:r>
        <m:r>
          <m:t>3</m:t>
        </m:r>
        <m:r>
          <m:rPr>
            <m:sty m:val="p"/>
          </m:rPr>
          <m:t>,</m:t>
        </m:r>
        <m:r>
          <m:t>458</m:t>
        </m:r>
      </m:oMath>
      <w:r>
        <w:t xml:space="preserve">), and two consecutive serial histological sections (</w:t>
      </w:r>
      <m:oMath>
        <m:r>
          <m:rPr>
            <m:sty m:val="p"/>
          </m:rPr>
          <m:t>≈</m:t>
        </m:r>
        <m:r>
          <m:t>10</m:t>
        </m:r>
        <m:r>
          <m:t> </m:t>
        </m:r>
        <m:r>
          <m:t>μ</m:t>
        </m:r>
        <m:r>
          <m:rPr>
            <m:nor/>
            <m:sty m:val="p"/>
          </m:rPr>
          <m:t>m</m:t>
        </m:r>
      </m:oMath>
      <w:r>
        <w:t xml:space="preserve"> </w:t>
      </w:r>
      <w:r>
        <w:t xml:space="preserve">apart,</w:t>
      </w:r>
      <w:r>
        <w:t xml:space="preserve"> </w:t>
      </w:r>
      <m:oMath>
        <m:r>
          <m:t>N</m:t>
        </m:r>
        <m:r>
          <m:rPr>
            <m:sty m:val="p"/>
          </m:rPr>
          <m:t>=</m:t>
        </m:r>
        <m:r>
          <m:t>3</m:t>
        </m:r>
        <m:r>
          <m:rPr>
            <m:sty m:val="p"/>
          </m:rPr>
          <m:t>,</m:t>
        </m:r>
        <m:r>
          <m:t>798</m:t>
        </m:r>
      </m:oMath>
      <w:r>
        <w:t xml:space="preserve"> </w:t>
      </w:r>
      <w:r>
        <w:t xml:space="preserve">and</w:t>
      </w:r>
      <w:r>
        <w:t xml:space="preserve"> </w:t>
      </w:r>
      <m:oMath>
        <m:r>
          <m:t>N</m:t>
        </m:r>
        <m:r>
          <m:rPr>
            <m:sty m:val="p"/>
          </m:rPr>
          <m:t>=</m:t>
        </m:r>
        <m:r>
          <m:t>3</m:t>
        </m:r>
        <m:r>
          <m:rPr>
            <m:sty m:val="p"/>
          </m:rPr>
          <m:t>,</m:t>
        </m:r>
        <m:r>
          <m:t>987</m:t>
        </m:r>
      </m:oMath>
      <w:r>
        <w:t xml:space="preserve">). In an in silico numerical consistency benchmark, the 9-parameter bilinear estimator accurately recovered known payoff parameters under 20% additive noise (Pearson</w:t>
      </w:r>
      <w:r>
        <w:t xml:space="preserve"> </w:t>
      </w:r>
      <m:oMath>
        <m:r>
          <m:t>r</m:t>
        </m:r>
        <m:r>
          <m:rPr>
            <m:sty m:val="p"/>
          </m:rPr>
          <m:t>=</m:t>
        </m:r>
        <m:r>
          <m:t>0.9997</m:t>
        </m:r>
      </m:oMath>
      <w:r>
        <w:t xml:space="preserve">,</w:t>
      </w:r>
      <w:r>
        <w:t xml:space="preserve"> </w:t>
      </w:r>
      <m:oMath>
        <m:r>
          <m:t>p</m:t>
        </m:r>
        <m:r>
          <m:rPr>
            <m:sty m:val="p"/>
          </m:rPr>
          <m:t>=</m:t>
        </m:r>
        <m:r>
          <m:t>1.13</m:t>
        </m:r>
        <m:r>
          <m:rPr>
            <m:sty m:val="p"/>
          </m:rPr>
          <m:t>×</m:t>
        </m:r>
        <m:sSup>
          <m:e>
            <m:r>
              <m:t>10</m:t>
            </m:r>
          </m:e>
          <m:sup>
            <m:r>
              <m:rPr>
                <m:sty m:val="p"/>
              </m:rPr>
              <m:t>−</m:t>
            </m:r>
            <m:r>
              <m:t>12</m:t>
            </m:r>
          </m:sup>
        </m:sSup>
      </m:oMath>
      <w:r>
        <w:t xml:space="preserve">, MAE</w:t>
      </w:r>
      <w:r>
        <w:t xml:space="preserve"> </w:t>
      </w:r>
      <m:oMath>
        <m:r>
          <m:rPr>
            <m:sty m:val="p"/>
          </m:rPr>
          <m:t>=</m:t>
        </m:r>
        <m:r>
          <m:t>0.023</m:t>
        </m:r>
      </m:oMath>
      <w:r>
        <w:t xml:space="preserve">) and recovered the interior Nash coexistence equilibrium (</w:t>
      </w:r>
      <m:oMath>
        <m:sSup>
          <m:e>
            <m:r>
              <m:t>x</m:t>
            </m:r>
          </m:e>
          <m:sup>
            <m:r>
              <m:rPr>
                <m:sty m:val="p"/>
              </m:rPr>
              <m:t>*</m:t>
            </m:r>
          </m:sup>
        </m:sSup>
        <m:r>
          <m:rPr>
            <m:sty m:val="p"/>
          </m:rPr>
          <m:t>=</m:t>
        </m:r>
        <m:r>
          <m:t>60.53</m:t>
        </m:r>
        <m:r>
          <m:rPr>
            <m:sty m:val="p"/>
          </m:rPr>
          <m:t>%</m:t>
        </m:r>
      </m:oMath>
      <w:r>
        <w:t xml:space="preserve"> </w:t>
      </w:r>
      <w:r>
        <w:t xml:space="preserve">true vs</w:t>
      </w:r>
      <w:r>
        <w:t xml:space="preserve"> </w:t>
      </w:r>
      <m:oMath>
        <m:r>
          <m:t>60.30</m:t>
        </m:r>
        <m:r>
          <m:rPr>
            <m:sty m:val="p"/>
          </m:rPr>
          <m:t>%</m:t>
        </m:r>
      </m:oMath>
      <w:r>
        <w:t xml:space="preserve"> </w:t>
      </w:r>
      <w:r>
        <w:t xml:space="preserve">estimated), verifying algebraic code correctness and numerical identifiability without matrix singularities. Across 100 agent-based lattice simulations, the assay achieved 100% detection sensitivity under true game dynamics while maintaining strict false-positive rate control (FPR = 5.0%,</w:t>
      </w:r>
      <w:r>
        <w:t xml:space="preserve"> </w:t>
      </w:r>
      <m:oMath>
        <m:r>
          <m:t>α</m:t>
        </m:r>
        <m:r>
          <m:rPr>
            <m:sty m:val="p"/>
          </m:rPr>
          <m:t>=</m:t>
        </m:r>
        <m:r>
          <m:t>0.05</m:t>
        </m:r>
      </m:oMath>
      <w:r>
        <w:t xml:space="preserve">) under pure spatial crowding nulls. Biological negative controls across 500 expression-matched random gene triplets confirmed oncogenic specificity (empirical</w:t>
      </w:r>
      <w:r>
        <w:t xml:space="preserve"> </w:t>
      </w:r>
      <m:oMath>
        <m:r>
          <m:t>p</m:t>
        </m:r>
        <m:r>
          <m:rPr>
            <m:sty m:val="p"/>
          </m:rPr>
          <m:t>&lt;</m:t>
        </m:r>
        <m:r>
          <m:t>0.0020</m:t>
        </m:r>
      </m:oMath>
      <w:r>
        <w:t xml:space="preserve">). Monge-Kantorovich / Wasserstein-2 optimal transport between consecutive serial sections (</w:t>
      </w:r>
      <m:oMath>
        <m:r>
          <m:rPr>
            <m:sty m:val="p"/>
          </m:rPr>
          <m:t>≈</m:t>
        </m:r>
        <m:r>
          <m:t>10</m:t>
        </m:r>
        <m:r>
          <m:t> </m:t>
        </m:r>
        <m:r>
          <m:t>μ</m:t>
        </m:r>
        <m:r>
          <m:rPr>
            <m:nor/>
            <m:sty m:val="p"/>
          </m:rPr>
          <m:t>m</m:t>
        </m:r>
      </m:oMath>
      <w:r>
        <w:t xml:space="preserve">) demonstrated strong geodesic concordance between inferred replicator velocity and empirical 3D clonal transport (Pearson</w:t>
      </w:r>
      <w:r>
        <w:t xml:space="preserve"> </w:t>
      </w:r>
      <m:oMath>
        <m:d>
          <m:dPr>
            <m:begChr m:val="|"/>
            <m:endChr m:val="|"/>
            <m:sepChr m:val=""/>
            <m:grow/>
          </m:dPr>
          <m:e>
            <m:r>
              <m:t>r</m:t>
            </m:r>
          </m:e>
        </m:d>
        <m:r>
          <m:rPr>
            <m:sty m:val="p"/>
          </m:rPr>
          <m:t>=</m:t>
        </m:r>
        <m:r>
          <m:t>0.6726</m:t>
        </m:r>
        <m:r>
          <m:rPr>
            <m:sty m:val="p"/>
          </m:rPr>
          <m:t>,</m:t>
        </m:r>
        <m:r>
          <m:t>p</m:t>
        </m:r>
        <m:r>
          <m:rPr>
            <m:sty m:val="p"/>
          </m:rPr>
          <m:t>=</m:t>
        </m:r>
        <m:r>
          <m:t>4.18</m:t>
        </m:r>
        <m:r>
          <m:rPr>
            <m:sty m:val="p"/>
          </m:rPr>
          <m:t>×</m:t>
        </m:r>
        <m:sSup>
          <m:e>
            <m:r>
              <m:t>10</m:t>
            </m:r>
          </m:e>
          <m:sup>
            <m:r>
              <m:rPr>
                <m:sty m:val="p"/>
              </m:rPr>
              <m:t>−</m:t>
            </m:r>
            <m:r>
              <m:t>198</m:t>
            </m:r>
          </m:sup>
        </m:sSup>
      </m:oMath>
      <w:r>
        <w:t xml:space="preserve">). In clinical tissue, comprehensive model ablations on the decoupled target</w:t>
      </w:r>
      <w:r>
        <w:t xml:space="preserve"> </w:t>
      </w:r>
      <m:oMath>
        <m:sSub>
          <m:e>
            <m:r>
              <m:t>w</m:t>
            </m:r>
          </m:e>
          <m:sub>
            <m:r>
              <m:t>p</m:t>
            </m:r>
            <m:r>
              <m:t>u</m:t>
            </m:r>
            <m:r>
              <m:t>r</m:t>
            </m:r>
            <m:r>
              <m:t>i</m:t>
            </m:r>
            <m:r>
              <m:t>f</m:t>
            </m:r>
            <m:r>
              <m:t>i</m:t>
            </m:r>
            <m:r>
              <m:t>e</m:t>
            </m:r>
            <m:r>
              <m:t>d</m:t>
            </m:r>
          </m:sub>
        </m:sSub>
      </m:oMath>
      <w:r>
        <w:t xml:space="preserve"> </w:t>
      </w:r>
      <w:r>
        <w:t xml:space="preserve">demonstrated lineage-specific interaction architectures: in breast IDC, the spatial game model (</w:t>
      </w:r>
      <m:oMath>
        <m:sSub>
          <m:e>
            <m:r>
              <m:t>M</m:t>
            </m:r>
          </m:e>
          <m:sub>
            <m:r>
              <m:t>3</m:t>
            </m:r>
          </m:sub>
        </m:sSub>
      </m:oMath>
      <w:r>
        <w:t xml:space="preserve">,</w:t>
      </w:r>
      <w:r>
        <w:t xml:space="preserve"> </w:t>
      </w:r>
      <m:oMath>
        <m:sSup>
          <m:e>
            <m:r>
              <m:t>R</m:t>
            </m:r>
          </m:e>
          <m:sup>
            <m:r>
              <m:t>2</m:t>
            </m:r>
          </m:sup>
        </m:sSup>
        <m:r>
          <m:rPr>
            <m:sty m:val="p"/>
          </m:rPr>
          <m:t>=</m:t>
        </m:r>
        <m:r>
          <m:t>32.29</m:t>
        </m:r>
        <m:r>
          <m:rPr>
            <m:sty m:val="p"/>
          </m:rPr>
          <m:t>%</m:t>
        </m:r>
      </m:oMath>
      <w:r>
        <w:t xml:space="preserve">) significantly improved over linear regional composition (</w:t>
      </w:r>
      <m:oMath>
        <m:sSub>
          <m:e>
            <m:r>
              <m:t>M</m:t>
            </m:r>
          </m:e>
          <m:sub>
            <m:r>
              <m:t>2</m:t>
            </m:r>
            <m:r>
              <m:t>c</m:t>
            </m:r>
          </m:sub>
        </m:sSub>
      </m:oMath>
      <w:r>
        <w:t xml:space="preserve">,</w:t>
      </w:r>
      <w:r>
        <w:t xml:space="preserve"> </w:t>
      </w:r>
      <m:oMath>
        <m:sSup>
          <m:e>
            <m:r>
              <m:t>R</m:t>
            </m:r>
          </m:e>
          <m:sup>
            <m:r>
              <m:t>2</m:t>
            </m:r>
          </m:sup>
        </m:sSup>
        <m:r>
          <m:rPr>
            <m:sty m:val="p"/>
          </m:rPr>
          <m:t>=</m:t>
        </m:r>
        <m:r>
          <m:t>26.58</m:t>
        </m:r>
        <m:r>
          <m:rPr>
            <m:sty m:val="p"/>
          </m:rPr>
          <m:t>%</m:t>
        </m:r>
      </m:oMath>
      <w:r>
        <w:t xml:space="preserve">; incremental</w:t>
      </w:r>
      <w:r>
        <w:t xml:space="preserve"> </w:t>
      </w:r>
      <m:oMath>
        <m:r>
          <m:t>F</m:t>
        </m:r>
        <m:r>
          <m:rPr>
            <m:sty m:val="p"/>
          </m:rPr>
          <m:t>=</m:t>
        </m:r>
        <m:r>
          <m:t>104.99</m:t>
        </m:r>
      </m:oMath>
      <w:r>
        <w:t xml:space="preserve">,</w:t>
      </w:r>
      <w:r>
        <w:t xml:space="preserve"> </w:t>
      </w:r>
      <m:oMath>
        <m:r>
          <m:t>p</m:t>
        </m:r>
        <m:r>
          <m:rPr>
            <m:sty m:val="p"/>
          </m:rPr>
          <m:t>&lt;</m:t>
        </m:r>
        <m:r>
          <m:t>1.11</m:t>
        </m:r>
        <m:r>
          <m:rPr>
            <m:sty m:val="p"/>
          </m:rPr>
          <m:t>×</m:t>
        </m:r>
        <m:sSup>
          <m:e>
            <m:r>
              <m:t>10</m:t>
            </m:r>
          </m:e>
          <m:sup>
            <m:r>
              <m:rPr>
                <m:sty m:val="p"/>
              </m:rPr>
              <m:t>−</m:t>
            </m:r>
            <m:r>
              <m:t>16</m:t>
            </m:r>
          </m:sup>
        </m:sSup>
      </m:oMath>
      <w:r>
        <w:t xml:space="preserve">), yielding a</w:t>
      </w:r>
      <w:r>
        <w:t xml:space="preserve"> </w:t>
      </w:r>
      <m:oMath>
        <m:r>
          <m:rPr>
            <m:sty m:val="p"/>
          </m:rPr>
          <m:t>+</m:t>
        </m:r>
        <m:r>
          <m:t>7.26</m:t>
        </m:r>
        <m:r>
          <m:rPr>
            <m:sty m:val="p"/>
          </m:rPr>
          <m:t>%</m:t>
        </m:r>
      </m:oMath>
      <w:r>
        <w:t xml:space="preserve"> </w:t>
      </w:r>
      <w:r>
        <w:t xml:space="preserve">gain in 5-fold spatial block cross-validation out-of-fold generalizability (</w:t>
      </w:r>
      <m:oMath>
        <m:sSubSup>
          <m:e>
            <m:r>
              <m:t>R</m:t>
            </m:r>
          </m:e>
          <m:sub>
            <m:r>
              <m:rPr>
                <m:nor/>
                <m:sty m:val="p"/>
              </m:rPr>
              <m:t>OOF</m:t>
            </m:r>
          </m:sub>
          <m:sup>
            <m:r>
              <m:t>2</m:t>
            </m:r>
          </m:sup>
        </m:sSubSup>
        <m:r>
          <m:rPr>
            <m:sty m:val="p"/>
          </m:rPr>
          <m:t>=</m:t>
        </m:r>
        <m:r>
          <m:t>27.02</m:t>
        </m:r>
        <m:r>
          <m:rPr>
            <m:sty m:val="p"/>
          </m:rPr>
          <m:t>%</m:t>
        </m:r>
      </m:oMath>
      <w:r>
        <w:t xml:space="preserve"> </w:t>
      </w:r>
      <w:r>
        <w:t xml:space="preserve">vs</w:t>
      </w:r>
      <w:r>
        <w:t xml:space="preserve"> </w:t>
      </w:r>
      <m:oMath>
        <m:r>
          <m:t>19.76</m:t>
        </m:r>
        <m:r>
          <m:rPr>
            <m:sty m:val="p"/>
          </m:rPr>
          <m:t>%</m:t>
        </m:r>
      </m:oMath>
      <w:r>
        <w:t xml:space="preserve">), while generic quadratics (</w:t>
      </w:r>
      <m:oMath>
        <m:sSub>
          <m:e>
            <m:r>
              <m:t>M</m:t>
            </m:r>
          </m:e>
          <m:sub>
            <m:r>
              <m:t>2</m:t>
            </m:r>
            <m:r>
              <m:t>d</m:t>
            </m:r>
          </m:sub>
        </m:sSub>
      </m:oMath>
      <w:r>
        <w:t xml:space="preserve">,</w:t>
      </w:r>
      <w:r>
        <w:t xml:space="preserve"> </w:t>
      </w:r>
      <m:oMath>
        <m:sSubSup>
          <m:e>
            <m:r>
              <m:t>R</m:t>
            </m:r>
          </m:e>
          <m:sub>
            <m:r>
              <m:rPr>
                <m:nor/>
                <m:sty m:val="p"/>
              </m:rPr>
              <m:t>OOF</m:t>
            </m:r>
          </m:sub>
          <m:sup>
            <m:r>
              <m:t>2</m:t>
            </m:r>
          </m:sup>
        </m:sSubSup>
        <m:r>
          <m:rPr>
            <m:sty m:val="p"/>
          </m:rPr>
          <m:t>=</m:t>
        </m:r>
        <m:r>
          <m:t>28.46</m:t>
        </m:r>
        <m:r>
          <m:rPr>
            <m:sty m:val="p"/>
          </m:rPr>
          <m:t>%</m:t>
        </m:r>
      </m:oMath>
      <w:r>
        <w:t xml:space="preserve">) showed comparable predictive capacity with higher parameterization (10 vs 8 parameters). In melanoma SKCM, spatial game interactions provided a modest increment over regional composition (</w:t>
      </w:r>
      <m:oMath>
        <m:r>
          <m:t>F</m:t>
        </m:r>
        <m:r>
          <m:rPr>
            <m:sty m:val="p"/>
          </m:rPr>
          <m:t>=</m:t>
        </m:r>
        <m:r>
          <m:t>17.16</m:t>
        </m:r>
      </m:oMath>
      <w:r>
        <w:t xml:space="preserve">,</w:t>
      </w:r>
      <w:r>
        <w:t xml:space="preserve"> </w:t>
      </w:r>
      <m:oMath>
        <m:r>
          <m:t>p</m:t>
        </m:r>
        <m:r>
          <m:rPr>
            <m:sty m:val="p"/>
          </m:rPr>
          <m:t>=</m:t>
        </m:r>
        <m:r>
          <m:t>6.04</m:t>
        </m:r>
        <m:r>
          <m:rPr>
            <m:sty m:val="p"/>
          </m:rPr>
          <m:t>×</m:t>
        </m:r>
        <m:sSup>
          <m:e>
            <m:r>
              <m:t>10</m:t>
            </m:r>
          </m:e>
          <m:sup>
            <m:r>
              <m:rPr>
                <m:sty m:val="p"/>
              </m:rPr>
              <m:t>−</m:t>
            </m:r>
            <m:r>
              <m:t>14</m:t>
            </m:r>
          </m:sup>
        </m:sSup>
      </m:oMath>
      <w:r>
        <w:t xml:space="preserve">;</w:t>
      </w:r>
      <w:r>
        <w:t xml:space="preserve"> </w:t>
      </w:r>
      <m:oMath>
        <m:sSubSup>
          <m:e>
            <m:r>
              <m:t>R</m:t>
            </m:r>
          </m:e>
          <m:sub>
            <m:r>
              <m:rPr>
                <m:nor/>
                <m:sty m:val="p"/>
              </m:rPr>
              <m:t>OOF</m:t>
            </m:r>
          </m:sub>
          <m:sup>
            <m:r>
              <m:t>2</m:t>
            </m:r>
          </m:sup>
        </m:sSubSup>
        <m:r>
          <m:rPr>
            <m:sty m:val="p"/>
          </m:rPr>
          <m:t>=</m:t>
        </m:r>
        <m:r>
          <m:t>33.42</m:t>
        </m:r>
        <m:r>
          <m:rPr>
            <m:sty m:val="p"/>
          </m:rPr>
          <m:t>%</m:t>
        </m:r>
      </m:oMath>
      <w:r>
        <w:t xml:space="preserve"> </w:t>
      </w:r>
      <w:r>
        <w:t xml:space="preserve">vs</w:t>
      </w:r>
      <w:r>
        <w:t xml:space="preserve"> </w:t>
      </w:r>
      <m:oMath>
        <m:r>
          <m:t>32.88</m:t>
        </m:r>
        <m:r>
          <m:rPr>
            <m:sty m:val="p"/>
          </m:rPr>
          <m:t>%</m:t>
        </m:r>
      </m:oMath>
      <w:r>
        <w:t xml:space="preserve">). In lung SCC, spatial proliferation was predominantly governed by regional composition (</w:t>
      </w:r>
      <m:oMath>
        <m:sSub>
          <m:e>
            <m:r>
              <m:t>M</m:t>
            </m:r>
          </m:e>
          <m:sub>
            <m:r>
              <m:t>2</m:t>
            </m:r>
            <m:r>
              <m:t>c</m:t>
            </m:r>
          </m:sub>
        </m:sSub>
        <m:r>
          <m:rPr>
            <m:sty m:val="p"/>
          </m:rPr>
          <m:t>=</m:t>
        </m:r>
        <m:r>
          <m:t>30.77</m:t>
        </m:r>
        <m:r>
          <m:rPr>
            <m:sty m:val="p"/>
          </m:rPr>
          <m:t>%</m:t>
        </m:r>
      </m:oMath>
      <w:r>
        <w:t xml:space="preserve"> </w:t>
      </w:r>
      <w:r>
        <w:t xml:space="preserve">vs</w:t>
      </w:r>
      <w:r>
        <w:t xml:space="preserve"> </w:t>
      </w:r>
      <m:oMath>
        <m:sSub>
          <m:e>
            <m:r>
              <m:t>M</m:t>
            </m:r>
          </m:e>
          <m:sub>
            <m:r>
              <m:t>3</m:t>
            </m:r>
          </m:sub>
        </m:sSub>
        <m:r>
          <m:rPr>
            <m:sty m:val="p"/>
          </m:rPr>
          <m:t>=</m:t>
        </m:r>
        <m:r>
          <m:t>30.86</m:t>
        </m:r>
        <m:r>
          <m:rPr>
            <m:sty m:val="p"/>
          </m:rPr>
          <m:t>%</m:t>
        </m:r>
      </m:oMath>
      <w:r>
        <w:t xml:space="preserve">,</w:t>
      </w:r>
      <w:r>
        <w:t xml:space="preserve"> </w:t>
      </w:r>
      <m:oMath>
        <m:r>
          <m:t>F</m:t>
        </m:r>
        <m:r>
          <m:rPr>
            <m:sty m:val="p"/>
          </m:rPr>
          <m:t>=</m:t>
        </m:r>
        <m:r>
          <m:t>1.30</m:t>
        </m:r>
      </m:oMath>
      <w:r>
        <w:t xml:space="preserve">,</w:t>
      </w:r>
      <w:r>
        <w:t xml:space="preserve"> </w:t>
      </w:r>
      <m:oMath>
        <m:r>
          <m:t>p</m:t>
        </m:r>
        <m:r>
          <m:rPr>
            <m:sty m:val="p"/>
          </m:rPr>
          <m:t>=</m:t>
        </m:r>
        <m:r>
          <m:t>0.266</m:t>
        </m:r>
      </m:oMath>
      <w:r>
        <w:t xml:space="preserve">,</w:t>
      </w:r>
      <w:r>
        <w:t xml:space="preserve"> </w:t>
      </w:r>
      <m:oMath>
        <m:sSubSup>
          <m:e>
            <m:r>
              <m:t>R</m:t>
            </m:r>
          </m:e>
          <m:sub>
            <m:r>
              <m:rPr>
                <m:nor/>
                <m:sty m:val="p"/>
              </m:rPr>
              <m:t>OOF</m:t>
            </m:r>
          </m:sub>
          <m:sup>
            <m:r>
              <m:t>2</m:t>
            </m:r>
          </m:sup>
        </m:sSubSup>
        <m:r>
          <m:rPr>
            <m:sty m:val="p"/>
          </m:rPr>
          <m:t>=</m:t>
        </m:r>
        <m:r>
          <m:t>26.07</m:t>
        </m:r>
        <m:r>
          <m:rPr>
            <m:sty m:val="p"/>
          </m:rPr>
          <m:t>%</m:t>
        </m:r>
      </m:oMath>
      <w:r>
        <w:t xml:space="preserve"> </w:t>
      </w:r>
      <w:r>
        <w:t xml:space="preserve">vs</w:t>
      </w:r>
      <w:r>
        <w:t xml:space="preserve"> </w:t>
      </w:r>
      <m:oMath>
        <m:r>
          <m:t>27.06</m:t>
        </m:r>
        <m:r>
          <m:rPr>
            <m:sty m:val="p"/>
          </m:rPr>
          <m:t>%</m:t>
        </m:r>
      </m:oMath>
      <w:r>
        <w:t xml:space="preserve">), classifying this specimen as indeterminate / dominated by regional composition rather than robust frequency-dependent game interactions. Coordinate permutation null tests confirmed spatial structure dependence across all cohorts (</w:t>
      </w:r>
      <m:oMath>
        <m:r>
          <m:t>p</m:t>
        </m:r>
        <m:r>
          <m:rPr>
            <m:sty m:val="p"/>
          </m:rPr>
          <m:t>&lt;</m:t>
        </m:r>
        <m:r>
          <m:t>0.001</m:t>
        </m:r>
      </m:oMath>
      <w:r>
        <w:t xml:space="preserve">). Under the identifiable absorbed matrix</w:t>
      </w:r>
      <w:r>
        <w:t xml:space="preserve"> </w:t>
      </w:r>
      <m:oMath>
        <m:acc>
          <m:accPr>
            <m:chr m:val="̃"/>
          </m:accPr>
          <m:e>
            <m:r>
              <m:t>A</m:t>
            </m:r>
          </m:e>
        </m:acc>
      </m:oMath>
      <w:r>
        <w:t xml:space="preserve">, spatial block bootstrap 95% confidence intervals confirmed robust</w:t>
      </w:r>
      <w:r>
        <w:t xml:space="preserve"> </w:t>
      </w:r>
      <w:r>
        <w:rPr>
          <w:b/>
          <w:bCs/>
        </w:rPr>
        <w:t xml:space="preserve">Hawk-Dove / Snowdrift (Coexistence)</w:t>
      </w:r>
      <w:r>
        <w:t xml:space="preserve"> </w:t>
      </w:r>
      <w:r>
        <w:t xml:space="preserve">dynamics in primary breast IDC (</w:t>
      </w:r>
      <m:oMath>
        <m:sSup>
          <m:e>
            <m:r>
              <m:t>x</m:t>
            </m:r>
          </m:e>
          <m:sup>
            <m:r>
              <m:rPr>
                <m:sty m:val="p"/>
              </m:rPr>
              <m:t>*</m:t>
            </m:r>
          </m:sup>
        </m:sSup>
        <m:r>
          <m:rPr>
            <m:sty m:val="p"/>
          </m:rPr>
          <m:t>∈</m:t>
        </m:r>
        <m:d>
          <m:dPr>
            <m:begChr m:val="["/>
            <m:endChr m:val="]"/>
            <m:sepChr m:val=""/>
            <m:grow/>
          </m:dPr>
          <m:e>
            <m:r>
              <m:t>0.526</m:t>
            </m:r>
            <m:r>
              <m:rPr>
                <m:sty m:val="p"/>
              </m:rPr>
              <m:t>,</m:t>
            </m:r>
            <m:r>
              <m:t>0.725</m:t>
            </m:r>
          </m:e>
        </m:d>
      </m:oMath>
      <w:r>
        <w:t xml:space="preserve">, point estimate</w:t>
      </w:r>
      <w:r>
        <w:t xml:space="preserve"> </w:t>
      </w:r>
      <m:oMath>
        <m:r>
          <m:t>61.3</m:t>
        </m:r>
        <m:r>
          <m:rPr>
            <m:sty m:val="p"/>
          </m:rPr>
          <m:t>%</m:t>
        </m:r>
      </m:oMath>
      <w:r>
        <w:t xml:space="preserve">;</w:t>
      </w:r>
      <w:r>
        <w:t xml:space="preserve"> </w:t>
      </w:r>
      <m:oMath>
        <m:sSub>
          <m:e>
            <m:acc>
              <m:accPr>
                <m:chr m:val="̃"/>
              </m:accPr>
              <m:e>
                <m:r>
                  <m:t>Δ</m:t>
                </m:r>
              </m:e>
            </m:acc>
          </m:e>
          <m:sub>
            <m:r>
              <m:t>S</m:t>
            </m:r>
          </m:sub>
        </m:sSub>
        <m:r>
          <m:rPr>
            <m:sty m:val="p"/>
          </m:rPr>
          <m:t>∈</m:t>
        </m:r>
        <m:d>
          <m:dPr>
            <m:begChr m:val="["/>
            <m:endChr m:val="]"/>
            <m:sepChr m:val=""/>
            <m:grow/>
          </m:dPr>
          <m:e>
            <m:r>
              <m:rPr>
                <m:sty m:val="p"/>
              </m:rPr>
              <m:t>−</m:t>
            </m:r>
            <m:r>
              <m:t>3.93</m:t>
            </m:r>
            <m:r>
              <m:rPr>
                <m:sty m:val="p"/>
              </m:rPr>
              <m:t>,</m:t>
            </m:r>
            <m:r>
              <m:rPr>
                <m:sty m:val="p"/>
              </m:rPr>
              <m:t>−</m:t>
            </m:r>
            <m:r>
              <m:t>1.55</m:t>
            </m:r>
          </m:e>
        </m:d>
      </m:oMath>
      <w:r>
        <w:t xml:space="preserve">,</w:t>
      </w:r>
      <w:r>
        <w:t xml:space="preserve"> </w:t>
      </w:r>
      <m:oMath>
        <m:sSub>
          <m:e>
            <m:acc>
              <m:accPr>
                <m:chr m:val="̃"/>
              </m:accPr>
              <m:e>
                <m:r>
                  <m:t>Δ</m:t>
                </m:r>
              </m:e>
            </m:acc>
          </m:e>
          <m:sub>
            <m:r>
              <m:t>R</m:t>
            </m:r>
          </m:sub>
        </m:sSub>
        <m:r>
          <m:rPr>
            <m:sty m:val="p"/>
          </m:rPr>
          <m:t>∈</m:t>
        </m:r>
        <m:d>
          <m:dPr>
            <m:begChr m:val="["/>
            <m:endChr m:val="]"/>
            <m:sepChr m:val=""/>
            <m:grow/>
          </m:dPr>
          <m:e>
            <m:r>
              <m:rPr>
                <m:sty m:val="p"/>
              </m:rPr>
              <m:t>−</m:t>
            </m:r>
            <m:r>
              <m:t>6.37</m:t>
            </m:r>
            <m:r>
              <m:rPr>
                <m:sty m:val="p"/>
              </m:rPr>
              <m:t>,</m:t>
            </m:r>
            <m:r>
              <m:rPr>
                <m:sty m:val="p"/>
              </m:rPr>
              <m:t>−</m:t>
            </m:r>
            <m:r>
              <m:t>2.58</m:t>
            </m:r>
          </m:e>
        </m:d>
      </m:oMath>
      <w:r>
        <w:t xml:space="preserve">) and suggestive</w:t>
      </w:r>
      <w:r>
        <w:t xml:space="preserve"> </w:t>
      </w:r>
      <w:r>
        <w:rPr>
          <w:b/>
          <w:bCs/>
        </w:rPr>
        <w:t xml:space="preserve">Stag Hunt bistability</w:t>
      </w:r>
      <w:r>
        <w:t xml:space="preserve"> </w:t>
      </w:r>
      <w:r>
        <w:t xml:space="preserve">in melanoma (point estimate</w:t>
      </w:r>
      <w:r>
        <w:t xml:space="preserve"> </w:t>
      </w:r>
      <m:oMath>
        <m:sSub>
          <m:e>
            <m:r>
              <m:t>x</m:t>
            </m:r>
          </m:e>
          <m:sub>
            <m:r>
              <m:t>s</m:t>
            </m:r>
            <m:r>
              <m:t>e</m:t>
            </m:r>
            <m:r>
              <m:t>p</m:t>
            </m:r>
          </m:sub>
        </m:sSub>
        <m:r>
          <m:rPr>
            <m:sty m:val="p"/>
          </m:rPr>
          <m:t>=</m:t>
        </m:r>
        <m:r>
          <m:t>48.1</m:t>
        </m:r>
        <m:r>
          <m:rPr>
            <m:sty m:val="p"/>
          </m:rPr>
          <m:t>%</m:t>
        </m:r>
      </m:oMath>
      <w:r>
        <w:t xml:space="preserve">, though the 95% bootstrap confidence interval for</w:t>
      </w:r>
      <w:r>
        <w:t xml:space="preserve"> </w:t>
      </w:r>
      <m:oMath>
        <m:sSub>
          <m:e>
            <m:acc>
              <m:accPr>
                <m:chr m:val="̃"/>
              </m:accPr>
              <m:e>
                <m:r>
                  <m:t>Δ</m:t>
                </m:r>
              </m:e>
            </m:acc>
          </m:e>
          <m:sub>
            <m:r>
              <m:t>R</m:t>
            </m:r>
          </m:sub>
        </m:sSub>
      </m:oMath>
      <w:r>
        <w:t xml:space="preserve"> </w:t>
      </w:r>
      <w:r>
        <w:t xml:space="preserve">spans zero:</w:t>
      </w:r>
      <w:r>
        <w:t xml:space="preserve"> </w:t>
      </w:r>
      <m:oMath>
        <m:d>
          <m:dPr>
            <m:begChr m:val="["/>
            <m:endChr m:val="]"/>
            <m:sepChr m:val=""/>
            <m:grow/>
          </m:dPr>
          <m:e>
            <m:r>
              <m:rPr>
                <m:sty m:val="p"/>
              </m:rPr>
              <m:t>−</m:t>
            </m:r>
            <m:r>
              <m:t>0.97</m:t>
            </m:r>
            <m:r>
              <m:rPr>
                <m:sty m:val="p"/>
              </m:rPr>
              <m:t>,</m:t>
            </m:r>
            <m:r>
              <m:rPr>
                <m:sty m:val="p"/>
              </m:rPr>
              <m:t>+</m:t>
            </m:r>
            <m:r>
              <m:t>3.57</m:t>
            </m:r>
          </m:e>
        </m:d>
      </m:oMath>
      <w:r>
        <w:t xml:space="preserve">, reflecting selective parameter uncertainty). In lung SCC, bootstrap confidence intervals for</w:t>
      </w:r>
      <w:r>
        <w:t xml:space="preserve"> </w:t>
      </w:r>
      <m:oMath>
        <m:sSub>
          <m:e>
            <m:acc>
              <m:accPr>
                <m:chr m:val="̃"/>
              </m:accPr>
              <m:e>
                <m:r>
                  <m:t>Δ</m:t>
                </m:r>
              </m:e>
            </m:acc>
          </m:e>
          <m:sub>
            <m:r>
              <m:t>R</m:t>
            </m:r>
          </m:sub>
        </m:sSub>
      </m:oMath>
      <w:r>
        <w:t xml:space="preserve"> </w:t>
      </w:r>
      <w:r>
        <w:t xml:space="preserve">likewise spanned zero (</w:t>
      </w:r>
      <m:oMath>
        <m:d>
          <m:dPr>
            <m:begChr m:val="["/>
            <m:endChr m:val="]"/>
            <m:sepChr m:val=""/>
            <m:grow/>
          </m:dPr>
          <m:e>
            <m:r>
              <m:rPr>
                <m:sty m:val="p"/>
              </m:rPr>
              <m:t>−</m:t>
            </m:r>
            <m:r>
              <m:t>1.685</m:t>
            </m:r>
            <m:r>
              <m:rPr>
                <m:sty m:val="p"/>
              </m:rPr>
              <m:t>,</m:t>
            </m:r>
            <m:r>
              <m:rPr>
                <m:sty m:val="p"/>
              </m:rPr>
              <m:t>+</m:t>
            </m:r>
            <m:r>
              <m:t>1.168</m:t>
            </m:r>
          </m:e>
        </m:d>
      </m:oMath>
      <w:r>
        <w:t xml:space="preserve">), verifying that this specimen cannot be reliably classified into a discrete game. Consecutive serial sections demonstrated parameter concordance (</w:t>
      </w:r>
      <m:oMath>
        <m:r>
          <m:t>r</m:t>
        </m:r>
        <m:r>
          <m:rPr>
            <m:sty m:val="p"/>
          </m:rPr>
          <m:t>=</m:t>
        </m:r>
        <m:r>
          <m:rPr>
            <m:sty m:val="p"/>
          </m:rPr>
          <m:t>+</m:t>
        </m:r>
        <m:r>
          <m:t>0.811</m:t>
        </m:r>
      </m:oMath>
      <w:r>
        <w:t xml:space="preserve">,</w:t>
      </w:r>
      <w:r>
        <w:t xml:space="preserve"> </w:t>
      </w:r>
      <m:oMath>
        <m:r>
          <m:t>p</m:t>
        </m:r>
        <m:r>
          <m:rPr>
            <m:sty m:val="p"/>
          </m:rPr>
          <m:t>=</m:t>
        </m:r>
        <m:r>
          <m:t>0.0079</m:t>
        </m:r>
      </m:oMath>
      <w:r>
        <w:t xml:space="preserve">) and blind out-of-sample generalizability (</w:t>
      </w:r>
      <m:oMath>
        <m:sSubSup>
          <m:e>
            <m:r>
              <m:t>R</m:t>
            </m:r>
          </m:e>
          <m:sub>
            <m:r>
              <m:rPr>
                <m:nor/>
                <m:sty m:val="p"/>
              </m:rPr>
              <m:t>OOS</m:t>
            </m:r>
          </m:sub>
          <m:sup>
            <m:r>
              <m:t>2</m:t>
            </m:r>
          </m:sup>
        </m:sSubSup>
        <m:r>
          <m:rPr>
            <m:sty m:val="p"/>
          </m:rPr>
          <m:t>=</m:t>
        </m:r>
        <m:r>
          <m:t>10.20</m:t>
        </m:r>
        <m:r>
          <m:rPr>
            <m:sty m:val="p"/>
          </m:rPr>
          <m:t>%</m:t>
        </m:r>
      </m:oMath>
      <w:r>
        <w:t xml:space="preserve"> </w:t>
      </w:r>
      <w:r>
        <w:t xml:space="preserve">vs</w:t>
      </w:r>
      <w:r>
        <w:t xml:space="preserve"> </w:t>
      </w:r>
      <m:oMath>
        <m:r>
          <m:t>6.21</m:t>
        </m:r>
        <m:r>
          <m:rPr>
            <m:sty m:val="p"/>
          </m:rPr>
          <m:t>%</m:t>
        </m:r>
      </m:oMath>
      <w:r>
        <w:t xml:space="preserve">, exact Fisher</w:t>
      </w:r>
      <w:r>
        <w:t xml:space="preserve"> </w:t>
      </w:r>
      <m:oMath>
        <m:r>
          <m:t>p</m:t>
        </m:r>
        <m:r>
          <m:rPr>
            <m:sty m:val="p"/>
          </m:rPr>
          <m:t>=</m:t>
        </m:r>
        <m:r>
          <m:t>4.82</m:t>
        </m:r>
        <m:r>
          <m:rPr>
            <m:sty m:val="p"/>
          </m:rPr>
          <m:t>×</m:t>
        </m:r>
        <m:sSup>
          <m:e>
            <m:r>
              <m:t>10</m:t>
            </m:r>
          </m:e>
          <m:sup>
            <m:r>
              <m:rPr>
                <m:sty m:val="p"/>
              </m:rPr>
              <m:t>−</m:t>
            </m:r>
            <m:r>
              <m:t>12</m:t>
            </m:r>
          </m:sup>
        </m:sSup>
      </m:oMath>
      <w:r>
        <w:t xml:space="preserve">).</w:t>
      </w:r>
    </w:p>
    <w:p>
      <w:pPr>
        <w:pStyle w:val="BodyText"/>
      </w:pPr>
      <w:r>
        <w:rPr>
          <w:b/>
          <w:bCs/>
        </w:rPr>
        <w:t xml:space="preserve">Availability and Implementation:</w:t>
      </w:r>
      <w:r>
        <w:t xml:space="preserve"> </w:t>
      </w:r>
      <w:r>
        <w:rPr>
          <w:i/>
          <w:iCs/>
        </w:rPr>
        <w:t xml:space="preserve">InSituGame</w:t>
      </w:r>
      <w:r>
        <w:t xml:space="preserve"> </w:t>
      </w:r>
      <w:r>
        <w:t xml:space="preserve">is implemented as an open-source Python library (</w:t>
      </w:r>
      <w:r>
        <w:rPr>
          <w:rStyle w:val="VerbatimChar"/>
        </w:rPr>
        <w:t xml:space="preserve">insitugame</w:t>
      </w:r>
      <w:r>
        <w:t xml:space="preserve">) licensed under the GNU General Public License v3.0 (GPL-3.0). All source code, analysis pipelines, and reproducible figure scripts are available at https://github.com/Lukecele/spatial-game-assay and permanently archived on Zenodo at https://doi.org/10.5281/zenodo.23585216.</w:t>
      </w:r>
    </w:p>
    <w:p>
      <w:r>
        <w:pict>
          <v:rect style="width:0;height:1.5pt" o:hralign="center" o:hrstd="t" o:hr="t"/>
        </w:pict>
      </w:r>
    </w:p>
    <w:bookmarkEnd w:id="23"/>
    <w:bookmarkStart w:id="24" w:name="introduction"/>
    <w:p>
      <w:pPr>
        <w:pStyle w:val="Heading2"/>
      </w:pPr>
      <w:r>
        <w:t xml:space="preserve">1. Introduction</w:t>
      </w:r>
    </w:p>
    <w:p>
      <w:pPr>
        <w:pStyle w:val="FirstParagraph"/>
      </w:pPr>
      <w:r>
        <w:t xml:space="preserve">Acquired therapeutic resistance remains the primary cause of cancer-related mortality in medical oncology. For decades, the dominant paradigm in cytotoxic chemotherapy and molecularly targeted therapy has been the administration of the Maximum Tolerated Dose (MTD) until disease progression or intolerable toxicity. While MTD protocols achieve rapid initial tumor debulking, they inadvertently act as an intense evolutionary filter. By eradicating drug-sensitive cancer cell populations, MTD removes the natural competitor that physically and metabolically restricts the outgrowth of pre-existing drug-resistant subclones (Bacevic et al., 2017). This evolutionary phenomenon—termed</w:t>
      </w:r>
      <w:r>
        <w:t xml:space="preserve"> </w:t>
      </w:r>
      <w:r>
        <w:rPr>
          <w:b/>
          <w:bCs/>
        </w:rPr>
        <w:t xml:space="preserve">competitive release</w:t>
      </w:r>
      <w:r>
        <w:t xml:space="preserve">—frequently leads to therapeutic failure, as the repopulating tumor becomes entirely refractory to further treatment.</w:t>
      </w:r>
    </w:p>
    <w:p>
      <w:pPr>
        <w:pStyle w:val="BodyText"/>
      </w:pPr>
      <w:r>
        <w:t xml:space="preserve">To address this evolutionary trap, mathematical and evolutionary cancer biologists formulated</w:t>
      </w:r>
      <w:r>
        <w:t xml:space="preserve"> </w:t>
      </w:r>
      <w:r>
        <w:rPr>
          <w:b/>
          <w:bCs/>
        </w:rPr>
        <w:t xml:space="preserve">adaptive therapy</w:t>
      </w:r>
      <w:r>
        <w:t xml:space="preserve"> </w:t>
      </w:r>
      <w:r>
        <w:t xml:space="preserve">(Gatenby et al., 2009; Enriquez-Navas et al., 2016; Zhang et al., 2017). Rather than pursuing curative tumor eradication, adaptive therapy modulates drug dosing to maintain a stable, manageable population of drug-sensitive cells. When treatment is withdrawn during drug holidays, the sensitive subpopulation outcompetes the resistant subpopulation due to phenotypic fitness trade-offs and non-mutational tolerance costs (Kemper et al., 2014; Maley et al., 2017). A pioneering pilot clinical trial in metastatic castrate-resistant prostate cancer (</w:t>
      </w:r>
      <m:oMath>
        <m:r>
          <m:t>N</m:t>
        </m:r>
        <m:r>
          <m:rPr>
            <m:sty m:val="p"/>
          </m:rPr>
          <m:t>=</m:t>
        </m:r>
        <m:r>
          <m:t>11</m:t>
        </m:r>
      </m:oMath>
      <w:r>
        <w:t xml:space="preserve">; Zhang et al., 2017) demonstrated that adaptive dosing of abiraterone acetate achieved a median time to progression of 27 months while using 53% less cumulative drug compared to historical continuous dosing controls.</w:t>
      </w:r>
    </w:p>
    <w:p>
      <w:pPr>
        <w:pStyle w:val="BodyText"/>
      </w:pPr>
      <w:r>
        <w:t xml:space="preserve">Despite its clinical promise, a central translational challenge persists:</w:t>
      </w:r>
      <w:r>
        <w:t xml:space="preserve"> </w:t>
      </w:r>
      <w:r>
        <w:rPr>
          <w:b/>
          <w:bCs/>
        </w:rPr>
        <w:t xml:space="preserve">how can we objectively estimate the clonal interaction payoff matrix (</w:t>
      </w:r>
      <m:oMath>
        <m:r>
          <m:t>A</m:t>
        </m:r>
      </m:oMath>
      <w:r>
        <w:rPr>
          <w:b/>
          <w:bCs/>
        </w:rPr>
        <w:t xml:space="preserve">) for an individual patient’s biopsy?</w:t>
      </w:r>
      <w:r>
        <w:t xml:space="preserve"> </w:t>
      </w:r>
      <w:r>
        <w:t xml:space="preserve">In evolutionary game theory (EGT), mathematical modeling of subclonal competition, clonal cooperation, and stroma-mediated niche ecology has provided foundational insights into cancer progression (Basanta et al., 2012; Nowak, 2006), where the per-capita growth rate of any subclone</w:t>
      </w:r>
      <w:r>
        <w:t xml:space="preserve"> </w:t>
      </w:r>
      <m:oMath>
        <m:r>
          <m:t>i</m:t>
        </m:r>
      </m:oMath>
      <w:r>
        <w:t xml:space="preserve"> </w:t>
      </w:r>
      <w:r>
        <w:t xml:space="preserve">depends fundamentally on the frequency of surrounding phenotypes</w:t>
      </w:r>
      <w:r>
        <w:t xml:space="preserve"> </w:t>
      </w:r>
      <m:oMath>
        <m:r>
          <m:t>j</m:t>
        </m:r>
      </m:oMath>
      <w:r>
        <w:t xml:space="preserve"> </w:t>
      </w:r>
      <w:r>
        <w:t xml:space="preserve">through the payoff matrix</w:t>
      </w:r>
      <w:r>
        <w:t xml:space="preserve"> </w:t>
      </w:r>
      <m:oMath>
        <m:sSub>
          <m:e>
            <m:r>
              <m:t>A</m:t>
            </m:r>
          </m:e>
          <m:sub>
            <m:r>
              <m:t>i</m:t>
            </m:r>
            <m:r>
              <m:t>j</m:t>
            </m:r>
          </m:sub>
        </m:sSub>
      </m:oMath>
      <w:r>
        <w:t xml:space="preserve">. In literature, these matrix parameters have historically been either postulated via mathematical heuristics or derived from in vitro two-dimensional co-cultures of established cell lines using automated time-lapse microscopy (Kaznatcheev et al., 2019).</w:t>
      </w:r>
    </w:p>
    <w:p>
      <w:pPr>
        <w:pStyle w:val="BodyText"/>
      </w:pPr>
      <w:r>
        <w:t xml:space="preserve">However, two-dimensional plastic Petri dish co-cultures present clear biological limitations:</w:t>
      </w:r>
      <w:r>
        <w:t xml:space="preserve"> </w:t>
      </w:r>
      <w:r>
        <w:t xml:space="preserve">1. They lack native three-dimensional extracellular matrix (ECM) and complex tissue microarchitecture.</w:t>
      </w:r>
      <w:r>
        <w:t xml:space="preserve"> </w:t>
      </w:r>
      <w:r>
        <w:t xml:space="preserve">2. They typically exclude essential stromal populations, such as cancer-associated fibroblasts (CAFs), which modulate paracrine growth factors, mechanical tension, and therapeutic response (Kalluri, 2016).</w:t>
      </w:r>
      <w:r>
        <w:t xml:space="preserve"> </w:t>
      </w:r>
      <w:r>
        <w:t xml:space="preserve">3. They fail to account for extrinsic physical microenvironmental gradients, such as hypoxia and vascular distance, which confound cellular proliferation independently of frequency-dependent game interactions (Robertson-Tessi et al., 2015).</w:t>
      </w:r>
    </w:p>
    <w:p>
      <w:pPr>
        <w:pStyle w:val="BodyText"/>
      </w:pPr>
      <w:r>
        <w:t xml:space="preserve">Spatial transcriptomics (ST)—crystallized by platforms such as 10x Genomics Visium and CytAssist FFPE—offers an unprecedented opportunity to address this parameter estimation problem. By profiling whole-transcriptome mRNA expression while preserving physical tissue coordinates in intact formalin-fixed paraffin-embedded (FFPE) clinical biopsies, spatial transcriptomics captures the in situ spatial arrangement of interacting cell types within their native histopathological microenvironment.</w:t>
      </w:r>
    </w:p>
    <w:p>
      <w:pPr>
        <w:pStyle w:val="BodyText"/>
      </w:pPr>
      <w:r>
        <w:t xml:space="preserve">In this study, we present</w:t>
      </w:r>
      <w:r>
        <w:t xml:space="preserve"> </w:t>
      </w:r>
      <w:r>
        <w:rPr>
          <w:b/>
          <w:bCs/>
        </w:rPr>
        <w:t xml:space="preserve">InSituGame</w:t>
      </w:r>
      <w:r>
        <w:t xml:space="preserve"> </w:t>
      </w:r>
      <w:r>
        <w:t xml:space="preserve">(</w:t>
      </w:r>
      <w:r>
        <w:rPr>
          <w:i/>
          <w:iCs/>
        </w:rPr>
        <w:t xml:space="preserve">In Situ Spatial Evolutionary Game Assay</w:t>
      </w:r>
      <w:r>
        <w:t xml:space="preserve">), an exploratory computational framework designed to extract empirical game payoff matrices (</w:t>
      </w:r>
      <m:oMath>
        <m:acc>
          <m:accPr>
            <m:chr m:val="̃"/>
          </m:accPr>
          <m:e>
            <m:r>
              <m:t>A</m:t>
            </m:r>
          </m:e>
        </m:acc>
      </m:oMath>
      <w:r>
        <w:t xml:space="preserve">) and evaluate patient-specific Nash equilibria directly from intact human tumor biopsies. We introduce an environmental decoupling pipeline that residualizes hypoxia and vascular confounders, prove the</w:t>
      </w:r>
      <w:r>
        <w:t xml:space="preserve"> </w:t>
      </w:r>
      <w:r>
        <w:rPr>
          <w:b/>
          <w:bCs/>
        </w:rPr>
        <w:t xml:space="preserve">Space-for-Time Ergodic Mapping Theorem</w:t>
      </w:r>
      <w:r>
        <w:t xml:space="preserve"> </w:t>
      </w:r>
      <w:r>
        <w:t xml:space="preserve">linking static spatial snapshots to dynamical replicator systems, formulate a fully identifiable 9-parameter absorbed matrix, and perform an extensive validation battery across</w:t>
      </w:r>
      <w:r>
        <w:t xml:space="preserve"> </w:t>
      </w:r>
      <m:oMath>
        <m:r>
          <m:t>20</m:t>
        </m:r>
        <m:r>
          <m:rPr>
            <m:sty m:val="p"/>
          </m:rPr>
          <m:t>,</m:t>
        </m:r>
        <m:r>
          <m:t>093</m:t>
        </m:r>
      </m:oMath>
      <w:r>
        <w:t xml:space="preserve"> </w:t>
      </w:r>
      <w:r>
        <w:t xml:space="preserve">clinical spatial spots. Finally, through in silico recovery benchmarking, spatial null control testing against linear regional composition, and blind out-of-sample serial slice evaluation, we demonstrate proof-of-concept feasibility for using clinical spatial transcriptomics as an empirical assay to parameterize patient-specific evolutionary game dynamics.</w:t>
      </w:r>
    </w:p>
    <w:p>
      <w:r>
        <w:pict>
          <v:rect style="width:0;height:1.5pt" o:hralign="center" o:hrstd="t" o:hr="t"/>
        </w:pict>
      </w:r>
    </w:p>
    <w:bookmarkEnd w:id="24"/>
    <w:bookmarkStart w:id="38" w:name="materials-and-methods"/>
    <w:p>
      <w:pPr>
        <w:pStyle w:val="Heading2"/>
      </w:pPr>
      <w:r>
        <w:t xml:space="preserve">2. Materials and Methods</w:t>
      </w:r>
    </w:p>
    <w:bookmarkStart w:id="25" w:name="X813e23766f7adc976b6d811b1459f00498d1b32"/>
    <w:p>
      <w:pPr>
        <w:pStyle w:val="Heading3"/>
      </w:pPr>
      <w:r>
        <w:t xml:space="preserve">2.1 Clinical Biopsy Cohorts &amp; Provenance Verification</w:t>
      </w:r>
    </w:p>
    <w:p>
      <w:pPr>
        <w:pStyle w:val="FirstParagraph"/>
      </w:pPr>
      <w:r>
        <w:t xml:space="preserve">All analyses were conducted on authentic, public-access clinical spatial transcriptomics datasets provided by 10x Genomics:</w:t>
      </w:r>
    </w:p>
    <w:p>
      <w:pPr>
        <w:pStyle w:val="Compact"/>
        <w:numPr>
          <w:ilvl w:val="0"/>
          <w:numId w:val="1001"/>
        </w:numPr>
      </w:pPr>
      <w:r>
        <w:rPr>
          <w:b/>
          <w:bCs/>
        </w:rPr>
        <w:t xml:space="preserve">Human Squamous Cell Lung Carcinoma (Lung SCC):</w:t>
      </w:r>
      <w:r>
        <w:t xml:space="preserve"> </w:t>
      </w:r>
      <w:r>
        <w:t xml:space="preserve">CytAssist FFPE section of primary lung squamous cell carcinoma (</w:t>
      </w:r>
      <m:oMath>
        <m:r>
          <m:t>N</m:t>
        </m:r>
        <m:r>
          <m:rPr>
            <m:sty m:val="p"/>
          </m:rPr>
          <m:t>=</m:t>
        </m:r>
        <m:r>
          <m:t>3</m:t>
        </m:r>
        <m:r>
          <m:rPr>
            <m:sty m:val="p"/>
          </m:rPr>
          <m:t>,</m:t>
        </m:r>
        <m:r>
          <m:t>858</m:t>
        </m:r>
      </m:oMath>
      <w:r>
        <w:t xml:space="preserve"> </w:t>
      </w:r>
      <w:r>
        <w:t xml:space="preserve">in-tissue spots;</w:t>
      </w:r>
      <w:r>
        <w:t xml:space="preserve"> </w:t>
      </w:r>
      <m:oMath>
        <m:r>
          <m:t>72</m:t>
        </m:r>
        <m:r>
          <m:rPr>
            <m:sty m:val="p"/>
          </m:rPr>
          <m:t>,</m:t>
        </m:r>
        <m:r>
          <m:t>655</m:t>
        </m:r>
        <m:r>
          <m:rPr>
            <m:sty m:val="p"/>
          </m:rPr>
          <m:t>,</m:t>
        </m:r>
        <m:r>
          <m:t>040</m:t>
        </m:r>
      </m:oMath>
      <w:r>
        <w:t xml:space="preserve"> </w:t>
      </w:r>
      <w:r>
        <w:t xml:space="preserve">sequenced UMIs; median UMI depth</w:t>
      </w:r>
      <w:r>
        <w:t xml:space="preserve"> </w:t>
      </w:r>
      <m:oMath>
        <m:r>
          <m:rPr>
            <m:sty m:val="p"/>
          </m:rPr>
          <m:t>=</m:t>
        </m:r>
        <m:r>
          <m:t>12</m:t>
        </m:r>
        <m:r>
          <m:rPr>
            <m:sty m:val="p"/>
          </m:rPr>
          <m:t>,</m:t>
        </m:r>
        <m:r>
          <m:t>883</m:t>
        </m:r>
      </m:oMath>
      <w:r>
        <w:t xml:space="preserve"> </w:t>
      </w:r>
      <w:r>
        <w:t xml:space="preserve">per spot).</w:t>
      </w:r>
    </w:p>
    <w:p>
      <w:pPr>
        <w:pStyle w:val="Compact"/>
        <w:numPr>
          <w:ilvl w:val="0"/>
          <w:numId w:val="1001"/>
        </w:numPr>
      </w:pPr>
      <w:r>
        <w:rPr>
          <w:b/>
          <w:bCs/>
        </w:rPr>
        <w:t xml:space="preserve">Human Invasive Ductal Breast Carcinoma (Breast IDC):</w:t>
      </w:r>
      <w:r>
        <w:t xml:space="preserve"> </w:t>
      </w:r>
      <w:r>
        <w:t xml:space="preserve">CytAssist FFPE section of primary invasive ductal breast adenocarcinoma (</w:t>
      </w:r>
      <m:oMath>
        <m:r>
          <m:t>N</m:t>
        </m:r>
        <m:r>
          <m:rPr>
            <m:sty m:val="p"/>
          </m:rPr>
          <m:t>=</m:t>
        </m:r>
        <m:r>
          <m:t>4</m:t>
        </m:r>
        <m:r>
          <m:rPr>
            <m:sty m:val="p"/>
          </m:rPr>
          <m:t>,</m:t>
        </m:r>
        <m:r>
          <m:t>992</m:t>
        </m:r>
      </m:oMath>
      <w:r>
        <w:t xml:space="preserve"> </w:t>
      </w:r>
      <w:r>
        <w:t xml:space="preserve">in-tissue spots;</w:t>
      </w:r>
      <w:r>
        <w:t xml:space="preserve"> </w:t>
      </w:r>
      <m:oMath>
        <m:r>
          <m:t>115</m:t>
        </m:r>
        <m:r>
          <m:rPr>
            <m:sty m:val="p"/>
          </m:rPr>
          <m:t>,</m:t>
        </m:r>
        <m:r>
          <m:t>297</m:t>
        </m:r>
        <m:r>
          <m:rPr>
            <m:sty m:val="p"/>
          </m:rPr>
          <m:t>,</m:t>
        </m:r>
        <m:r>
          <m:t>808</m:t>
        </m:r>
      </m:oMath>
      <w:r>
        <w:t xml:space="preserve"> </w:t>
      </w:r>
      <w:r>
        <w:t xml:space="preserve">sequenced UMIs; median UMI depth</w:t>
      </w:r>
      <w:r>
        <w:t xml:space="preserve"> </w:t>
      </w:r>
      <m:oMath>
        <m:r>
          <m:rPr>
            <m:sty m:val="p"/>
          </m:rPr>
          <m:t>=</m:t>
        </m:r>
        <m:r>
          <m:t>17</m:t>
        </m:r>
        <m:r>
          <m:rPr>
            <m:sty m:val="p"/>
          </m:rPr>
          <m:t>,</m:t>
        </m:r>
        <m:r>
          <m:t>994</m:t>
        </m:r>
      </m:oMath>
      <w:r>
        <w:t xml:space="preserve"> </w:t>
      </w:r>
      <w:r>
        <w:t xml:space="preserve">per spot).</w:t>
      </w:r>
    </w:p>
    <w:p>
      <w:pPr>
        <w:pStyle w:val="Compact"/>
        <w:numPr>
          <w:ilvl w:val="0"/>
          <w:numId w:val="1001"/>
        </w:numPr>
      </w:pPr>
      <w:r>
        <w:rPr>
          <w:b/>
          <w:bCs/>
        </w:rPr>
        <w:t xml:space="preserve">Human Cutaneous Malignant Melanoma (Melanoma SKCM):</w:t>
      </w:r>
      <w:r>
        <w:t xml:space="preserve"> </w:t>
      </w:r>
      <w:r>
        <w:t xml:space="preserve">CytAssist FFPE section of primary skin cutaneous melanoma (</w:t>
      </w:r>
      <m:oMath>
        <m:r>
          <m:t>N</m:t>
        </m:r>
        <m:r>
          <m:rPr>
            <m:sty m:val="p"/>
          </m:rPr>
          <m:t>=</m:t>
        </m:r>
        <m:r>
          <m:t>3</m:t>
        </m:r>
        <m:r>
          <m:rPr>
            <m:sty m:val="p"/>
          </m:rPr>
          <m:t>,</m:t>
        </m:r>
        <m:r>
          <m:t>458</m:t>
        </m:r>
      </m:oMath>
      <w:r>
        <w:t xml:space="preserve"> </w:t>
      </w:r>
      <w:r>
        <w:t xml:space="preserve">in-tissue spots;</w:t>
      </w:r>
      <w:r>
        <w:t xml:space="preserve"> </w:t>
      </w:r>
      <m:oMath>
        <m:r>
          <m:t>105</m:t>
        </m:r>
        <m:r>
          <m:rPr>
            <m:sty m:val="p"/>
          </m:rPr>
          <m:t>,</m:t>
        </m:r>
        <m:r>
          <m:t>698</m:t>
        </m:r>
        <m:r>
          <m:rPr>
            <m:sty m:val="p"/>
          </m:rPr>
          <m:t>,</m:t>
        </m:r>
        <m:r>
          <m:t>520</m:t>
        </m:r>
      </m:oMath>
      <w:r>
        <w:t xml:space="preserve"> </w:t>
      </w:r>
      <w:r>
        <w:t xml:space="preserve">sequenced UMIs; median UMI depth</w:t>
      </w:r>
      <w:r>
        <w:t xml:space="preserve"> </w:t>
      </w:r>
      <m:oMath>
        <m:r>
          <m:rPr>
            <m:sty m:val="p"/>
          </m:rPr>
          <m:t>=</m:t>
        </m:r>
        <m:r>
          <m:t>25</m:t>
        </m:r>
        <m:r>
          <m:rPr>
            <m:sty m:val="p"/>
          </m:rPr>
          <m:t>,</m:t>
        </m:r>
        <m:r>
          <m:t>607</m:t>
        </m:r>
      </m:oMath>
      <w:r>
        <w:t xml:space="preserve"> </w:t>
      </w:r>
      <w:r>
        <w:t xml:space="preserve">per spot).</w:t>
      </w:r>
    </w:p>
    <w:p>
      <w:pPr>
        <w:pStyle w:val="Compact"/>
        <w:numPr>
          <w:ilvl w:val="0"/>
          <w:numId w:val="1001"/>
        </w:numPr>
      </w:pPr>
      <w:r>
        <w:rPr>
          <w:b/>
          <w:bCs/>
        </w:rPr>
        <w:t xml:space="preserve">Serial Replicate Breast Cancer Cohort:</w:t>
      </w:r>
      <w:r>
        <w:t xml:space="preserve"> </w:t>
      </w:r>
      <w:r>
        <w:t xml:space="preserve">Two consecutive serial histological sections (</w:t>
      </w:r>
      <m:oMath>
        <m:r>
          <m:rPr>
            <m:sty m:val="p"/>
          </m:rPr>
          <m:t>≈</m:t>
        </m:r>
        <m:r>
          <m:t>10</m:t>
        </m:r>
        <m:r>
          <m:t> </m:t>
        </m:r>
        <m:r>
          <m:t>μ</m:t>
        </m:r>
        <m:r>
          <m:rPr>
            <m:nor/>
            <m:sty m:val="p"/>
          </m:rPr>
          <m:t>m</m:t>
        </m:r>
      </m:oMath>
      <w:r>
        <w:t xml:space="preserve"> </w:t>
      </w:r>
      <w:r>
        <w:t xml:space="preserve">physical spacing) from a human invasive ductal breast cancer specimen (Block A, Section 1:</w:t>
      </w:r>
      <w:r>
        <w:t xml:space="preserve"> </w:t>
      </w:r>
      <m:oMath>
        <m:r>
          <m:t>N</m:t>
        </m:r>
        <m:r>
          <m:rPr>
            <m:sty m:val="p"/>
          </m:rPr>
          <m:t>=</m:t>
        </m:r>
        <m:r>
          <m:t>3</m:t>
        </m:r>
        <m:r>
          <m:rPr>
            <m:sty m:val="p"/>
          </m:rPr>
          <m:t>,</m:t>
        </m:r>
        <m:r>
          <m:t>798</m:t>
        </m:r>
      </m:oMath>
      <w:r>
        <w:t xml:space="preserve"> </w:t>
      </w:r>
      <w:r>
        <w:t xml:space="preserve">spots, median UMI</w:t>
      </w:r>
      <w:r>
        <w:t xml:space="preserve"> </w:t>
      </w:r>
      <m:oMath>
        <m:r>
          <m:rPr>
            <m:sty m:val="p"/>
          </m:rPr>
          <m:t>=</m:t>
        </m:r>
        <m:r>
          <m:t>20</m:t>
        </m:r>
        <m:r>
          <m:rPr>
            <m:sty m:val="p"/>
          </m:rPr>
          <m:t>,</m:t>
        </m:r>
        <m:r>
          <m:t>762</m:t>
        </m:r>
      </m:oMath>
      <w:r>
        <w:t xml:space="preserve">; Section 2:</w:t>
      </w:r>
      <w:r>
        <w:t xml:space="preserve"> </w:t>
      </w:r>
      <m:oMath>
        <m:r>
          <m:t>N</m:t>
        </m:r>
        <m:r>
          <m:rPr>
            <m:sty m:val="p"/>
          </m:rPr>
          <m:t>=</m:t>
        </m:r>
        <m:r>
          <m:t>3</m:t>
        </m:r>
        <m:r>
          <m:rPr>
            <m:sty m:val="p"/>
          </m:rPr>
          <m:t>,</m:t>
        </m:r>
        <m:r>
          <m:t>987</m:t>
        </m:r>
      </m:oMath>
      <w:r>
        <w:t xml:space="preserve"> </w:t>
      </w:r>
      <w:r>
        <w:t xml:space="preserve">spots, median UMI</w:t>
      </w:r>
      <w:r>
        <w:t xml:space="preserve"> </w:t>
      </w:r>
      <m:oMath>
        <m:r>
          <m:rPr>
            <m:sty m:val="p"/>
          </m:rPr>
          <m:t>=</m:t>
        </m:r>
        <m:r>
          <m:t>18</m:t>
        </m:r>
        <m:r>
          <m:rPr>
            <m:sty m:val="p"/>
          </m:rPr>
          <m:t>,</m:t>
        </m:r>
        <m:r>
          <m:t>828</m:t>
        </m:r>
      </m:oMath>
      <w:r>
        <w:t xml:space="preserve">).</w:t>
      </w:r>
    </w:p>
    <w:p>
      <w:pPr>
        <w:pStyle w:val="FirstParagraph"/>
      </w:pPr>
      <w:r>
        <w:t xml:space="preserve">All raw spatial coordinate tables (</w:t>
      </w:r>
      <w:r>
        <w:rPr>
          <w:rStyle w:val="VerbatimChar"/>
        </w:rPr>
        <w:t xml:space="preserve">tissue_positions.csv</w:t>
      </w:r>
      <w:r>
        <w:t xml:space="preserve">), barcode identifiers, and sparse Matrix Market archives (</w:t>
      </w:r>
      <w:r>
        <w:rPr>
          <w:rStyle w:val="VerbatimChar"/>
        </w:rPr>
        <w:t xml:space="preserve">matrix.mtx.gz</w:t>
      </w:r>
      <w:r>
        <w:t xml:space="preserve">) were parsed directly using standard streaming parsers, verifying mathematical data integrity without single-spot interpolation or synthetic placeholders.</w:t>
      </w:r>
    </w:p>
    <w:bookmarkEnd w:id="25"/>
    <w:bookmarkStart w:id="28" w:name="X18d2b4151d1fa7b8ed8b8b573b4d42f84acb582"/>
    <w:p>
      <w:pPr>
        <w:pStyle w:val="Heading3"/>
      </w:pPr>
      <w:r>
        <w:t xml:space="preserve">2.2 Subclonal Phenotypic Deconvolution and Marker Selection</w:t>
      </w:r>
    </w:p>
    <w:p>
      <w:pPr>
        <w:pStyle w:val="FirstParagraph"/>
      </w:pPr>
      <w:r>
        <w:t xml:space="preserve">For each cancer lineage, marker gene panels were selected based on clinical literature and histopathological consensus:</w:t>
      </w:r>
      <w:r>
        <w:t xml:space="preserve"> </w:t>
      </w:r>
      <w:r>
        <w:t xml:space="preserve">-</w:t>
      </w:r>
      <w:r>
        <w:t xml:space="preserve"> </w:t>
      </w:r>
      <w:r>
        <w:rPr>
          <w:b/>
          <w:bCs/>
        </w:rPr>
        <w:t xml:space="preserve">Treatment-Sensitive Epithelial Clones (</w:t>
      </w:r>
      <m:oMath>
        <m:sSub>
          <m:e>
            <m:r>
              <m:t>T</m:t>
            </m:r>
          </m:e>
          <m:sub>
            <m:r>
              <m:t>S</m:t>
            </m:r>
          </m:sub>
        </m:sSub>
      </m:oMath>
      <w:r>
        <w:rPr>
          <w:b/>
          <w:bCs/>
        </w:rPr>
        <w:t xml:space="preserve">):</w:t>
      </w:r>
      <w:r>
        <w:t xml:space="preserve"> </w:t>
      </w:r>
      <w:r>
        <w:t xml:space="preserve">Epithelial and lineage differentiation markers (Lung:</w:t>
      </w:r>
      <w:r>
        <w:t xml:space="preserve"> </w:t>
      </w:r>
      <w:r>
        <w:rPr>
          <w:i/>
          <w:iCs/>
        </w:rPr>
        <w:t xml:space="preserve">EGFR, KRT5, TP63, EPCAM</w:t>
      </w:r>
      <w:r>
        <w:t xml:space="preserve">; Breast:</w:t>
      </w:r>
      <w:r>
        <w:t xml:space="preserve"> </w:t>
      </w:r>
      <w:r>
        <w:rPr>
          <w:i/>
          <w:iCs/>
        </w:rPr>
        <w:t xml:space="preserve">EPCAM, CDH1, KRT8, KRT18, ESR1</w:t>
      </w:r>
      <w:r>
        <w:t xml:space="preserve">; Melanoma:</w:t>
      </w:r>
      <w:r>
        <w:t xml:space="preserve"> </w:t>
      </w:r>
      <w:r>
        <w:rPr>
          <w:i/>
          <w:iCs/>
        </w:rPr>
        <w:t xml:space="preserve">MLANA, MITF, PMEL, TYR</w:t>
      </w:r>
      <w:r>
        <w:t xml:space="preserve">).</w:t>
      </w:r>
      <w:r>
        <w:t xml:space="preserve"> </w:t>
      </w:r>
      <w:r>
        <w:t xml:space="preserve">-</w:t>
      </w:r>
      <w:r>
        <w:t xml:space="preserve"> </w:t>
      </w:r>
      <w:r>
        <w:rPr>
          <w:b/>
          <w:bCs/>
        </w:rPr>
        <w:t xml:space="preserve">Treatment-Resistant Mesenchymal/Stem-like Clones (</w:t>
      </w:r>
      <m:oMath>
        <m:sSub>
          <m:e>
            <m:r>
              <m:t>T</m:t>
            </m:r>
          </m:e>
          <m:sub>
            <m:r>
              <m:t>R</m:t>
            </m:r>
          </m:sub>
        </m:sSub>
      </m:oMath>
      <w:r>
        <w:rPr>
          <w:b/>
          <w:bCs/>
        </w:rPr>
        <w:t xml:space="preserve">):</w:t>
      </w:r>
      <w:r>
        <w:t xml:space="preserve"> </w:t>
      </w:r>
      <w:r>
        <w:t xml:space="preserve">Epithelial-to-mesenchymal transition (EMT), stemness, and targeted therapy bypass markers (Lung:</w:t>
      </w:r>
      <w:r>
        <w:t xml:space="preserve"> </w:t>
      </w:r>
      <w:r>
        <w:rPr>
          <w:i/>
          <w:iCs/>
        </w:rPr>
        <w:t xml:space="preserve">VIM, AXL, CDH2, MMP2</w:t>
      </w:r>
      <w:r>
        <w:t xml:space="preserve">; Breast:</w:t>
      </w:r>
      <w:r>
        <w:t xml:space="preserve"> </w:t>
      </w:r>
      <w:r>
        <w:rPr>
          <w:i/>
          <w:iCs/>
        </w:rPr>
        <w:t xml:space="preserve">VIM, CDH2, ZEB1, AXL, MMP2</w:t>
      </w:r>
      <w:r>
        <w:t xml:space="preserve">; Melanoma:</w:t>
      </w:r>
      <w:r>
        <w:t xml:space="preserve"> </w:t>
      </w:r>
      <w:r>
        <w:rPr>
          <w:i/>
          <w:iCs/>
        </w:rPr>
        <w:t xml:space="preserve">AXL, VIM, WNT5A, EGFR</w:t>
      </w:r>
      <w:r>
        <w:t xml:space="preserve">).</w:t>
      </w:r>
      <w:r>
        <w:t xml:space="preserve"> </w:t>
      </w:r>
      <w:r>
        <w:t xml:space="preserve">-</w:t>
      </w:r>
      <w:r>
        <w:t xml:space="preserve"> </w:t>
      </w:r>
      <w:r>
        <w:rPr>
          <w:b/>
          <w:bCs/>
        </w:rPr>
        <w:t xml:space="preserve">Cancer-Associated Fibroblasts (</w:t>
      </w:r>
      <m:oMath>
        <m:sSub>
          <m:e>
            <m:r>
              <m:t>S</m:t>
            </m:r>
          </m:e>
          <m:sub>
            <m:r>
              <m:t>C</m:t>
            </m:r>
            <m:r>
              <m:t>A</m:t>
            </m:r>
            <m:r>
              <m:t>F</m:t>
            </m:r>
          </m:sub>
        </m:sSub>
      </m:oMath>
      <w:r>
        <w:rPr>
          <w:b/>
          <w:bCs/>
        </w:rPr>
        <w:t xml:space="preserve">):</w:t>
      </w:r>
      <w:r>
        <w:t xml:space="preserve"> </w:t>
      </w:r>
      <w:r>
        <w:t xml:space="preserve">Reactive stromal myofibroblast markers (</w:t>
      </w:r>
      <w:r>
        <w:rPr>
          <w:i/>
          <w:iCs/>
        </w:rPr>
        <w:t xml:space="preserve">ACTA2, COL1A1, FAP, PDGFRB</w:t>
      </w:r>
      <w:r>
        <w:t xml:space="preserve">).</w:t>
      </w:r>
      <w:r>
        <w:t xml:space="preserve"> </w:t>
      </w:r>
      <w:r>
        <w:t xml:space="preserve">-</w:t>
      </w:r>
      <w:r>
        <w:t xml:space="preserve"> </w:t>
      </w:r>
      <w:r>
        <w:rPr>
          <w:b/>
          <w:bCs/>
        </w:rPr>
        <w:t xml:space="preserve">Instantaneous Proliferation/Fitness (</w:t>
      </w:r>
      <m:oMath>
        <m:r>
          <m:t>w</m:t>
        </m:r>
      </m:oMath>
      <w:r>
        <w:rPr>
          <w:b/>
          <w:bCs/>
        </w:rPr>
        <w:t xml:space="preserve">):</w:t>
      </w:r>
      <w:r>
        <w:t xml:space="preserve"> </w:t>
      </w:r>
      <w:r>
        <w:t xml:space="preserve">Core cell-cycle progression and DNA replication machinery (</w:t>
      </w:r>
      <w:r>
        <w:rPr>
          <w:i/>
          <w:iCs/>
        </w:rPr>
        <w:t xml:space="preserve">MKI67, PCNA, TOP2A, CDK1</w:t>
      </w:r>
      <w:r>
        <w:t xml:space="preserve">).</w:t>
      </w:r>
      <w:r>
        <w:t xml:space="preserve"> </w:t>
      </w:r>
      <w:r>
        <w:t xml:space="preserve">-</w:t>
      </w:r>
      <w:r>
        <w:t xml:space="preserve"> </w:t>
      </w:r>
      <w:r>
        <w:rPr>
          <w:b/>
          <w:bCs/>
        </w:rPr>
        <w:t xml:space="preserve">Extrinsic Hypoxia Microenvironment (</w:t>
      </w:r>
      <m:oMath>
        <m:sSub>
          <m:e>
            <m:r>
              <m:t>Z</m:t>
            </m:r>
          </m:e>
          <m:sub>
            <m:r>
              <m:t>h</m:t>
            </m:r>
            <m:r>
              <m:t>y</m:t>
            </m:r>
            <m:r>
              <m:t>p</m:t>
            </m:r>
          </m:sub>
        </m:sSub>
      </m:oMath>
      <w:r>
        <w:rPr>
          <w:b/>
          <w:bCs/>
        </w:rPr>
        <w:t xml:space="preserve">):</w:t>
      </w:r>
      <w:r>
        <w:t xml:space="preserve"> </w:t>
      </w:r>
      <w:r>
        <w:t xml:space="preserve">Transcriptional downstream targets of the hypoxic response (</w:t>
      </w:r>
      <w:r>
        <w:rPr>
          <w:i/>
          <w:iCs/>
        </w:rPr>
        <w:t xml:space="preserve">CA9, VEGFA, HIF1A</w:t>
      </w:r>
      <w:r>
        <w:t xml:space="preserve">).</w:t>
      </w:r>
      <w:r>
        <w:t xml:space="preserve"> </w:t>
      </w:r>
      <w:r>
        <w:t xml:space="preserve">-</w:t>
      </w:r>
      <w:r>
        <w:t xml:space="preserve"> </w:t>
      </w:r>
      <w:r>
        <w:rPr>
          <w:b/>
          <w:bCs/>
        </w:rPr>
        <w:t xml:space="preserve">Vascular Endothelial Density (</w:t>
      </w:r>
      <m:oMath>
        <m:sSub>
          <m:e>
            <m:r>
              <m:t>Z</m:t>
            </m:r>
          </m:e>
          <m:sub>
            <m:r>
              <m:t>v</m:t>
            </m:r>
            <m:r>
              <m:t>a</m:t>
            </m:r>
            <m:r>
              <m:t>s</m:t>
            </m:r>
            <m:r>
              <m:t>c</m:t>
            </m:r>
          </m:sub>
        </m:sSub>
      </m:oMath>
      <w:r>
        <w:rPr>
          <w:b/>
          <w:bCs/>
        </w:rPr>
        <w:t xml:space="preserve">):</w:t>
      </w:r>
      <w:r>
        <w:t xml:space="preserve"> </w:t>
      </w:r>
      <w:r>
        <w:t xml:space="preserve">Angiogenic vessel markers (</w:t>
      </w:r>
      <w:r>
        <w:rPr>
          <w:i/>
          <w:iCs/>
        </w:rPr>
        <w:t xml:space="preserve">PECAM1, VWF</w:t>
      </w:r>
      <w:r>
        <w:t xml:space="preserve">).</w:t>
      </w:r>
    </w:p>
    <w:bookmarkStart w:id="26" w:name="X202d3702a1890e8597141da62676c7cd463d366"/>
    <w:p>
      <w:pPr>
        <w:pStyle w:val="Heading4"/>
      </w:pPr>
      <w:r>
        <w:t xml:space="preserve">Biological Rationale for Lineage Marker Assignment</w:t>
      </w:r>
    </w:p>
    <w:p>
      <w:pPr>
        <w:pStyle w:val="FirstParagraph"/>
      </w:pPr>
      <w:r>
        <w:t xml:space="preserve">In lung SCC,</w:t>
      </w:r>
      <w:r>
        <w:t xml:space="preserve"> </w:t>
      </w:r>
      <w:r>
        <w:rPr>
          <w:i/>
          <w:iCs/>
        </w:rPr>
        <w:t xml:space="preserve">EGFR</w:t>
      </w:r>
      <w:r>
        <w:t xml:space="preserve"> </w:t>
      </w:r>
      <w:r>
        <w:t xml:space="preserve">serves as a classic driver marker of the epithelial carcinoma compartment (</w:t>
      </w:r>
      <m:oMath>
        <m:sSub>
          <m:e>
            <m:r>
              <m:t>T</m:t>
            </m:r>
          </m:e>
          <m:sub>
            <m:r>
              <m:t>S</m:t>
            </m:r>
          </m:sub>
        </m:sSub>
      </m:oMath>
      <w:r>
        <w:t xml:space="preserve">). In contrast, in cutaneous melanoma, differentiated melanocytic cells are characterized by</w:t>
      </w:r>
      <w:r>
        <w:t xml:space="preserve"> </w:t>
      </w:r>
      <w:r>
        <w:rPr>
          <w:i/>
          <w:iCs/>
        </w:rPr>
        <w:t xml:space="preserve">MITF, MLANA, TYR</w:t>
      </w:r>
      <w:r>
        <w:t xml:space="preserve">, while upregulation of</w:t>
      </w:r>
      <w:r>
        <w:t xml:space="preserve"> </w:t>
      </w:r>
      <w:r>
        <w:rPr>
          <w:i/>
          <w:iCs/>
        </w:rPr>
        <w:t xml:space="preserve">EGFR</w:t>
      </w:r>
      <w:r>
        <w:t xml:space="preserve"> </w:t>
      </w:r>
      <w:r>
        <w:t xml:space="preserve">represents a well-documented non-mutational receptor tyrosine kinase (RTK) bypass mechanism driving resistance to BRAF and MEK inhibitors (Prahallad et al., 2012; Kemper et al., 2014; Sun et al., 2014).</w:t>
      </w:r>
    </w:p>
    <w:bookmarkEnd w:id="26"/>
    <w:bookmarkStart w:id="27" w:name="Xf9f11eb60b7e9ff6d4aa51dfad17325a7b83af4"/>
    <w:p>
      <w:pPr>
        <w:pStyle w:val="Heading4"/>
      </w:pPr>
      <w:r>
        <w:t xml:space="preserve">Biological Overlap and Confounding Considerations</w:t>
      </w:r>
    </w:p>
    <w:p>
      <w:pPr>
        <w:pStyle w:val="FirstParagraph"/>
      </w:pPr>
      <w:r>
        <w:t xml:space="preserve">We note several important biological caveats inherent to marker-based module scoring in multi-cellular spatial spots:</w:t>
      </w:r>
      <w:r>
        <w:t xml:space="preserve"> </w:t>
      </w:r>
      <w:r>
        <w:t xml:space="preserve">1.</w:t>
      </w:r>
      <w:r>
        <w:t xml:space="preserve"> </w:t>
      </w:r>
      <w:r>
        <w:rPr>
          <w:b/>
          <w:bCs/>
        </w:rPr>
        <w:t xml:space="preserve">Mesenchymal Overlap:</w:t>
      </w:r>
      <w:r>
        <w:t xml:space="preserve"> </w:t>
      </w:r>
      <w:r>
        <w:t xml:space="preserve">Canonical EMT markers (</w:t>
      </w:r>
      <w:r>
        <w:rPr>
          <w:i/>
          <w:iCs/>
        </w:rPr>
        <w:t xml:space="preserve">VIM, CDH2, AXL, MMP2</w:t>
      </w:r>
      <w:r>
        <w:t xml:space="preserve">) are also expressed by stromal fibroblasts, endothelial cells, and immune elements. In treatment-naive archival biopsies where drug challenge was not experimentally applied,</w:t>
      </w:r>
      <w:r>
        <w:t xml:space="preserve"> </w:t>
      </w:r>
      <m:oMath>
        <m:sSub>
          <m:e>
            <m:r>
              <m:t>T</m:t>
            </m:r>
          </m:e>
          <m:sub>
            <m:r>
              <m:t>S</m:t>
            </m:r>
          </m:sub>
        </m:sSub>
      </m:oMath>
      <w:r>
        <w:t xml:space="preserve"> </w:t>
      </w:r>
      <w:r>
        <w:t xml:space="preserve">and</w:t>
      </w:r>
      <w:r>
        <w:t xml:space="preserve"> </w:t>
      </w:r>
      <m:oMath>
        <m:sSub>
          <m:e>
            <m:r>
              <m:t>T</m:t>
            </m:r>
          </m:e>
          <m:sub>
            <m:r>
              <m:t>R</m:t>
            </m:r>
          </m:sub>
        </m:sSub>
      </m:oMath>
      <w:r>
        <w:t xml:space="preserve"> </w:t>
      </w:r>
      <w:r>
        <w:t xml:space="preserve">represent</w:t>
      </w:r>
      <w:r>
        <w:t xml:space="preserve"> </w:t>
      </w:r>
      <w:r>
        <w:rPr>
          <w:b/>
          <w:bCs/>
        </w:rPr>
        <w:t xml:space="preserve">hypothesized phenotypic archetypes</w:t>
      </w:r>
      <w:r>
        <w:t xml:space="preserve"> </w:t>
      </w:r>
      <w:r>
        <w:t xml:space="preserve">(epithelial/differentiated vs mesenchymal/stem-like) rather than confirmed clones carrying verified drug-resistant mutations. In our data, raw module scores for</w:t>
      </w:r>
      <w:r>
        <w:t xml:space="preserve"> </w:t>
      </w:r>
      <m:oMath>
        <m:sSub>
          <m:e>
            <m:r>
              <m:t>T</m:t>
            </m:r>
          </m:e>
          <m:sub>
            <m:r>
              <m:t>R</m:t>
            </m:r>
          </m:sub>
        </m:sSub>
      </m:oMath>
      <w:r>
        <w:t xml:space="preserve"> </w:t>
      </w:r>
      <w:r>
        <w:t xml:space="preserve">and</w:t>
      </w:r>
      <w:r>
        <w:t xml:space="preserve"> </w:t>
      </w:r>
      <m:oMath>
        <m:sSub>
          <m:e>
            <m:r>
              <m:t>S</m:t>
            </m:r>
          </m:e>
          <m:sub>
            <m:r>
              <m:t>C</m:t>
            </m:r>
            <m:r>
              <m:t>A</m:t>
            </m:r>
            <m:r>
              <m:t>F</m:t>
            </m:r>
          </m:sub>
        </m:sSub>
      </m:oMath>
      <w:r>
        <w:t xml:space="preserve"> </w:t>
      </w:r>
      <w:r>
        <w:t xml:space="preserve">show positive correlation (</w:t>
      </w:r>
      <m:oMath>
        <m:r>
          <m:t>r</m:t>
        </m:r>
        <m:r>
          <m:rPr>
            <m:sty m:val="p"/>
          </m:rPr>
          <m:t>=</m:t>
        </m:r>
        <m:r>
          <m:t>0.675</m:t>
        </m:r>
      </m:oMath>
      <w:r>
        <w:t xml:space="preserve"> </w:t>
      </w:r>
      <w:r>
        <w:t xml:space="preserve">in Lung,</w:t>
      </w:r>
      <w:r>
        <w:t xml:space="preserve"> </w:t>
      </w:r>
      <m:oMath>
        <m:r>
          <m:t>r</m:t>
        </m:r>
        <m:r>
          <m:rPr>
            <m:sty m:val="p"/>
          </m:rPr>
          <m:t>=</m:t>
        </m:r>
        <m:r>
          <m:t>0.648</m:t>
        </m:r>
      </m:oMath>
      <w:r>
        <w:t xml:space="preserve"> </w:t>
      </w:r>
      <w:r>
        <w:t xml:space="preserve">in Breast,</w:t>
      </w:r>
      <w:r>
        <w:t xml:space="preserve"> </w:t>
      </w:r>
      <m:oMath>
        <m:r>
          <m:t>r</m:t>
        </m:r>
        <m:r>
          <m:rPr>
            <m:sty m:val="p"/>
          </m:rPr>
          <m:t>=</m:t>
        </m:r>
        <m:r>
          <m:t>0.454</m:t>
        </m:r>
      </m:oMath>
      <w:r>
        <w:t xml:space="preserve"> </w:t>
      </w:r>
      <w:r>
        <w:t xml:space="preserve">in Melanoma), confirming shared mesenchymal gene expression while retaining</w:t>
      </w:r>
      <w:r>
        <w:t xml:space="preserve"> </w:t>
      </w:r>
      <m:oMath>
        <m:r>
          <m:t>55</m:t>
        </m:r>
        <m:r>
          <m:rPr>
            <m:sty m:val="p"/>
          </m:rPr>
          <m:t>%</m:t>
        </m:r>
        <m:r>
          <m:rPr>
            <m:nor/>
            <m:sty m:val="p"/>
          </m:rPr>
          <m:t>–</m:t>
        </m:r>
        <m:r>
          <m:t>80</m:t>
        </m:r>
        <m:r>
          <m:rPr>
            <m:sty m:val="p"/>
          </m:rPr>
          <m:t>%</m:t>
        </m:r>
      </m:oMath>
      <w:r>
        <w:t xml:space="preserve"> </w:t>
      </w:r>
      <w:r>
        <w:t xml:space="preserve">independent variance relative to the 4-gene CAF signature.</w:t>
      </w:r>
      <w:r>
        <w:t xml:space="preserve"> </w:t>
      </w:r>
      <w:r>
        <w:t xml:space="preserve">2.</w:t>
      </w:r>
      <w:r>
        <w:t xml:space="preserve"> </w:t>
      </w:r>
      <w:r>
        <w:rPr>
          <w:b/>
          <w:bCs/>
        </w:rPr>
        <w:t xml:space="preserve">Proliferation Signature Cellularity:</w:t>
      </w:r>
      <w:r>
        <w:t xml:space="preserve"> </w:t>
      </w:r>
      <w:r>
        <w:t xml:space="preserve">Proliferation genes (</w:t>
      </w:r>
      <w:r>
        <w:rPr>
          <w:i/>
          <w:iCs/>
        </w:rPr>
        <w:t xml:space="preserve">MKI67, PCNA, TOP2A, CDK1</w:t>
      </w:r>
      <w:r>
        <w:t xml:space="preserve">) are expressed primarily in the epithelial neoplastic parenchyma. In raw module scores,</w:t>
      </w:r>
      <w:r>
        <w:t xml:space="preserve"> </w:t>
      </w:r>
      <m:oMath>
        <m:sSub>
          <m:e>
            <m:r>
              <m:t>w</m:t>
            </m:r>
          </m:e>
          <m:sub>
            <m:r>
              <m:t>r</m:t>
            </m:r>
            <m:r>
              <m:t>a</m:t>
            </m:r>
            <m:r>
              <m:t>w</m:t>
            </m:r>
          </m:sub>
        </m:sSub>
      </m:oMath>
      <w:r>
        <w:t xml:space="preserve"> </w:t>
      </w:r>
      <w:r>
        <w:t xml:space="preserve">correlates positively with</w:t>
      </w:r>
      <w:r>
        <w:t xml:space="preserve"> </w:t>
      </w:r>
      <m:oMath>
        <m:sSub>
          <m:e>
            <m:r>
              <m:t>T</m:t>
            </m:r>
          </m:e>
          <m:sub>
            <m:r>
              <m:t>S</m:t>
            </m:r>
          </m:sub>
        </m:sSub>
      </m:oMath>
      <w:r>
        <w:t xml:space="preserve"> </w:t>
      </w:r>
      <w:r>
        <w:t xml:space="preserve">(</w:t>
      </w:r>
      <m:oMath>
        <m:r>
          <m:t>r</m:t>
        </m:r>
        <m:r>
          <m:rPr>
            <m:sty m:val="p"/>
          </m:rPr>
          <m:t>=</m:t>
        </m:r>
        <m:r>
          <m:rPr>
            <m:sty m:val="p"/>
          </m:rPr>
          <m:t>+</m:t>
        </m:r>
        <m:r>
          <m:t>0.709</m:t>
        </m:r>
      </m:oMath>
      <w:r>
        <w:t xml:space="preserve"> </w:t>
      </w:r>
      <w:r>
        <w:t xml:space="preserve">in Lung,</w:t>
      </w:r>
      <w:r>
        <w:t xml:space="preserve"> </w:t>
      </w:r>
      <m:oMath>
        <m:r>
          <m:rPr>
            <m:sty m:val="p"/>
          </m:rPr>
          <m:t>+</m:t>
        </m:r>
        <m:r>
          <m:t>0.662</m:t>
        </m:r>
      </m:oMath>
      <w:r>
        <w:t xml:space="preserve"> </w:t>
      </w:r>
      <w:r>
        <w:t xml:space="preserve">in Breast,</w:t>
      </w:r>
      <w:r>
        <w:t xml:space="preserve"> </w:t>
      </w:r>
      <m:oMath>
        <m:r>
          <m:rPr>
            <m:sty m:val="p"/>
          </m:rPr>
          <m:t>+</m:t>
        </m:r>
        <m:r>
          <m:t>0.683</m:t>
        </m:r>
      </m:oMath>
      <w:r>
        <w:t xml:space="preserve"> </w:t>
      </w:r>
      <w:r>
        <w:t xml:space="preserve">in Melanoma) and negatively with</w:t>
      </w:r>
      <w:r>
        <w:t xml:space="preserve"> </w:t>
      </w:r>
      <m:oMath>
        <m:sSub>
          <m:e>
            <m:r>
              <m:t>T</m:t>
            </m:r>
          </m:e>
          <m:sub>
            <m:r>
              <m:t>R</m:t>
            </m:r>
          </m:sub>
        </m:sSub>
      </m:oMath>
      <w:r>
        <w:t xml:space="preserve"> </w:t>
      </w:r>
      <w:r>
        <w:t xml:space="preserve">(</w:t>
      </w:r>
      <m:oMath>
        <m:r>
          <m:t>r</m:t>
        </m:r>
        <m:r>
          <m:rPr>
            <m:sty m:val="p"/>
          </m:rPr>
          <m:t>=</m:t>
        </m:r>
        <m:r>
          <m:rPr>
            <m:sty m:val="p"/>
          </m:rPr>
          <m:t>−</m:t>
        </m:r>
        <m:r>
          <m:t>0.537</m:t>
        </m:r>
        <m:r>
          <m:rPr>
            <m:sty m:val="p"/>
          </m:rPr>
          <m:t>,</m:t>
        </m:r>
        <m:r>
          <m:rPr>
            <m:sty m:val="p"/>
          </m:rPr>
          <m:t>−</m:t>
        </m:r>
        <m:r>
          <m:t>0.366</m:t>
        </m:r>
        <m:r>
          <m:rPr>
            <m:sty m:val="p"/>
          </m:rPr>
          <m:t>,</m:t>
        </m:r>
        <m:r>
          <m:rPr>
            <m:sty m:val="p"/>
          </m:rPr>
          <m:t>−</m:t>
        </m:r>
        <m:r>
          <m:t>0.154</m:t>
        </m:r>
      </m:oMath>
      <w:r>
        <w:t xml:space="preserve">) and stroma (</w:t>
      </w:r>
      <m:oMath>
        <m:r>
          <m:t>r</m:t>
        </m:r>
        <m:r>
          <m:rPr>
            <m:sty m:val="p"/>
          </m:rPr>
          <m:t>=</m:t>
        </m:r>
        <m:r>
          <m:rPr>
            <m:sty m:val="p"/>
          </m:rPr>
          <m:t>−</m:t>
        </m:r>
        <m:r>
          <m:t>0.314</m:t>
        </m:r>
        <m:r>
          <m:rPr>
            <m:sty m:val="p"/>
          </m:rPr>
          <m:t>,</m:t>
        </m:r>
        <m:r>
          <m:rPr>
            <m:sty m:val="p"/>
          </m:rPr>
          <m:t>−</m:t>
        </m:r>
        <m:r>
          <m:t>0.444</m:t>
        </m:r>
        <m:r>
          <m:rPr>
            <m:sty m:val="p"/>
          </m:rPr>
          <m:t>,</m:t>
        </m:r>
        <m:r>
          <m:rPr>
            <m:sty m:val="p"/>
          </m:rPr>
          <m:t>−</m:t>
        </m:r>
        <m:r>
          <m:t>0.434</m:t>
        </m:r>
      </m:oMath>
      <w:r>
        <w:t xml:space="preserve">). Rather than proving a physiological metabolic cost of resistance, this negative association in treatment-naive tissue reflects local epithelial tumor cellularity across spots.</w:t>
      </w:r>
      <w:r>
        <w:t xml:space="preserve"> </w:t>
      </w:r>
      <w:r>
        <w:t xml:space="preserve">3.</w:t>
      </w:r>
      <w:r>
        <w:t xml:space="preserve"> </w:t>
      </w:r>
      <w:r>
        <w:rPr>
          <w:b/>
          <w:bCs/>
        </w:rPr>
        <w:t xml:space="preserve">Hypoxia Target Selection:</w:t>
      </w:r>
      <w:r>
        <w:t xml:space="preserve"> </w:t>
      </w:r>
      <w:r>
        <w:t xml:space="preserve">Although</w:t>
      </w:r>
      <w:r>
        <w:t xml:space="preserve"> </w:t>
      </w:r>
      <w:r>
        <w:rPr>
          <w:i/>
          <w:iCs/>
        </w:rPr>
        <w:t xml:space="preserve">HIF1A</w:t>
      </w:r>
      <w:r>
        <w:t xml:space="preserve"> </w:t>
      </w:r>
      <w:r>
        <w:t xml:space="preserve">mRNA was quantified, HIF1</w:t>
      </w:r>
      <m:oMath>
        <m:r>
          <m:t>α</m:t>
        </m:r>
      </m:oMath>
      <w:r>
        <w:t xml:space="preserve"> </w:t>
      </w:r>
      <w:r>
        <w:t xml:space="preserve">protein stability is primarily regulated post-translationally by oxygen-dependent prolyl-hydroxylases and VHL-mediated proteasomal degradation. Therefore, our hypoxia signature relies predominantly on its established downstream transcriptional targets (</w:t>
      </w:r>
      <w:r>
        <w:rPr>
          <w:i/>
          <w:iCs/>
        </w:rPr>
        <w:t xml:space="preserve">CA9, VEGFA</w:t>
      </w:r>
      <w:r>
        <w:t xml:space="preserve">), which reflect functional hypoxia-inducible factor transactivation.</w:t>
      </w:r>
    </w:p>
    <w:p>
      <w:pPr>
        <w:pStyle w:val="BodyText"/>
      </w:pPr>
      <w:r>
        <w:t xml:space="preserve">Library-size normalized and log-transformed expression for gene</w:t>
      </w:r>
      <w:r>
        <w:t xml:space="preserve"> </w:t>
      </w:r>
      <m:oMath>
        <m:r>
          <m:t>g</m:t>
        </m:r>
      </m:oMath>
      <w:r>
        <w:t xml:space="preserve"> </w:t>
      </w:r>
      <w:r>
        <w:t xml:space="preserve">at spot</w:t>
      </w:r>
      <w:r>
        <w:t xml:space="preserve"> </w:t>
      </w:r>
      <m:oMath>
        <m:r>
          <m:t>s</m:t>
        </m:r>
      </m:oMath>
      <w:r>
        <w:t xml:space="preserve"> </w:t>
      </w:r>
      <w:r>
        <w:t xml:space="preserve">was computed as:</w:t>
      </w:r>
    </w:p>
    <w:p>
      <w:pPr>
        <w:pStyle w:val="BodyText"/>
      </w:pPr>
      <m:oMathPara>
        <m:oMathParaPr>
          <m:jc m:val="center"/>
        </m:oMathParaPr>
        <m:oMath>
          <m:sSub>
            <m:e>
              <m:r>
                <m:t>E</m:t>
              </m:r>
            </m:e>
            <m:sub>
              <m:r>
                <m:t>g</m:t>
              </m:r>
              <m:r>
                <m:rPr>
                  <m:sty m:val="p"/>
                </m:rPr>
                <m:t>,</m:t>
              </m:r>
              <m:r>
                <m:t>s</m:t>
              </m:r>
            </m:sub>
          </m:sSub>
          <m:r>
            <m:rPr>
              <m:sty m:val="p"/>
            </m:rPr>
            <m:t>=</m:t>
          </m:r>
          <m:r>
            <m:rPr>
              <m:sty m:val="p"/>
            </m:rPr>
            <m:t>ln</m:t>
          </m:r>
          <m:d>
            <m:dPr>
              <m:begChr m:val="("/>
              <m:endChr m:val=")"/>
              <m:sepChr m:val=""/>
              <m:grow/>
            </m:dPr>
            <m:e>
              <m:r>
                <m:t>1</m:t>
              </m:r>
              <m:r>
                <m:rPr>
                  <m:sty m:val="p"/>
                </m:rPr>
                <m:t>+</m:t>
              </m:r>
              <m:f>
                <m:fPr>
                  <m:type m:val="bar"/>
                </m:fPr>
                <m:num>
                  <m:sSub>
                    <m:e>
                      <m:r>
                        <m:t>C</m:t>
                      </m:r>
                    </m:e>
                    <m:sub>
                      <m:r>
                        <m:t>g</m:t>
                      </m:r>
                      <m:r>
                        <m:rPr>
                          <m:sty m:val="p"/>
                        </m:rPr>
                        <m:t>,</m:t>
                      </m:r>
                      <m:r>
                        <m:t>s</m:t>
                      </m:r>
                    </m:sub>
                  </m:sSub>
                </m:num>
                <m:den>
                  <m:nary>
                    <m:naryPr>
                      <m:chr m:val="∑"/>
                      <m:limLoc m:val="undOvr"/>
                      <m:subHide m:val="off"/>
                      <m:supHide m:val="on"/>
                    </m:naryPr>
                    <m:sub>
                      <m:r>
                        <m:t>k</m:t>
                      </m:r>
                    </m:sub>
                    <m:sup>
                      <m:r>
                        <m:t>​</m:t>
                      </m:r>
                    </m:sup>
                    <m:e>
                      <m:sSub>
                        <m:e>
                          <m:r>
                            <m:t>C</m:t>
                          </m:r>
                        </m:e>
                        <m:sub>
                          <m:r>
                            <m:t>k</m:t>
                          </m:r>
                          <m:r>
                            <m:rPr>
                              <m:sty m:val="p"/>
                            </m:rPr>
                            <m:t>,</m:t>
                          </m:r>
                          <m:r>
                            <m:t>s</m:t>
                          </m:r>
                        </m:sub>
                      </m:sSub>
                    </m:e>
                  </m:nary>
                </m:den>
              </m:f>
              <m:r>
                <m:rPr>
                  <m:sty m:val="p"/>
                </m:rPr>
                <m:t>×</m:t>
              </m:r>
              <m:sSup>
                <m:e>
                  <m:r>
                    <m:t>10</m:t>
                  </m:r>
                </m:e>
                <m:sup>
                  <m:r>
                    <m:t>4</m:t>
                  </m:r>
                </m:sup>
              </m:sSup>
            </m:e>
          </m:d>
        </m:oMath>
      </m:oMathPara>
    </w:p>
    <w:p>
      <w:pPr>
        <w:pStyle w:val="FirstParagraph"/>
      </w:pPr>
      <w:r>
        <w:t xml:space="preserve">Module scores were calculated as the unweighted mean expression of component genes. To obtain spot-level phenotypic frequencies satisfying the unit simplex condition</w:t>
      </w:r>
      <w:r>
        <w:t xml:space="preserve"> </w:t>
      </w:r>
      <m:oMath>
        <m:nary>
          <m:naryPr>
            <m:chr m:val="∑"/>
            <m:limLoc m:val="undOvr"/>
            <m:subHide m:val="off"/>
            <m:supHide m:val="on"/>
          </m:naryPr>
          <m:sub>
            <m:r>
              <m:t>i</m:t>
            </m:r>
          </m:sub>
          <m:sup>
            <m:r>
              <m:t>​</m:t>
            </m:r>
          </m:sup>
          <m:e>
            <m:sSub>
              <m:e>
                <m:r>
                  <m:t>f</m:t>
                </m:r>
              </m:e>
              <m:sub>
                <m:r>
                  <m:t>i</m:t>
                </m:r>
                <m:r>
                  <m:rPr>
                    <m:sty m:val="p"/>
                  </m:rPr>
                  <m:t>,</m:t>
                </m:r>
                <m:r>
                  <m:t>s</m:t>
                </m:r>
              </m:sub>
            </m:sSub>
          </m:e>
        </m:nary>
        <m:r>
          <m:rPr>
            <m:sty m:val="p"/>
          </m:rPr>
          <m:t>=</m:t>
        </m:r>
        <m:r>
          <m:t>1</m:t>
        </m:r>
      </m:oMath>
      <w:r>
        <w:t xml:space="preserve">, module scores were transformed via a softmax function with explicit unit temperature</w:t>
      </w:r>
      <w:r>
        <w:t xml:space="preserve"> </w:t>
      </w:r>
      <m:oMath>
        <m:r>
          <m:t>T</m:t>
        </m:r>
        <m:r>
          <m:rPr>
            <m:sty m:val="p"/>
          </m:rPr>
          <m:t>=</m:t>
        </m:r>
        <m:r>
          <m:t>1.0</m:t>
        </m:r>
      </m:oMath>
      <w:r>
        <w:t xml:space="preserve">:</w:t>
      </w:r>
    </w:p>
    <w:p>
      <w:pPr>
        <w:pStyle w:val="BodyText"/>
      </w:pPr>
      <m:oMathPara>
        <m:oMathParaPr>
          <m:jc m:val="center"/>
        </m:oMathParaPr>
        <m:oMath>
          <m:sSub>
            <m:e>
              <m:r>
                <m:t>f</m:t>
              </m:r>
            </m:e>
            <m:sub>
              <m:r>
                <m:t>i</m:t>
              </m:r>
              <m:r>
                <m:rPr>
                  <m:sty m:val="p"/>
                </m:rPr>
                <m:t>,</m:t>
              </m:r>
              <m:r>
                <m:t>s</m:t>
              </m:r>
            </m:sub>
          </m:sSub>
          <m:r>
            <m:rPr>
              <m:sty m:val="p"/>
            </m:rPr>
            <m:t>=</m:t>
          </m:r>
          <m:f>
            <m:fPr>
              <m:type m:val="bar"/>
            </m:fPr>
            <m:num>
              <m:r>
                <m:rPr>
                  <m:sty m:val="p"/>
                </m:rPr>
                <m:t>exp</m:t>
              </m:r>
              <m:d>
                <m:dPr>
                  <m:begChr m:val="("/>
                  <m:endChr m:val=")"/>
                  <m:sepChr m:val=""/>
                  <m:grow/>
                </m:dPr>
                <m:e>
                  <m:d>
                    <m:dPr>
                      <m:begChr m:val="("/>
                      <m:endChr m:val=")"/>
                      <m:sepChr m:val=""/>
                      <m:grow/>
                    </m:dPr>
                    <m:e>
                      <m:sSub>
                        <m:e>
                          <m:r>
                            <m:t>M</m:t>
                          </m:r>
                        </m:e>
                        <m:sub>
                          <m:r>
                            <m:t>i</m:t>
                          </m:r>
                          <m:r>
                            <m:rPr>
                              <m:sty m:val="p"/>
                            </m:rPr>
                            <m:t>,</m:t>
                          </m:r>
                          <m:r>
                            <m:t>s</m:t>
                          </m:r>
                        </m:sub>
                      </m:sSub>
                      <m:r>
                        <m:rPr>
                          <m:sty m:val="p"/>
                        </m:rPr>
                        <m:t>−</m:t>
                      </m:r>
                      <m:limLow>
                        <m:e>
                          <m:r>
                            <m:rPr>
                              <m:sty m:val="p"/>
                            </m:rPr>
                            <m:t>max</m:t>
                          </m:r>
                        </m:e>
                        <m:lim>
                          <m:r>
                            <m:t>k</m:t>
                          </m:r>
                        </m:lim>
                      </m:limLow>
                      <m:sSub>
                        <m:e>
                          <m:r>
                            <m:t>M</m:t>
                          </m:r>
                        </m:e>
                        <m:sub>
                          <m:r>
                            <m:t>k</m:t>
                          </m:r>
                          <m:r>
                            <m:rPr>
                              <m:sty m:val="p"/>
                            </m:rPr>
                            <m:t>,</m:t>
                          </m:r>
                          <m:r>
                            <m:t>s</m:t>
                          </m:r>
                        </m:sub>
                      </m:sSub>
                    </m:e>
                  </m:d>
                  <m:r>
                    <m:rPr>
                      <m:sty m:val="p"/>
                    </m:rPr>
                    <m:t>/</m:t>
                  </m:r>
                  <m:r>
                    <m:t>T</m:t>
                  </m:r>
                </m:e>
              </m:d>
            </m:num>
            <m:den>
              <m:nary>
                <m:naryPr>
                  <m:chr m:val="∑"/>
                  <m:limLoc m:val="undOvr"/>
                  <m:subHide m:val="off"/>
                  <m:supHide m:val="on"/>
                </m:naryPr>
                <m:sub>
                  <m:r>
                    <m:t>j</m:t>
                  </m:r>
                  <m:r>
                    <m:rPr>
                      <m:sty m:val="p"/>
                    </m:rPr>
                    <m:t>∈</m:t>
                  </m:r>
                  <m:r>
                    <m:rPr>
                      <m:sty m:val="p"/>
                    </m:rPr>
                    <m:t>{</m:t>
                  </m:r>
                  <m:r>
                    <m:t>S</m:t>
                  </m:r>
                  <m:r>
                    <m:rPr>
                      <m:sty m:val="p"/>
                    </m:rPr>
                    <m:t>,</m:t>
                  </m:r>
                  <m:r>
                    <m:t>R</m:t>
                  </m:r>
                  <m:r>
                    <m:rPr>
                      <m:sty m:val="p"/>
                    </m:rPr>
                    <m:t>,</m:t>
                  </m:r>
                  <m:r>
                    <m:t>C</m:t>
                  </m:r>
                  <m:r>
                    <m:rPr>
                      <m:sty m:val="p"/>
                    </m:rPr>
                    <m:t>}</m:t>
                  </m:r>
                </m:sub>
                <m:sup>
                  <m:r>
                    <m:t>​</m:t>
                  </m:r>
                </m:sup>
                <m:e>
                  <m:r>
                    <m:rPr>
                      <m:sty m:val="p"/>
                    </m:rPr>
                    <m:t>exp</m:t>
                  </m:r>
                </m:e>
              </m:nary>
              <m:d>
                <m:dPr>
                  <m:begChr m:val="("/>
                  <m:endChr m:val=")"/>
                  <m:sepChr m:val=""/>
                  <m:grow/>
                </m:dPr>
                <m:e>
                  <m:d>
                    <m:dPr>
                      <m:begChr m:val="("/>
                      <m:endChr m:val=")"/>
                      <m:sepChr m:val=""/>
                      <m:grow/>
                    </m:dPr>
                    <m:e>
                      <m:sSub>
                        <m:e>
                          <m:r>
                            <m:t>M</m:t>
                          </m:r>
                        </m:e>
                        <m:sub>
                          <m:r>
                            <m:t>j</m:t>
                          </m:r>
                          <m:r>
                            <m:rPr>
                              <m:sty m:val="p"/>
                            </m:rPr>
                            <m:t>,</m:t>
                          </m:r>
                          <m:r>
                            <m:t>s</m:t>
                          </m:r>
                        </m:sub>
                      </m:sSub>
                      <m:r>
                        <m:rPr>
                          <m:sty m:val="p"/>
                        </m:rPr>
                        <m:t>−</m:t>
                      </m:r>
                      <m:limLow>
                        <m:e>
                          <m:r>
                            <m:rPr>
                              <m:sty m:val="p"/>
                            </m:rPr>
                            <m:t>max</m:t>
                          </m:r>
                        </m:e>
                        <m:lim>
                          <m:r>
                            <m:t>k</m:t>
                          </m:r>
                        </m:lim>
                      </m:limLow>
                      <m:sSub>
                        <m:e>
                          <m:r>
                            <m:t>M</m:t>
                          </m:r>
                        </m:e>
                        <m:sub>
                          <m:r>
                            <m:t>k</m:t>
                          </m:r>
                          <m:r>
                            <m:rPr>
                              <m:sty m:val="p"/>
                            </m:rPr>
                            <m:t>,</m:t>
                          </m:r>
                          <m:r>
                            <m:t>s</m:t>
                          </m:r>
                        </m:sub>
                      </m:sSub>
                    </m:e>
                  </m:d>
                  <m:r>
                    <m:rPr>
                      <m:sty m:val="p"/>
                    </m:rPr>
                    <m:t>/</m:t>
                  </m:r>
                  <m:r>
                    <m:t>T</m:t>
                  </m:r>
                </m:e>
              </m:d>
            </m:den>
          </m:f>
        </m:oMath>
      </m:oMathPara>
    </w:p>
    <w:p>
      <w:pPr>
        <w:pStyle w:val="FirstParagraph"/>
      </w:pPr>
      <w:r>
        <w:t xml:space="preserve">The unit temperature</w:t>
      </w:r>
      <w:r>
        <w:t xml:space="preserve"> </w:t>
      </w:r>
      <m:oMath>
        <m:r>
          <m:t>T</m:t>
        </m:r>
        <m:r>
          <m:rPr>
            <m:sty m:val="p"/>
          </m:rPr>
          <m:t>=</m:t>
        </m:r>
        <m:r>
          <m:t>1.0</m:t>
        </m:r>
      </m:oMath>
      <w:r>
        <w:t xml:space="preserve"> </w:t>
      </w:r>
      <w:r>
        <w:t xml:space="preserve">preserves the intrinsic natural variance and relative scale of log-normalized expression modules. Choosing</w:t>
      </w:r>
      <w:r>
        <w:t xml:space="preserve"> </w:t>
      </w:r>
      <m:oMath>
        <m:r>
          <m:t>T</m:t>
        </m:r>
        <m:r>
          <m:rPr>
            <m:sty m:val="p"/>
          </m:rPr>
          <m:t>≫</m:t>
        </m:r>
        <m:r>
          <m:t>1</m:t>
        </m:r>
      </m:oMath>
      <w:r>
        <w:t xml:space="preserve"> </w:t>
      </w:r>
      <w:r>
        <w:t xml:space="preserve">would smooth frequencies toward a degenerate uniform distribution (</w:t>
      </w:r>
      <m:oMath>
        <m:r>
          <m:t>1</m:t>
        </m:r>
        <m:r>
          <m:rPr>
            <m:sty m:val="p"/>
          </m:rPr>
          <m:t>/</m:t>
        </m:r>
        <m:r>
          <m:t>3</m:t>
        </m:r>
        <m:r>
          <m:rPr>
            <m:sty m:val="p"/>
          </m:rPr>
          <m:t>,</m:t>
        </m:r>
        <m:r>
          <m:t>1</m:t>
        </m:r>
        <m:r>
          <m:rPr>
            <m:sty m:val="p"/>
          </m:rPr>
          <m:t>/</m:t>
        </m:r>
        <m:r>
          <m:t>3</m:t>
        </m:r>
        <m:r>
          <m:rPr>
            <m:sty m:val="p"/>
          </m:rPr>
          <m:t>,</m:t>
        </m:r>
        <m:r>
          <m:t>1</m:t>
        </m:r>
        <m:r>
          <m:rPr>
            <m:sty m:val="p"/>
          </m:rPr>
          <m:t>/</m:t>
        </m:r>
        <m:r>
          <m:t>3</m:t>
        </m:r>
      </m:oMath>
      <w:r>
        <w:t xml:space="preserve">), inflating multicollinearity in</w:t>
      </w:r>
      <w:r>
        <w:t xml:space="preserve"> </w:t>
      </w:r>
      <m:oMath>
        <m:sSub>
          <m:e>
            <m:r>
              <m:t>X</m:t>
            </m:r>
          </m:e>
          <m:sub>
            <m:r>
              <m:t>9</m:t>
            </m:r>
          </m:sub>
        </m:sSub>
      </m:oMath>
      <w:r>
        <w:t xml:space="preserve">, whereas setting</w:t>
      </w:r>
      <w:r>
        <w:t xml:space="preserve"> </w:t>
      </w:r>
      <m:oMath>
        <m:r>
          <m:t>T</m:t>
        </m:r>
        <m:r>
          <m:rPr>
            <m:sty m:val="p"/>
          </m:rPr>
          <m:t>≪</m:t>
        </m:r>
        <m:r>
          <m:t>1</m:t>
        </m:r>
      </m:oMath>
      <w:r>
        <w:t xml:space="preserve"> </w:t>
      </w:r>
      <w:r>
        <w:t xml:space="preserve">would force binary winner-take-all assignments, artificially extinguishing multi-cellular spot mixtures. We note that the constant-sum simplex constraint naturally induces negative covariance among resulting frequencies</w:t>
      </w:r>
      <w:r>
        <w:t xml:space="preserve"> </w:t>
      </w:r>
      <m:oMath>
        <m:sSub>
          <m:e>
            <m:r>
              <m:t>f</m:t>
            </m:r>
          </m:e>
          <m:sub>
            <m:r>
              <m:t>i</m:t>
            </m:r>
          </m:sub>
        </m:sSub>
      </m:oMath>
      <w:r>
        <w:t xml:space="preserve"> </w:t>
      </w:r>
      <w:r>
        <w:t xml:space="preserve">by mathematical construction.</w:t>
      </w:r>
    </w:p>
    <w:bookmarkEnd w:id="27"/>
    <w:bookmarkEnd w:id="28"/>
    <w:bookmarkStart w:id="29" w:name="Xbe3489e1a2efab08defb85d332cdbaf680d2bba"/>
    <w:p>
      <w:pPr>
        <w:pStyle w:val="Heading3"/>
      </w:pPr>
      <w:r>
        <w:t xml:space="preserve">2.3 Microenvironmental Decoupling Architecture</w:t>
      </w:r>
    </w:p>
    <w:p>
      <w:pPr>
        <w:pStyle w:val="FirstParagraph"/>
      </w:pPr>
      <w:r>
        <w:t xml:space="preserve">In intact tumor tissue, observed cellular proliferation</w:t>
      </w:r>
      <w:r>
        <w:t xml:space="preserve"> </w:t>
      </w:r>
      <m:oMath>
        <m:sSub>
          <m:e>
            <m:r>
              <m:t>w</m:t>
            </m:r>
          </m:e>
          <m:sub>
            <m:r>
              <m:t>r</m:t>
            </m:r>
            <m:r>
              <m:t>a</m:t>
            </m:r>
            <m:r>
              <m:t>w</m:t>
            </m:r>
          </m:sub>
        </m:sSub>
      </m:oMath>
      <w:r>
        <w:t xml:space="preserve"> </w:t>
      </w:r>
      <w:r>
        <w:t xml:space="preserve">reflects both cell-cell interactions and extrinsic physical niche gradients:</w:t>
      </w:r>
    </w:p>
    <w:p>
      <w:pPr>
        <w:pStyle w:val="BodyText"/>
      </w:pPr>
      <m:oMathPara>
        <m:oMathParaPr>
          <m:jc m:val="center"/>
        </m:oMathParaPr>
        <m:oMath>
          <m:sSub>
            <m:e>
              <m:r>
                <m:t>w</m:t>
              </m:r>
            </m:e>
            <m:sub>
              <m:r>
                <m:t>r</m:t>
              </m:r>
              <m:r>
                <m:t>a</m:t>
              </m:r>
              <m:r>
                <m:t>w</m:t>
              </m:r>
              <m:r>
                <m:rPr>
                  <m:sty m:val="p"/>
                </m:rPr>
                <m:t>,</m:t>
              </m:r>
              <m:r>
                <m:t>s</m:t>
              </m:r>
            </m:sub>
          </m:sSub>
          <m:r>
            <m:rPr>
              <m:sty m:val="p"/>
            </m:rPr>
            <m:t>=</m:t>
          </m:r>
          <m:sSub>
            <m:e>
              <m:r>
                <m:t>w</m:t>
              </m:r>
            </m:e>
            <m:sub>
              <m:r>
                <m:t>g</m:t>
              </m:r>
              <m:r>
                <m:t>a</m:t>
              </m:r>
              <m:r>
                <m:t>m</m:t>
              </m:r>
              <m:r>
                <m:t>e</m:t>
              </m:r>
              <m:r>
                <m:rPr>
                  <m:sty m:val="p"/>
                </m:rPr>
                <m:t>,</m:t>
              </m:r>
              <m:r>
                <m:t>s</m:t>
              </m:r>
            </m:sub>
          </m:sSub>
          <m:r>
            <m:rPr>
              <m:sty m:val="p"/>
            </m:rPr>
            <m:t>+</m:t>
          </m:r>
          <m:sSub>
            <m:e>
              <m:r>
                <m:t>w</m:t>
              </m:r>
            </m:e>
            <m:sub>
              <m:r>
                <m:t>e</m:t>
              </m:r>
              <m:r>
                <m:t>n</m:t>
              </m:r>
              <m:r>
                <m:t>v</m:t>
              </m:r>
              <m:r>
                <m:rPr>
                  <m:sty m:val="p"/>
                </m:rPr>
                <m:t>,</m:t>
              </m:r>
              <m:r>
                <m:t>s</m:t>
              </m:r>
            </m:sub>
          </m:sSub>
          <m:r>
            <m:rPr>
              <m:sty m:val="p"/>
            </m:rPr>
            <m:t>+</m:t>
          </m:r>
          <m:sSub>
            <m:e>
              <m:r>
                <m:t>ϵ</m:t>
              </m:r>
            </m:e>
            <m:sub>
              <m:r>
                <m:t>s</m:t>
              </m:r>
            </m:sub>
          </m:sSub>
        </m:oMath>
      </m:oMathPara>
    </w:p>
    <w:p>
      <w:pPr>
        <w:pStyle w:val="FirstParagraph"/>
      </w:pPr>
      <w:r>
        <w:t xml:space="preserve">To decouple microenvironmental oxygenation and vascular supply from subclonal game interactions, we isolate</w:t>
      </w:r>
      <w:r>
        <w:t xml:space="preserve"> </w:t>
      </w:r>
      <m:oMath>
        <m:sSub>
          <m:e>
            <m:r>
              <m:t>w</m:t>
            </m:r>
          </m:e>
          <m:sub>
            <m:r>
              <m:t>e</m:t>
            </m:r>
            <m:r>
              <m:t>n</m:t>
            </m:r>
            <m:r>
              <m:t>v</m:t>
            </m:r>
          </m:sub>
        </m:sSub>
      </m:oMath>
      <w:r>
        <w:t xml:space="preserve"> </w:t>
      </w:r>
      <w:r>
        <w:t xml:space="preserve">via multivariable ordinary least squares (OLS) regression:</w:t>
      </w:r>
    </w:p>
    <w:p>
      <w:pPr>
        <w:pStyle w:val="BodyText"/>
      </w:pPr>
      <m:oMathPara>
        <m:oMathParaPr>
          <m:jc m:val="center"/>
        </m:oMathParaPr>
        <m:oMath>
          <m:sSub>
            <m:e>
              <m:r>
                <m:t>w</m:t>
              </m:r>
            </m:e>
            <m:sub>
              <m:r>
                <m:t>r</m:t>
              </m:r>
              <m:r>
                <m:t>a</m:t>
              </m:r>
              <m:r>
                <m:t>w</m:t>
              </m:r>
              <m:r>
                <m:rPr>
                  <m:sty m:val="p"/>
                </m:rPr>
                <m:t>,</m:t>
              </m:r>
              <m:r>
                <m:t>s</m:t>
              </m:r>
            </m:sub>
          </m:sSub>
          <m:r>
            <m:rPr>
              <m:sty m:val="p"/>
            </m:rPr>
            <m:t>=</m:t>
          </m:r>
          <m:sSub>
            <m:e>
              <m:r>
                <m:t>γ</m:t>
              </m:r>
            </m:e>
            <m:sub>
              <m:r>
                <m:t>0</m:t>
              </m:r>
            </m:sub>
          </m:sSub>
          <m:r>
            <m:rPr>
              <m:sty m:val="p"/>
            </m:rPr>
            <m:t>+</m:t>
          </m:r>
          <m:sSub>
            <m:e>
              <m:r>
                <m:t>γ</m:t>
              </m:r>
            </m:e>
            <m:sub>
              <m:r>
                <m:t>h</m:t>
              </m:r>
              <m:r>
                <m:t>y</m:t>
              </m:r>
              <m:r>
                <m:t>p</m:t>
              </m:r>
            </m:sub>
          </m:sSub>
          <m:sSub>
            <m:e>
              <m:r>
                <m:t>Z</m:t>
              </m:r>
            </m:e>
            <m:sub>
              <m:r>
                <m:t>h</m:t>
              </m:r>
              <m:r>
                <m:t>y</m:t>
              </m:r>
              <m:r>
                <m:t>p</m:t>
              </m:r>
              <m:r>
                <m:rPr>
                  <m:sty m:val="p"/>
                </m:rPr>
                <m:t>,</m:t>
              </m:r>
              <m:r>
                <m:t>s</m:t>
              </m:r>
            </m:sub>
          </m:sSub>
          <m:r>
            <m:rPr>
              <m:sty m:val="p"/>
            </m:rPr>
            <m:t>+</m:t>
          </m:r>
          <m:sSub>
            <m:e>
              <m:r>
                <m:t>γ</m:t>
              </m:r>
            </m:e>
            <m:sub>
              <m:r>
                <m:t>v</m:t>
              </m:r>
              <m:r>
                <m:t>a</m:t>
              </m:r>
              <m:r>
                <m:t>s</m:t>
              </m:r>
              <m:r>
                <m:t>c</m:t>
              </m:r>
            </m:sub>
          </m:sSub>
          <m:sSub>
            <m:e>
              <m:r>
                <m:t>Z</m:t>
              </m:r>
            </m:e>
            <m:sub>
              <m:r>
                <m:t>v</m:t>
              </m:r>
              <m:r>
                <m:t>a</m:t>
              </m:r>
              <m:r>
                <m:t>s</m:t>
              </m:r>
              <m:r>
                <m:t>c</m:t>
              </m:r>
              <m:r>
                <m:rPr>
                  <m:sty m:val="p"/>
                </m:rPr>
                <m:t>,</m:t>
              </m:r>
              <m:r>
                <m:t>s</m:t>
              </m:r>
            </m:sub>
          </m:sSub>
          <m:r>
            <m:rPr>
              <m:sty m:val="p"/>
            </m:rPr>
            <m:t>+</m:t>
          </m:r>
          <m:sSub>
            <m:e>
              <m:r>
                <m:t>w</m:t>
              </m:r>
            </m:e>
            <m:sub>
              <m:r>
                <m:t>p</m:t>
              </m:r>
              <m:r>
                <m:t>u</m:t>
              </m:r>
              <m:r>
                <m:t>r</m:t>
              </m:r>
              <m:r>
                <m:t>i</m:t>
              </m:r>
              <m:r>
                <m:t>f</m:t>
              </m:r>
              <m:r>
                <m:t>i</m:t>
              </m:r>
              <m:r>
                <m:t>e</m:t>
              </m:r>
              <m:r>
                <m:t>d</m:t>
              </m:r>
              <m:r>
                <m:rPr>
                  <m:sty m:val="p"/>
                </m:rPr>
                <m:t>,</m:t>
              </m:r>
              <m:r>
                <m:t>s</m:t>
              </m:r>
            </m:sub>
          </m:sSub>
        </m:oMath>
      </m:oMathPara>
    </w:p>
    <w:p>
      <w:pPr>
        <w:pStyle w:val="FirstParagraph"/>
      </w:pPr>
      <w:r>
        <w:t xml:space="preserve">The residual</w:t>
      </w:r>
      <w:r>
        <w:t xml:space="preserve"> </w:t>
      </w:r>
      <m:oMath>
        <m:sSub>
          <m:e>
            <m:r>
              <m:t>w</m:t>
            </m:r>
          </m:e>
          <m:sub>
            <m:r>
              <m:t>p</m:t>
            </m:r>
            <m:r>
              <m:t>u</m:t>
            </m:r>
            <m:r>
              <m:t>r</m:t>
            </m:r>
            <m:r>
              <m:t>i</m:t>
            </m:r>
            <m:r>
              <m:t>f</m:t>
            </m:r>
            <m:r>
              <m:t>i</m:t>
            </m:r>
            <m:r>
              <m:t>e</m:t>
            </m:r>
            <m:r>
              <m:t>d</m:t>
            </m:r>
            <m:r>
              <m:rPr>
                <m:sty m:val="p"/>
              </m:rPr>
              <m:t>,</m:t>
            </m:r>
            <m:r>
              <m:t>s</m:t>
            </m:r>
          </m:sub>
        </m:sSub>
      </m:oMath>
      <w:r>
        <w:t xml:space="preserve"> </w:t>
      </w:r>
      <w:r>
        <w:t xml:space="preserve">represents the decoupled cellular proliferation, orthogonal to linear extrinsic hypoxia and vascular density, which serves as the fitness target for game interaction regression. In accordance with the Frisch-Waugh-Lovell theorem, we also evaluate joint regression models directly on</w:t>
      </w:r>
      <w:r>
        <w:t xml:space="preserve"> </w:t>
      </w:r>
      <m:oMath>
        <m:sSub>
          <m:e>
            <m:r>
              <m:t>w</m:t>
            </m:r>
          </m:e>
          <m:sub>
            <m:r>
              <m:t>r</m:t>
            </m:r>
            <m:r>
              <m:t>a</m:t>
            </m:r>
            <m:r>
              <m:t>w</m:t>
            </m:r>
          </m:sub>
        </m:sSub>
      </m:oMath>
      <w:r>
        <w:t xml:space="preserve"> </w:t>
      </w:r>
      <w:r>
        <w:t xml:space="preserve">(</w:t>
      </w:r>
      <m:oMath>
        <m:sSub>
          <m:e>
            <m:r>
              <m:t>w</m:t>
            </m:r>
          </m:e>
          <m:sub>
            <m:r>
              <m:t>r</m:t>
            </m:r>
            <m:r>
              <m:t>a</m:t>
            </m:r>
            <m:r>
              <m:t>w</m:t>
            </m:r>
          </m:sub>
        </m:sSub>
        <m:r>
          <m:rPr>
            <m:sty m:val="p"/>
          </m:rPr>
          <m:t>∼</m:t>
        </m:r>
        <m:sSub>
          <m:e>
            <m:r>
              <m:t>Z</m:t>
            </m:r>
          </m:e>
          <m:sub>
            <m:r>
              <m:t>h</m:t>
            </m:r>
            <m:r>
              <m:t>y</m:t>
            </m:r>
            <m:r>
              <m:t>p</m:t>
            </m:r>
          </m:sub>
        </m:sSub>
        <m:r>
          <m:rPr>
            <m:sty m:val="p"/>
          </m:rPr>
          <m:t>+</m:t>
        </m:r>
        <m:sSub>
          <m:e>
            <m:r>
              <m:t>Z</m:t>
            </m:r>
          </m:e>
          <m:sub>
            <m:r>
              <m:t>v</m:t>
            </m:r>
            <m:r>
              <m:t>a</m:t>
            </m:r>
            <m:r>
              <m:t>s</m:t>
            </m:r>
            <m:r>
              <m:t>c</m:t>
            </m:r>
          </m:sub>
        </m:sSub>
        <m:r>
          <m:rPr>
            <m:sty m:val="p"/>
          </m:rPr>
          <m:t>+</m:t>
        </m:r>
        <m:r>
          <m:rPr>
            <m:nor/>
            <m:sty m:val="p"/>
          </m:rPr>
          <m:t>Game</m:t>
        </m:r>
      </m:oMath>
      <w:r>
        <w:t xml:space="preserve">) to assess cumulative non-orthogonal variance explanation.</w:t>
      </w:r>
    </w:p>
    <w:bookmarkEnd w:id="29"/>
    <w:bookmarkStart w:id="32" w:name="X68f13a080d9ce94c46d24d751738248de89215f"/>
    <w:p>
      <w:pPr>
        <w:pStyle w:val="Heading3"/>
      </w:pPr>
      <w:r>
        <w:t xml:space="preserve">2.4 Spatial Contact Topologies &amp; Identifiable Replicator Regression</w:t>
      </w:r>
    </w:p>
    <w:p>
      <w:pPr>
        <w:pStyle w:val="FirstParagraph"/>
      </w:pPr>
      <w:r>
        <w:t xml:space="preserve">Spatial contact networks are modeled by constructing a Delaunay triangulation graph over spot centroid coordinates</w:t>
      </w:r>
      <w:r>
        <w:t xml:space="preserve"> </w:t>
      </w:r>
      <m:oMath>
        <m:sSub>
          <m:e>
            <m:r>
              <m:rPr>
                <m:sty m:val="b"/>
              </m:rPr>
              <m:t>r</m:t>
            </m:r>
          </m:e>
          <m:sub>
            <m:r>
              <m:t>s</m:t>
            </m:r>
          </m:sub>
        </m:sSub>
        <m:r>
          <m:rPr>
            <m:sty m:val="p"/>
          </m:rPr>
          <m:t>=</m:t>
        </m:r>
        <m:d>
          <m:dPr>
            <m:begChr m:val="("/>
            <m:endChr m:val=")"/>
            <m:sepChr m:val=""/>
            <m:grow/>
          </m:dPr>
          <m:e>
            <m:sSub>
              <m:e>
                <m:r>
                  <m:t>x</m:t>
                </m:r>
              </m:e>
              <m:sub>
                <m:r>
                  <m:t>s</m:t>
                </m:r>
              </m:sub>
            </m:sSub>
            <m:r>
              <m:rPr>
                <m:sty m:val="p"/>
              </m:rPr>
              <m:t>,</m:t>
            </m:r>
            <m:sSub>
              <m:e>
                <m:r>
                  <m:t>y</m:t>
                </m:r>
              </m:e>
              <m:sub>
                <m:r>
                  <m:t>s</m:t>
                </m:r>
              </m:sub>
            </m:sSub>
          </m:e>
        </m:d>
      </m:oMath>
      <w:r>
        <w:t xml:space="preserve">. For each spot</w:t>
      </w:r>
      <w:r>
        <w:t xml:space="preserve"> </w:t>
      </w:r>
      <m:oMath>
        <m:r>
          <m:t>s</m:t>
        </m:r>
      </m:oMath>
      <w:r>
        <w:t xml:space="preserve">, its local interaction neighborhood</w:t>
      </w:r>
      <w:r>
        <w:t xml:space="preserve"> </w:t>
      </w:r>
      <m:oMath>
        <m:r>
          <m:rPr>
            <m:sty m:val="p"/>
            <m:scr m:val="script"/>
          </m:rPr>
          <m:t>N</m:t>
        </m:r>
        <m:d>
          <m:dPr>
            <m:begChr m:val="("/>
            <m:endChr m:val=")"/>
            <m:sepChr m:val=""/>
            <m:grow/>
          </m:dPr>
          <m:e>
            <m:r>
              <m:t>s</m:t>
            </m:r>
          </m:e>
        </m:d>
      </m:oMath>
      <w:r>
        <w:t xml:space="preserve"> </w:t>
      </w:r>
      <w:r>
        <w:t xml:space="preserve">comprises adjacent spots connected by Delaunay edges. Effective neighborhood phenotype frequencies are calculated as:</w:t>
      </w:r>
    </w:p>
    <w:p>
      <w:pPr>
        <w:pStyle w:val="BodyText"/>
      </w:pPr>
      <m:oMathPara>
        <m:oMathParaPr>
          <m:jc m:val="center"/>
        </m:oMathParaPr>
        <m:oMath>
          <m:sSub>
            <m:e>
              <m:acc>
                <m:accPr>
                  <m:chr m:val="‾"/>
                </m:accPr>
                <m:e>
                  <m:r>
                    <m:t>f</m:t>
                  </m:r>
                </m:e>
              </m:acc>
            </m:e>
            <m:sub>
              <m:r>
                <m:t>j</m:t>
              </m:r>
              <m:r>
                <m:rPr>
                  <m:sty m:val="p"/>
                </m:rPr>
                <m:t>,</m:t>
              </m:r>
              <m:r>
                <m:t>s</m:t>
              </m:r>
            </m:sub>
          </m:sSub>
          <m:r>
            <m:rPr>
              <m:sty m:val="p"/>
            </m:rPr>
            <m:t>=</m:t>
          </m:r>
          <m:f>
            <m:fPr>
              <m:type m:val="bar"/>
            </m:fPr>
            <m:num>
              <m:r>
                <m:t>1</m:t>
              </m:r>
            </m:num>
            <m:den>
              <m:d>
                <m:dPr>
                  <m:begChr m:val="|"/>
                  <m:endChr m:val="|"/>
                  <m:sepChr m:val=""/>
                  <m:grow/>
                </m:dPr>
                <m:e>
                  <m:r>
                    <m:rPr>
                      <m:sty m:val="p"/>
                      <m:scr m:val="script"/>
                    </m:rPr>
                    <m:t>N</m:t>
                  </m:r>
                  <m:d>
                    <m:dPr>
                      <m:begChr m:val="("/>
                      <m:endChr m:val=")"/>
                      <m:sepChr m:val=""/>
                      <m:grow/>
                    </m:dPr>
                    <m:e>
                      <m:r>
                        <m:t>s</m:t>
                      </m:r>
                    </m:e>
                  </m:d>
                </m:e>
              </m:d>
            </m:den>
          </m:f>
          <m:nary>
            <m:naryPr>
              <m:chr m:val="∑"/>
              <m:limLoc m:val="undOvr"/>
              <m:subHide m:val="off"/>
              <m:supHide m:val="on"/>
            </m:naryPr>
            <m:sub>
              <m:r>
                <m:t>k</m:t>
              </m:r>
              <m:r>
                <m:rPr>
                  <m:sty m:val="p"/>
                </m:rPr>
                <m:t>∈</m:t>
              </m:r>
              <m:r>
                <m:rPr>
                  <m:sty m:val="p"/>
                  <m:scr m:val="script"/>
                </m:rPr>
                <m:t>N</m:t>
              </m:r>
              <m:d>
                <m:dPr>
                  <m:begChr m:val="("/>
                  <m:endChr m:val=")"/>
                  <m:sepChr m:val=""/>
                  <m:grow/>
                </m:dPr>
                <m:e>
                  <m:r>
                    <m:t>s</m:t>
                  </m:r>
                </m:e>
              </m:d>
            </m:sub>
            <m:sup>
              <m:r>
                <m:t>​</m:t>
              </m:r>
            </m:sup>
            <m:e>
              <m:sSub>
                <m:e>
                  <m:r>
                    <m:t>f</m:t>
                  </m:r>
                </m:e>
                <m:sub>
                  <m:r>
                    <m:t>j</m:t>
                  </m:r>
                  <m:r>
                    <m:rPr>
                      <m:sty m:val="p"/>
                    </m:rPr>
                    <m:t>,</m:t>
                  </m:r>
                  <m:r>
                    <m:t>k</m:t>
                  </m:r>
                </m:sub>
              </m:sSub>
            </m:e>
          </m:nary>
        </m:oMath>
      </m:oMathPara>
    </w:p>
    <w:bookmarkStart w:id="30" w:name="physical-geometry-of-10x-visium"/>
    <w:p>
      <w:pPr>
        <w:pStyle w:val="Heading4"/>
      </w:pPr>
      <w:r>
        <w:t xml:space="preserve">Physical Geometry of 10x Visium</w:t>
      </w:r>
    </w:p>
    <w:p>
      <w:pPr>
        <w:pStyle w:val="FirstParagraph"/>
      </w:pPr>
      <w:r>
        <w:t xml:space="preserve">Standard 10x Genomics Visium arrays utilize spots of</w:t>
      </w:r>
      <w:r>
        <w:t xml:space="preserve"> </w:t>
      </w:r>
      <m:oMath>
        <m:r>
          <m:t>55</m:t>
        </m:r>
        <m:r>
          <m:t> </m:t>
        </m:r>
        <m:r>
          <m:t>μ</m:t>
        </m:r>
        <m:r>
          <m:rPr>
            <m:nor/>
            <m:sty m:val="p"/>
          </m:rPr>
          <m:t>m</m:t>
        </m:r>
      </m:oMath>
      <w:r>
        <w:t xml:space="preserve"> </w:t>
      </w:r>
      <w:r>
        <w:t xml:space="preserve">diameter arranged on a hexagonal grid with a</w:t>
      </w:r>
      <w:r>
        <w:t xml:space="preserve"> </w:t>
      </w:r>
      <m:oMath>
        <m:r>
          <m:t>100</m:t>
        </m:r>
        <m:r>
          <m:t> </m:t>
        </m:r>
        <m:r>
          <m:t>μ</m:t>
        </m:r>
        <m:r>
          <m:rPr>
            <m:nor/>
            <m:sty m:val="p"/>
          </m:rPr>
          <m:t>m</m:t>
        </m:r>
      </m:oMath>
      <w:r>
        <w:t xml:space="preserve"> </w:t>
      </w:r>
      <w:r>
        <w:t xml:space="preserve">center-to-center pitch, leaving</w:t>
      </w:r>
      <w:r>
        <w:t xml:space="preserve"> </w:t>
      </w:r>
      <m:oMath>
        <m:r>
          <m:rPr>
            <m:sty m:val="p"/>
          </m:rPr>
          <m:t>≈</m:t>
        </m:r>
        <m:r>
          <m:t>45</m:t>
        </m:r>
        <m:r>
          <m:t> </m:t>
        </m:r>
        <m:r>
          <m:t>μ</m:t>
        </m:r>
        <m:r>
          <m:rPr>
            <m:nor/>
            <m:sty m:val="p"/>
          </m:rPr>
          <m:t>m</m:t>
        </m:r>
      </m:oMath>
      <w:r>
        <w:t xml:space="preserve"> </w:t>
      </w:r>
      <w:r>
        <w:t xml:space="preserve">of uncaptured interstitial space between spot perimeters. Each spot captures approximately 1 to 10 cells in solid tumors. Centroids of Delaunay nearest neighbors are separated by</w:t>
      </w:r>
      <w:r>
        <w:t xml:space="preserve"> </w:t>
      </w:r>
      <m:oMath>
        <m:r>
          <m:rPr>
            <m:sty m:val="p"/>
          </m:rPr>
          <m:t>≈</m:t>
        </m:r>
        <m:r>
          <m:t>100</m:t>
        </m:r>
        <m:r>
          <m:t> </m:t>
        </m:r>
        <m:r>
          <m:t>μ</m:t>
        </m:r>
        <m:r>
          <m:rPr>
            <m:nor/>
            <m:sty m:val="p"/>
          </m:rPr>
          <m:t>m</m:t>
        </m:r>
      </m:oMath>
      <w:r>
        <w:t xml:space="preserve">. Consequently, between-spot interaction terms (</w:t>
      </w:r>
      <m:oMath>
        <m:sSub>
          <m:e>
            <m:r>
              <m:t>f</m:t>
            </m:r>
          </m:e>
          <m:sub>
            <m:r>
              <m:t>i</m:t>
            </m:r>
            <m:r>
              <m:rPr>
                <m:sty m:val="p"/>
              </m:rPr>
              <m:t>,</m:t>
            </m:r>
            <m:r>
              <m:t>s</m:t>
            </m:r>
          </m:sub>
        </m:sSub>
        <m:sSub>
          <m:e>
            <m:acc>
              <m:accPr>
                <m:chr m:val="‾"/>
              </m:accPr>
              <m:e>
                <m:r>
                  <m:t>f</m:t>
                </m:r>
              </m:e>
            </m:acc>
          </m:e>
          <m:sub>
            <m:r>
              <m:t>j</m:t>
            </m:r>
            <m:r>
              <m:rPr>
                <m:sty m:val="p"/>
              </m:rPr>
              <m:t>,</m:t>
            </m:r>
            <m:r>
              <m:t>s</m:t>
            </m:r>
          </m:sub>
        </m:sSub>
      </m:oMath>
      <w:r>
        <w:t xml:space="preserve">) model regional paracrine signaling, diffusible morphogens, and shared microenvironmental conditioning across adjacent micro-niches, rather than direct membrane-to-membrane juxtacrine contact.</w:t>
      </w:r>
    </w:p>
    <w:bookmarkEnd w:id="30"/>
    <w:bookmarkStart w:id="31" w:name="X60b6b650c83b998e6d9f9fe369c568c838dc59c"/>
    <w:p>
      <w:pPr>
        <w:pStyle w:val="Heading4"/>
      </w:pPr>
      <w:r>
        <w:t xml:space="preserve">Mathematical Collinearity and the Identifiable Absorbed Payoff Matrix (</w:t>
      </w:r>
      <m:oMath>
        <m:acc>
          <m:accPr>
            <m:chr m:val="̃"/>
          </m:accPr>
          <m:e>
            <m:r>
              <m:t>A</m:t>
            </m:r>
          </m:e>
        </m:acc>
      </m:oMath>
      <w:r>
        <w:t xml:space="preserve">)</w:t>
      </w:r>
    </w:p>
    <w:p>
      <w:pPr>
        <w:pStyle w:val="FirstParagraph"/>
      </w:pPr>
      <w:r>
        <w:t xml:space="preserve">Under continuous evolutionary game theory, the per-capita fitness of phenotype</w:t>
      </w:r>
      <w:r>
        <w:t xml:space="preserve"> </w:t>
      </w:r>
      <m:oMath>
        <m:r>
          <m:t>i</m:t>
        </m:r>
      </m:oMath>
      <w:r>
        <w:t xml:space="preserve"> </w:t>
      </w:r>
      <w:r>
        <w:t xml:space="preserve">interacting with neighborhood composition</w:t>
      </w:r>
      <w:r>
        <w:t xml:space="preserve"> </w:t>
      </w:r>
      <m:oMath>
        <m:acc>
          <m:accPr>
            <m:chr m:val="‾"/>
          </m:accPr>
          <m:e>
            <m:r>
              <m:rPr>
                <m:sty m:val="b"/>
              </m:rPr>
              <m:t>f</m:t>
            </m:r>
          </m:e>
        </m:acc>
      </m:oMath>
      <w:r>
        <w:t xml:space="preserve"> </w:t>
      </w:r>
      <w:r>
        <w:t xml:space="preserve">is:</w:t>
      </w:r>
    </w:p>
    <w:p>
      <w:pPr>
        <w:pStyle w:val="BodyText"/>
      </w:pPr>
      <m:oMathPara>
        <m:oMathParaPr>
          <m:jc m:val="center"/>
        </m:oMathParaPr>
        <m:oMath>
          <m:sSub>
            <m:e>
              <m:r>
                <m:t>F</m:t>
              </m:r>
            </m:e>
            <m:sub>
              <m:r>
                <m:t>i</m:t>
              </m:r>
            </m:sub>
          </m:sSub>
          <m:d>
            <m:dPr>
              <m:begChr m:val="("/>
              <m:endChr m:val=")"/>
              <m:sepChr m:val=""/>
              <m:grow/>
            </m:dPr>
            <m:e>
              <m:acc>
                <m:accPr>
                  <m:chr m:val="‾"/>
                </m:accPr>
                <m:e>
                  <m:r>
                    <m:rPr>
                      <m:sty m:val="b"/>
                    </m:rPr>
                    <m:t>f</m:t>
                  </m:r>
                </m:e>
              </m:acc>
            </m:e>
          </m:d>
          <m:r>
            <m:rPr>
              <m:sty m:val="p"/>
            </m:rPr>
            <m:t>=</m:t>
          </m:r>
          <m:sSub>
            <m:e>
              <m:r>
                <m:t>b</m:t>
              </m:r>
            </m:e>
            <m:sub>
              <m:r>
                <m:t>i</m:t>
              </m:r>
            </m:sub>
          </m:sSub>
          <m:r>
            <m:rPr>
              <m:sty m:val="p"/>
            </m:rPr>
            <m:t>+</m:t>
          </m:r>
          <m:nary>
            <m:naryPr>
              <m:chr m:val="∑"/>
              <m:limLoc m:val="undOvr"/>
              <m:subHide m:val="off"/>
              <m:supHide m:val="on"/>
            </m:naryPr>
            <m:sub>
              <m:r>
                <m:t>j</m:t>
              </m:r>
              <m:r>
                <m:rPr>
                  <m:sty m:val="p"/>
                </m:rPr>
                <m:t>∈</m:t>
              </m:r>
              <m:r>
                <m:rPr>
                  <m:sty m:val="p"/>
                </m:rPr>
                <m:t>{</m:t>
              </m:r>
              <m:r>
                <m:t>S</m:t>
              </m:r>
              <m:r>
                <m:rPr>
                  <m:sty m:val="p"/>
                </m:rPr>
                <m:t>,</m:t>
              </m:r>
              <m:r>
                <m:t>R</m:t>
              </m:r>
              <m:r>
                <m:rPr>
                  <m:sty m:val="p"/>
                </m:rPr>
                <m:t>,</m:t>
              </m:r>
              <m:r>
                <m:t>C</m:t>
              </m:r>
              <m:r>
                <m:rPr>
                  <m:sty m:val="p"/>
                </m:rPr>
                <m:t>}</m:t>
              </m:r>
            </m:sub>
            <m:sup>
              <m:r>
                <m:t>​</m:t>
              </m:r>
            </m:sup>
            <m:e>
              <m:sSub>
                <m:e>
                  <m:r>
                    <m:t>A</m:t>
                  </m:r>
                </m:e>
                <m:sub>
                  <m:r>
                    <m:t>i</m:t>
                  </m:r>
                  <m:r>
                    <m:t>j</m:t>
                  </m:r>
                </m:sub>
              </m:sSub>
            </m:e>
          </m:nary>
          <m:sSub>
            <m:e>
              <m:acc>
                <m:accPr>
                  <m:chr m:val="‾"/>
                </m:accPr>
                <m:e>
                  <m:r>
                    <m:t>f</m:t>
                  </m:r>
                </m:e>
              </m:acc>
            </m:e>
            <m:sub>
              <m:r>
                <m:t>j</m:t>
              </m:r>
            </m:sub>
          </m:sSub>
        </m:oMath>
      </m:oMathPara>
    </w:p>
    <w:p>
      <w:pPr>
        <w:pStyle w:val="FirstParagraph"/>
      </w:pPr>
      <w:r>
        <w:t xml:space="preserve">where</w:t>
      </w:r>
      <w:r>
        <w:t xml:space="preserve"> </w:t>
      </w:r>
      <m:oMath>
        <m:sSub>
          <m:e>
            <m:r>
              <m:t>b</m:t>
            </m:r>
          </m:e>
          <m:sub>
            <m:r>
              <m:t>i</m:t>
            </m:r>
          </m:sub>
        </m:sSub>
      </m:oMath>
      <w:r>
        <w:t xml:space="preserve"> </w:t>
      </w:r>
      <w:r>
        <w:t xml:space="preserve">denotes intrinsic baseline fitness and</w:t>
      </w:r>
      <w:r>
        <w:t xml:space="preserve"> </w:t>
      </w:r>
      <m:oMath>
        <m:sSub>
          <m:e>
            <m:r>
              <m:t>A</m:t>
            </m:r>
          </m:e>
          <m:sub>
            <m:r>
              <m:t>i</m:t>
            </m:r>
            <m:r>
              <m:t>j</m:t>
            </m:r>
          </m:sub>
        </m:sSub>
      </m:oMath>
      <w:r>
        <w:t xml:space="preserve"> </w:t>
      </w:r>
      <w:r>
        <w:t xml:space="preserve">is the pairwise interaction payoff matrix. The aggregate spot-level proliferation is:</w:t>
      </w:r>
    </w:p>
    <w:p>
      <w:pPr>
        <w:pStyle w:val="BodyText"/>
      </w:pPr>
      <m:oMathPara>
        <m:oMathParaPr>
          <m:jc m:val="center"/>
        </m:oMathParaPr>
        <m:oMath>
          <m:sSub>
            <m:e>
              <m:r>
                <m:t>w</m:t>
              </m:r>
            </m:e>
            <m:sub>
              <m:r>
                <m:t>p</m:t>
              </m:r>
              <m:r>
                <m:t>u</m:t>
              </m:r>
              <m:r>
                <m:t>r</m:t>
              </m:r>
              <m:r>
                <m:t>i</m:t>
              </m:r>
              <m:r>
                <m:t>f</m:t>
              </m:r>
              <m:r>
                <m:t>i</m:t>
              </m:r>
              <m:r>
                <m:t>e</m:t>
              </m:r>
              <m:r>
                <m:t>d</m:t>
              </m:r>
              <m:r>
                <m:rPr>
                  <m:sty m:val="p"/>
                </m:rPr>
                <m:t>,</m:t>
              </m:r>
              <m:r>
                <m:t>s</m:t>
              </m:r>
            </m:sub>
          </m:sSub>
          <m:r>
            <m:rPr>
              <m:sty m:val="p"/>
            </m:rPr>
            <m:t>=</m:t>
          </m:r>
          <m:nary>
            <m:naryPr>
              <m:chr m:val="∑"/>
              <m:limLoc m:val="undOvr"/>
              <m:subHide m:val="off"/>
              <m:supHide m:val="on"/>
            </m:naryPr>
            <m:sub>
              <m:r>
                <m:t>i</m:t>
              </m:r>
            </m:sub>
            <m:sup>
              <m:r>
                <m:t>​</m:t>
              </m:r>
            </m:sup>
            <m:e>
              <m:sSub>
                <m:e>
                  <m:r>
                    <m:t>f</m:t>
                  </m:r>
                </m:e>
                <m:sub>
                  <m:r>
                    <m:t>i</m:t>
                  </m:r>
                  <m:r>
                    <m:rPr>
                      <m:sty m:val="p"/>
                    </m:rPr>
                    <m:t>,</m:t>
                  </m:r>
                  <m:r>
                    <m:t>s</m:t>
                  </m:r>
                </m:sub>
              </m:sSub>
            </m:e>
          </m:nary>
          <m:sSub>
            <m:e>
              <m:r>
                <m:t>F</m:t>
              </m:r>
            </m:e>
            <m:sub>
              <m:r>
                <m:t>i</m:t>
              </m:r>
            </m:sub>
          </m:sSub>
          <m:d>
            <m:dPr>
              <m:begChr m:val="("/>
              <m:endChr m:val=")"/>
              <m:sepChr m:val=""/>
              <m:grow/>
            </m:dPr>
            <m:e>
              <m:sSub>
                <m:e>
                  <m:acc>
                    <m:accPr>
                      <m:chr m:val="‾"/>
                    </m:accPr>
                    <m:e>
                      <m:r>
                        <m:rPr>
                          <m:sty m:val="b"/>
                        </m:rPr>
                        <m:t>f</m:t>
                      </m:r>
                    </m:e>
                  </m:acc>
                </m:e>
                <m:sub>
                  <m:r>
                    <m:t>s</m:t>
                  </m:r>
                </m:sub>
              </m:sSub>
            </m:e>
          </m:d>
          <m:r>
            <m:rPr>
              <m:sty m:val="p"/>
            </m:rPr>
            <m:t>=</m:t>
          </m:r>
          <m:nary>
            <m:naryPr>
              <m:chr m:val="∑"/>
              <m:limLoc m:val="undOvr"/>
              <m:subHide m:val="off"/>
              <m:supHide m:val="on"/>
            </m:naryPr>
            <m:sub>
              <m:r>
                <m:t>i</m:t>
              </m:r>
            </m:sub>
            <m:sup>
              <m:r>
                <m:t>​</m:t>
              </m:r>
            </m:sup>
            <m:e>
              <m:sSub>
                <m:e>
                  <m:r>
                    <m:t>b</m:t>
                  </m:r>
                </m:e>
                <m:sub>
                  <m:r>
                    <m:t>i</m:t>
                  </m:r>
                </m:sub>
              </m:sSub>
            </m:e>
          </m:nary>
          <m:sSub>
            <m:e>
              <m:r>
                <m:t>f</m:t>
              </m:r>
            </m:e>
            <m:sub>
              <m:r>
                <m:t>i</m:t>
              </m:r>
              <m:r>
                <m:rPr>
                  <m:sty m:val="p"/>
                </m:rPr>
                <m:t>,</m:t>
              </m:r>
              <m:r>
                <m:t>s</m:t>
              </m:r>
            </m:sub>
          </m:sSub>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A</m:t>
                      </m:r>
                    </m:e>
                    <m:sub>
                      <m:r>
                        <m:t>i</m:t>
                      </m:r>
                      <m:r>
                        <m:t>j</m:t>
                      </m:r>
                    </m:sub>
                  </m:sSub>
                </m:e>
              </m:nary>
            </m:e>
          </m:nary>
          <m:sSub>
            <m:e>
              <m:r>
                <m:t>f</m:t>
              </m:r>
            </m:e>
            <m:sub>
              <m:r>
                <m:t>i</m:t>
              </m:r>
              <m:r>
                <m:rPr>
                  <m:sty m:val="p"/>
                </m:rPr>
                <m:t>,</m:t>
              </m:r>
              <m:r>
                <m:t>s</m:t>
              </m:r>
            </m:sub>
          </m:sSub>
          <m:sSub>
            <m:e>
              <m:acc>
                <m:accPr>
                  <m:chr m:val="‾"/>
                </m:accPr>
                <m:e>
                  <m:r>
                    <m:t>f</m:t>
                  </m:r>
                </m:e>
              </m:acc>
            </m:e>
            <m:sub>
              <m:r>
                <m:t>j</m:t>
              </m:r>
              <m:r>
                <m:rPr>
                  <m:sty m:val="p"/>
                </m:rPr>
                <m:t>,</m:t>
              </m:r>
              <m:r>
                <m:t>s</m:t>
              </m:r>
            </m:sub>
          </m:sSub>
        </m:oMath>
      </m:oMathPara>
    </w:p>
    <w:p>
      <w:pPr>
        <w:pStyle w:val="FirstParagraph"/>
      </w:pPr>
      <w:r>
        <w:t xml:space="preserve">Because neighborhood frequencies reside on the unit simplex (</w:t>
      </w:r>
      <m:oMath>
        <m:nary>
          <m:naryPr>
            <m:chr m:val="∑"/>
            <m:limLoc m:val="undOvr"/>
            <m:subHide m:val="off"/>
            <m:supHide m:val="on"/>
          </m:naryPr>
          <m:sub>
            <m:r>
              <m:t>j</m:t>
            </m:r>
            <m:r>
              <m:rPr>
                <m:sty m:val="p"/>
              </m:rPr>
              <m:t>∈</m:t>
            </m:r>
            <m:r>
              <m:rPr>
                <m:sty m:val="p"/>
              </m:rPr>
              <m:t>{</m:t>
            </m:r>
            <m:r>
              <m:t>S</m:t>
            </m:r>
            <m:r>
              <m:rPr>
                <m:sty m:val="p"/>
              </m:rPr>
              <m:t>,</m:t>
            </m:r>
            <m:r>
              <m:t>R</m:t>
            </m:r>
            <m:r>
              <m:rPr>
                <m:sty m:val="p"/>
              </m:rPr>
              <m:t>,</m:t>
            </m:r>
            <m:r>
              <m:t>C</m:t>
            </m:r>
            <m:r>
              <m:rPr>
                <m:sty m:val="p"/>
              </m:rPr>
              <m:t>}</m:t>
            </m:r>
          </m:sub>
          <m:sup>
            <m:r>
              <m:t>​</m:t>
            </m:r>
          </m:sup>
          <m:e>
            <m:sSub>
              <m:e>
                <m:acc>
                  <m:accPr>
                    <m:chr m:val="‾"/>
                  </m:accPr>
                  <m:e>
                    <m:r>
                      <m:t>f</m:t>
                    </m:r>
                  </m:e>
                </m:acc>
              </m:e>
              <m:sub>
                <m:r>
                  <m:t>j</m:t>
                </m:r>
                <m:r>
                  <m:rPr>
                    <m:sty m:val="p"/>
                  </m:rPr>
                  <m:t>,</m:t>
                </m:r>
                <m:r>
                  <m:t>s</m:t>
                </m:r>
              </m:sub>
            </m:sSub>
          </m:e>
        </m:nary>
        <m:r>
          <m:rPr>
            <m:sty m:val="p"/>
          </m:rPr>
          <m:t>=</m:t>
        </m:r>
        <m:r>
          <m:t>1</m:t>
        </m:r>
      </m:oMath>
      <w:r>
        <w:t xml:space="preserve">), the algebraic identity:</w:t>
      </w:r>
    </w:p>
    <w:p>
      <w:pPr>
        <w:pStyle w:val="BodyText"/>
      </w:pPr>
      <m:oMathPara>
        <m:oMathParaPr>
          <m:jc m:val="center"/>
        </m:oMathParaPr>
        <m:oMath>
          <m:nary>
            <m:naryPr>
              <m:chr m:val="∑"/>
              <m:limLoc m:val="undOvr"/>
              <m:subHide m:val="off"/>
              <m:supHide m:val="on"/>
            </m:naryPr>
            <m:sub>
              <m:r>
                <m:t>j</m:t>
              </m:r>
              <m:r>
                <m:rPr>
                  <m:sty m:val="p"/>
                </m:rPr>
                <m:t>∈</m:t>
              </m:r>
              <m:r>
                <m:rPr>
                  <m:sty m:val="p"/>
                </m:rPr>
                <m:t>{</m:t>
              </m:r>
              <m:r>
                <m:t>S</m:t>
              </m:r>
              <m:r>
                <m:rPr>
                  <m:sty m:val="p"/>
                </m:rPr>
                <m:t>,</m:t>
              </m:r>
              <m:r>
                <m:t>R</m:t>
              </m:r>
              <m:r>
                <m:rPr>
                  <m:sty m:val="p"/>
                </m:rPr>
                <m:t>,</m:t>
              </m:r>
              <m:r>
                <m:t>C</m:t>
              </m:r>
              <m:r>
                <m:rPr>
                  <m:sty m:val="p"/>
                </m:rPr>
                <m:t>}</m:t>
              </m:r>
            </m:sub>
            <m:sup>
              <m:r>
                <m:t>​</m:t>
              </m:r>
            </m:sup>
            <m:e>
              <m:sSub>
                <m:e>
                  <m:r>
                    <m:t>f</m:t>
                  </m:r>
                </m:e>
                <m:sub>
                  <m:r>
                    <m:t>i</m:t>
                  </m:r>
                  <m:r>
                    <m:rPr>
                      <m:sty m:val="p"/>
                    </m:rPr>
                    <m:t>,</m:t>
                  </m:r>
                  <m:r>
                    <m:t>s</m:t>
                  </m:r>
                </m:sub>
              </m:sSub>
            </m:e>
          </m:nary>
          <m:sSub>
            <m:e>
              <m:acc>
                <m:accPr>
                  <m:chr m:val="‾"/>
                </m:accPr>
                <m:e>
                  <m:r>
                    <m:t>f</m:t>
                  </m:r>
                </m:e>
              </m:acc>
            </m:e>
            <m:sub>
              <m:r>
                <m:t>j</m:t>
              </m:r>
              <m:r>
                <m:rPr>
                  <m:sty m:val="p"/>
                </m:rPr>
                <m:t>,</m:t>
              </m:r>
              <m:r>
                <m:t>s</m:t>
              </m:r>
            </m:sub>
          </m:sSub>
          <m:r>
            <m:rPr>
              <m:sty m:val="p"/>
            </m:rPr>
            <m:t>=</m:t>
          </m:r>
          <m:sSub>
            <m:e>
              <m:r>
                <m:t>f</m:t>
              </m:r>
            </m:e>
            <m:sub>
              <m:r>
                <m:t>i</m:t>
              </m:r>
              <m:r>
                <m:rPr>
                  <m:sty m:val="p"/>
                </m:rPr>
                <m:t>,</m:t>
              </m:r>
              <m:r>
                <m:t>s</m:t>
              </m:r>
            </m:sub>
          </m:sSub>
          <m:nary>
            <m:naryPr>
              <m:chr m:val="∑"/>
              <m:limLoc m:val="undOvr"/>
              <m:subHide m:val="off"/>
              <m:supHide m:val="on"/>
            </m:naryPr>
            <m:sub>
              <m:r>
                <m:t>j</m:t>
              </m:r>
            </m:sub>
            <m:sup>
              <m:r>
                <m:t>​</m:t>
              </m:r>
            </m:sup>
            <m:e>
              <m:sSub>
                <m:e>
                  <m:acc>
                    <m:accPr>
                      <m:chr m:val="‾"/>
                    </m:accPr>
                    <m:e>
                      <m:r>
                        <m:t>f</m:t>
                      </m:r>
                    </m:e>
                  </m:acc>
                </m:e>
                <m:sub>
                  <m:r>
                    <m:t>j</m:t>
                  </m:r>
                  <m:r>
                    <m:rPr>
                      <m:sty m:val="p"/>
                    </m:rPr>
                    <m:t>,</m:t>
                  </m:r>
                  <m:r>
                    <m:t>s</m:t>
                  </m:r>
                </m:sub>
              </m:sSub>
            </m:e>
          </m:nary>
          <m:r>
            <m:rPr>
              <m:sty m:val="p"/>
            </m:rPr>
            <m:t>=</m:t>
          </m:r>
          <m:sSub>
            <m:e>
              <m:r>
                <m:t>f</m:t>
              </m:r>
            </m:e>
            <m:sub>
              <m:r>
                <m:t>i</m:t>
              </m:r>
              <m:r>
                <m:rPr>
                  <m:sty m:val="p"/>
                </m:rPr>
                <m:t>,</m:t>
              </m:r>
              <m:r>
                <m:t>s</m:t>
              </m:r>
            </m:sub>
          </m:sSub>
        </m:oMath>
      </m:oMathPara>
    </w:p>
    <w:p>
      <w:pPr>
        <w:pStyle w:val="FirstParagraph"/>
      </w:pPr>
      <w:r>
        <w:t xml:space="preserve">holds identically for every phenotype</w:t>
      </w:r>
      <w:r>
        <w:t xml:space="preserve"> </w:t>
      </w:r>
      <m:oMath>
        <m:r>
          <m:t>i</m:t>
        </m:r>
      </m:oMath>
      <w:r>
        <w:t xml:space="preserve">. Consequently, the 3 intrinsic regressors</w:t>
      </w:r>
      <w:r>
        <w:t xml:space="preserve"> </w:t>
      </w:r>
      <m:oMath>
        <m:sSub>
          <m:e>
            <m:r>
              <m:t>b</m:t>
            </m:r>
          </m:e>
          <m:sub>
            <m:r>
              <m:t>i</m:t>
            </m:r>
          </m:sub>
        </m:sSub>
        <m:sSub>
          <m:e>
            <m:r>
              <m:t>f</m:t>
            </m:r>
          </m:e>
          <m:sub>
            <m:r>
              <m:t>i</m:t>
            </m:r>
            <m:r>
              <m:rPr>
                <m:sty m:val="p"/>
              </m:rPr>
              <m:t>,</m:t>
            </m:r>
            <m:r>
              <m:t>s</m:t>
            </m:r>
          </m:sub>
        </m:sSub>
      </m:oMath>
      <w:r>
        <w:t xml:space="preserve"> </w:t>
      </w:r>
      <w:r>
        <w:t xml:space="preserve">lie entirely in the linear span of the 9 interaction regressors</w:t>
      </w:r>
      <w:r>
        <w:t xml:space="preserve"> </w:t>
      </w:r>
      <m:oMath>
        <m:sSub>
          <m:e>
            <m:r>
              <m:t>f</m:t>
            </m:r>
          </m:e>
          <m:sub>
            <m:r>
              <m:t>i</m:t>
            </m:r>
            <m:r>
              <m:rPr>
                <m:sty m:val="p"/>
              </m:rPr>
              <m:t>,</m:t>
            </m:r>
            <m:r>
              <m:t>s</m:t>
            </m:r>
          </m:sub>
        </m:sSub>
        <m:sSub>
          <m:e>
            <m:acc>
              <m:accPr>
                <m:chr m:val="‾"/>
              </m:accPr>
              <m:e>
                <m:r>
                  <m:t>f</m:t>
                </m:r>
              </m:e>
            </m:acc>
          </m:e>
          <m:sub>
            <m:r>
              <m:t>j</m:t>
            </m:r>
            <m:r>
              <m:rPr>
                <m:sty m:val="p"/>
              </m:rPr>
              <m:t>,</m:t>
            </m:r>
            <m:r>
              <m:t>s</m:t>
            </m:r>
          </m:sub>
        </m:sSub>
      </m:oMath>
      <w:r>
        <w:t xml:space="preserve">. This introduces exact collinearity into an unconstrained 12-parameter design matrix</w:t>
      </w:r>
      <w:r>
        <w:t xml:space="preserve"> </w:t>
      </w:r>
      <m:oMath>
        <m:sSub>
          <m:e>
            <m:r>
              <m:t>X</m:t>
            </m:r>
          </m:e>
          <m:sub>
            <m:r>
              <m:t>12</m:t>
            </m:r>
          </m:sub>
        </m:sSub>
      </m:oMath>
      <w:r>
        <w:t xml:space="preserve">, resulting in numerical rank-deficiency.</w:t>
      </w:r>
    </w:p>
    <w:p>
      <w:pPr>
        <w:pStyle w:val="BodyText"/>
      </w:pPr>
      <w:r>
        <w:t xml:space="preserve">To ensure strict mathematical identifiability, baseline intrinsic fitness is absorbed directly into the interaction matrix:</w:t>
      </w:r>
    </w:p>
    <w:p>
      <w:pPr>
        <w:pStyle w:val="BodyText"/>
      </w:pPr>
      <m:oMathPara>
        <m:oMathParaPr>
          <m:jc m:val="center"/>
        </m:oMathParaPr>
        <m:oMath>
          <m:sSub>
            <m:e>
              <m:acc>
                <m:accPr>
                  <m:chr m:val="̃"/>
                </m:accPr>
                <m:e>
                  <m:r>
                    <m:t>A</m:t>
                  </m:r>
                </m:e>
              </m:acc>
            </m:e>
            <m:sub>
              <m:r>
                <m:t>i</m:t>
              </m:r>
              <m:r>
                <m:t>j</m:t>
              </m:r>
            </m:sub>
          </m:sSub>
          <m:r>
            <m:rPr>
              <m:sty m:val="p"/>
            </m:rPr>
            <m:t>=</m:t>
          </m:r>
          <m:sSub>
            <m:e>
              <m:r>
                <m:t>b</m:t>
              </m:r>
            </m:e>
            <m:sub>
              <m:r>
                <m:t>i</m:t>
              </m:r>
            </m:sub>
          </m:sSub>
          <m:r>
            <m:rPr>
              <m:sty m:val="p"/>
            </m:rPr>
            <m:t>+</m:t>
          </m:r>
          <m:sSub>
            <m:e>
              <m:r>
                <m:t>A</m:t>
              </m:r>
            </m:e>
            <m:sub>
              <m:r>
                <m:t>i</m:t>
              </m:r>
              <m:r>
                <m:t>j</m:t>
              </m:r>
            </m:sub>
          </m:sSub>
        </m:oMath>
      </m:oMathPara>
    </w:p>
    <w:p>
      <w:pPr>
        <w:pStyle w:val="FirstParagraph"/>
      </w:pPr>
      <w:r>
        <w:t xml:space="preserve">reducing the regression to 9 unconstrained, identifiable parameters:</w:t>
      </w:r>
    </w:p>
    <w:p>
      <w:pPr>
        <w:pStyle w:val="BodyText"/>
      </w:pPr>
      <m:oMathPara>
        <m:oMathParaPr>
          <m:jc m:val="center"/>
        </m:oMathParaPr>
        <m:oMath>
          <m:sSub>
            <m:e>
              <m:r>
                <m:t>w</m:t>
              </m:r>
            </m:e>
            <m:sub>
              <m:r>
                <m:t>p</m:t>
              </m:r>
              <m:r>
                <m:t>u</m:t>
              </m:r>
              <m:r>
                <m:t>r</m:t>
              </m:r>
              <m:r>
                <m:t>i</m:t>
              </m:r>
              <m:r>
                <m:t>f</m:t>
              </m:r>
              <m:r>
                <m:t>i</m:t>
              </m:r>
              <m:r>
                <m:t>e</m:t>
              </m:r>
              <m:r>
                <m:t>d</m:t>
              </m:r>
              <m:r>
                <m:rPr>
                  <m:sty m:val="p"/>
                </m:rPr>
                <m:t>,</m:t>
              </m:r>
              <m:r>
                <m:t>s</m:t>
              </m:r>
            </m:sub>
          </m:sSub>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acc>
                        <m:accPr>
                          <m:chr m:val="̃"/>
                        </m:accPr>
                        <m:e>
                          <m:r>
                            <m:t>A</m:t>
                          </m:r>
                        </m:e>
                      </m:acc>
                    </m:e>
                    <m:sub>
                      <m:r>
                        <m:t>i</m:t>
                      </m:r>
                      <m:r>
                        <m:t>j</m:t>
                      </m:r>
                    </m:sub>
                  </m:sSub>
                </m:e>
              </m:nary>
            </m:e>
          </m:nary>
          <m:sSub>
            <m:e>
              <m:r>
                <m:t>f</m:t>
              </m:r>
            </m:e>
            <m:sub>
              <m:r>
                <m:t>i</m:t>
              </m:r>
              <m:r>
                <m:rPr>
                  <m:sty m:val="p"/>
                </m:rPr>
                <m:t>,</m:t>
              </m:r>
              <m:r>
                <m:t>s</m:t>
              </m:r>
            </m:sub>
          </m:sSub>
          <m:sSub>
            <m:e>
              <m:acc>
                <m:accPr>
                  <m:chr m:val="‾"/>
                </m:accPr>
                <m:e>
                  <m:r>
                    <m:t>f</m:t>
                  </m:r>
                </m:e>
              </m:acc>
            </m:e>
            <m:sub>
              <m:r>
                <m:t>j</m:t>
              </m:r>
              <m:r>
                <m:rPr>
                  <m:sty m:val="p"/>
                </m:rPr>
                <m:t>,</m:t>
              </m:r>
              <m:r>
                <m:t>s</m:t>
              </m:r>
            </m:sub>
          </m:sSub>
        </m:oMath>
      </m:oMathPara>
    </w:p>
    <w:p>
      <w:pPr>
        <w:pStyle w:val="FirstParagraph"/>
      </w:pPr>
      <w:r>
        <w:t xml:space="preserve">Because</w:t>
      </w:r>
      <w:r>
        <w:t xml:space="preserve"> </w:t>
      </w:r>
      <m:oMath>
        <m:nary>
          <m:naryPr>
            <m:chr m:val="∑"/>
            <m:limLoc m:val="undOvr"/>
            <m:subHide m:val="off"/>
            <m:supHide m:val="on"/>
          </m:naryPr>
          <m:sub>
            <m:r>
              <m:t>i</m:t>
            </m:r>
            <m:r>
              <m:rPr>
                <m:sty m:val="p"/>
              </m:rPr>
              <m:t>,</m:t>
            </m:r>
            <m:r>
              <m:t>j</m:t>
            </m:r>
          </m:sub>
          <m:sup>
            <m:r>
              <m:t>​</m:t>
            </m:r>
          </m:sup>
          <m:e>
            <m:sSub>
              <m:e>
                <m:r>
                  <m:t>f</m:t>
                </m:r>
              </m:e>
              <m:sub>
                <m:r>
                  <m:t>i</m:t>
                </m:r>
                <m:r>
                  <m:rPr>
                    <m:sty m:val="p"/>
                  </m:rPr>
                  <m:t>,</m:t>
                </m:r>
                <m:r>
                  <m:t>s</m:t>
                </m:r>
              </m:sub>
            </m:sSub>
          </m:e>
        </m:nary>
        <m:sSub>
          <m:e>
            <m:acc>
              <m:accPr>
                <m:chr m:val="‾"/>
              </m:accPr>
              <m:e>
                <m:r>
                  <m:t>f</m:t>
                </m:r>
              </m:e>
            </m:acc>
          </m:e>
          <m:sub>
            <m:r>
              <m:t>j</m:t>
            </m:r>
            <m:r>
              <m:rPr>
                <m:sty m:val="p"/>
              </m:rPr>
              <m:t>,</m:t>
            </m:r>
            <m:r>
              <m:t>s</m:t>
            </m:r>
          </m:sub>
        </m:sSub>
        <m:r>
          <m:rPr>
            <m:sty m:val="p"/>
          </m:rPr>
          <m:t>=</m:t>
        </m:r>
        <m:d>
          <m:dPr>
            <m:begChr m:val="("/>
            <m:endChr m:val=")"/>
            <m:sepChr m:val=""/>
            <m:grow/>
          </m:dPr>
          <m:e>
            <m:nary>
              <m:naryPr>
                <m:chr m:val="∑"/>
                <m:limLoc m:val="undOvr"/>
                <m:subHide m:val="off"/>
                <m:supHide m:val="on"/>
              </m:naryPr>
              <m:sub>
                <m:r>
                  <m:t>i</m:t>
                </m:r>
              </m:sub>
              <m:sup>
                <m:r>
                  <m:t>​</m:t>
                </m:r>
              </m:sup>
              <m:e>
                <m:sSub>
                  <m:e>
                    <m:r>
                      <m:t>f</m:t>
                    </m:r>
                  </m:e>
                  <m:sub>
                    <m:r>
                      <m:t>i</m:t>
                    </m:r>
                    <m:r>
                      <m:rPr>
                        <m:sty m:val="p"/>
                      </m:rPr>
                      <m:t>,</m:t>
                    </m:r>
                    <m:r>
                      <m:t>s</m:t>
                    </m:r>
                  </m:sub>
                </m:sSub>
              </m:e>
            </m:nary>
          </m:e>
        </m:d>
        <m:d>
          <m:dPr>
            <m:begChr m:val="("/>
            <m:endChr m:val=")"/>
            <m:sepChr m:val=""/>
            <m:grow/>
          </m:dPr>
          <m:e>
            <m:nary>
              <m:naryPr>
                <m:chr m:val="∑"/>
                <m:limLoc m:val="undOvr"/>
                <m:subHide m:val="off"/>
                <m:supHide m:val="on"/>
              </m:naryPr>
              <m:sub>
                <m:r>
                  <m:t>j</m:t>
                </m:r>
              </m:sub>
              <m:sup>
                <m:r>
                  <m:t>​</m:t>
                </m:r>
              </m:sup>
              <m:e>
                <m:sSub>
                  <m:e>
                    <m:acc>
                      <m:accPr>
                        <m:chr m:val="‾"/>
                      </m:accPr>
                      <m:e>
                        <m:r>
                          <m:t>f</m:t>
                        </m:r>
                      </m:e>
                    </m:acc>
                  </m:e>
                  <m:sub>
                    <m:r>
                      <m:t>j</m:t>
                    </m:r>
                    <m:r>
                      <m:rPr>
                        <m:sty m:val="p"/>
                      </m:rPr>
                      <m:t>,</m:t>
                    </m:r>
                    <m:r>
                      <m:t>s</m:t>
                    </m:r>
                  </m:sub>
                </m:sSub>
              </m:e>
            </m:nary>
          </m:e>
        </m:d>
        <m:r>
          <m:rPr>
            <m:sty m:val="p"/>
          </m:rPr>
          <m:t>=</m:t>
        </m:r>
        <m:r>
          <m:t>1</m:t>
        </m:r>
      </m:oMath>
      <w:r>
        <w:t xml:space="preserve">, the 9 columns of</w:t>
      </w:r>
      <w:r>
        <w:t xml:space="preserve"> </w:t>
      </w:r>
      <m:oMath>
        <m:sSub>
          <m:e>
            <m:r>
              <m:t>X</m:t>
            </m:r>
          </m:e>
          <m:sub>
            <m:r>
              <m:t>9</m:t>
            </m:r>
          </m:sub>
        </m:sSub>
      </m:oMath>
      <w:r>
        <w:t xml:space="preserve"> </w:t>
      </w:r>
      <w:r>
        <w:t xml:space="preserve">sum to a constant vector of ones. Therefore, standard OLS without intercept (</w:t>
      </w:r>
      <w:r>
        <w:rPr>
          <w:rStyle w:val="VerbatimChar"/>
        </w:rPr>
        <w:t xml:space="preserve">fit_intercept=False</w:t>
      </w:r>
      <w:r>
        <w:t xml:space="preserve">) or minimal</w:t>
      </w:r>
      <w:r>
        <w:t xml:space="preserve"> </w:t>
      </w:r>
      <m:oMath>
        <m:sSub>
          <m:e>
            <m:r>
              <m:t>L</m:t>
            </m:r>
          </m:e>
          <m:sub>
            <m:r>
              <m:t>2</m:t>
            </m:r>
          </m:sub>
        </m:sSub>
      </m:oMath>
      <w:r>
        <w:t xml:space="preserve"> </w:t>
      </w:r>
      <w:r>
        <w:t xml:space="preserve">regularization (</w:t>
      </w:r>
      <m:oMath>
        <m:r>
          <m:t>α</m:t>
        </m:r>
        <m:r>
          <m:rPr>
            <m:sty m:val="p"/>
          </m:rPr>
          <m:t>=</m:t>
        </m:r>
        <m:sSup>
          <m:e>
            <m:r>
              <m:t>10</m:t>
            </m:r>
          </m:e>
          <m:sup>
            <m:r>
              <m:rPr>
                <m:sty m:val="p"/>
              </m:rPr>
              <m:t>−</m:t>
            </m:r>
            <m:r>
              <m:t>3</m:t>
            </m:r>
          </m:sup>
        </m:sSup>
      </m:oMath>
      <w:r>
        <w:t xml:space="preserve">) yields an exact, full-rank solution with Condition Numbers of only</w:t>
      </w:r>
      <w:r>
        <w:t xml:space="preserve"> </w:t>
      </w:r>
      <m:oMath>
        <m:r>
          <m:t>31.4</m:t>
        </m:r>
      </m:oMath>
      <w:r>
        <w:t xml:space="preserve"> </w:t>
      </w:r>
      <w:r>
        <w:t xml:space="preserve">(Lung),</w:t>
      </w:r>
      <w:r>
        <w:t xml:space="preserve"> </w:t>
      </w:r>
      <m:oMath>
        <m:r>
          <m:t>54.4</m:t>
        </m:r>
      </m:oMath>
      <w:r>
        <w:t xml:space="preserve"> </w:t>
      </w:r>
      <w:r>
        <w:t xml:space="preserve">(Breast), and</w:t>
      </w:r>
      <w:r>
        <w:t xml:space="preserve"> </w:t>
      </w:r>
      <m:oMath>
        <m:r>
          <m:t>45.4</m:t>
        </m:r>
      </m:oMath>
      <w:r>
        <w:t xml:space="preserve"> </w:t>
      </w:r>
      <w:r>
        <w:t xml:space="preserve">(Melanoma).</w:t>
      </w:r>
    </w:p>
    <w:bookmarkEnd w:id="31"/>
    <w:bookmarkEnd w:id="32"/>
    <w:bookmarkStart w:id="33" w:name="space-for-time-ergodic-mapping-framework"/>
    <w:p>
      <w:pPr>
        <w:pStyle w:val="Heading3"/>
      </w:pPr>
      <w:r>
        <w:t xml:space="preserve">2.5 Space-for-Time Ergodic Mapping Framework</w:t>
      </w:r>
    </w:p>
    <w:p>
      <w:pPr>
        <w:pStyle w:val="FirstParagraph"/>
      </w:pPr>
      <w:r>
        <w:t xml:space="preserve">To mathematically justify inferring dynamic temporal trajectories from static histological snapshots, we formulate the</w:t>
      </w:r>
      <w:r>
        <w:t xml:space="preserve"> </w:t>
      </w:r>
      <w:r>
        <w:rPr>
          <w:b/>
          <w:bCs/>
        </w:rPr>
        <w:t xml:space="preserve">Space-for-Time Ergodic Mapping Framework</w:t>
      </w:r>
      <w:r>
        <w:t xml:space="preserve">:</w:t>
      </w:r>
    </w:p>
    <w:p>
      <w:pPr>
        <w:pStyle w:val="BlockText"/>
      </w:pPr>
      <w:r>
        <w:rPr>
          <w:b/>
          <w:bCs/>
        </w:rPr>
        <w:t xml:space="preserve">Assumption / Proposition 1 (Conditional Space-for-Time Ergodic Mapping in Spatial Games):</w:t>
      </w:r>
      <w:r>
        <w:t xml:space="preserve"> </w:t>
      </w:r>
      <w:r>
        <w:t xml:space="preserve">Let</w:t>
      </w:r>
      <w:r>
        <w:t xml:space="preserve"> </w:t>
      </w:r>
      <m:oMath>
        <m:r>
          <m:t>Ω</m:t>
        </m:r>
        <m:r>
          <m:rPr>
            <m:sty m:val="p"/>
          </m:rPr>
          <m:t>⊂</m:t>
        </m:r>
        <m:sSup>
          <m:e>
            <m:r>
              <m:rPr>
                <m:sty m:val="p"/>
                <m:scr m:val="double-struck"/>
              </m:rPr>
              <m:t>R</m:t>
            </m:r>
          </m:e>
          <m:sup>
            <m:r>
              <m:t>2</m:t>
            </m:r>
          </m:sup>
        </m:sSup>
      </m:oMath>
      <w:r>
        <w:t xml:space="preserve"> </w:t>
      </w:r>
      <w:r>
        <w:t xml:space="preserve">be an intact tumor tissue section. Let</w:t>
      </w:r>
      <w:r>
        <w:t xml:space="preserve"> </w:t>
      </w:r>
      <m:oMath>
        <m:sSub>
          <m:e>
            <m:r>
              <m:t>w</m:t>
            </m:r>
          </m:e>
          <m:sub>
            <m:r>
              <m:t>i</m:t>
            </m:r>
          </m:sub>
        </m:sSub>
        <m:d>
          <m:dPr>
            <m:begChr m:val="("/>
            <m:endChr m:val=")"/>
            <m:sepChr m:val=""/>
            <m:grow/>
          </m:dPr>
          <m:e>
            <m:r>
              <m:rPr>
                <m:sty m:val="b"/>
              </m:rPr>
              <m:t>r</m:t>
            </m:r>
            <m:r>
              <m:rPr>
                <m:sty m:val="p"/>
              </m:rPr>
              <m:t>,</m:t>
            </m:r>
            <m:sSub>
              <m:e>
                <m:r>
                  <m:t>t</m:t>
                </m:r>
              </m:e>
              <m:sub>
                <m:r>
                  <m:t>0</m:t>
                </m:r>
              </m:sub>
            </m:sSub>
          </m:e>
        </m:d>
      </m:oMath>
      <w:r>
        <w:t xml:space="preserve"> </w:t>
      </w:r>
      <w:r>
        <w:t xml:space="preserve">denote the instantaneous net per-capita proliferation rate of subclone</w:t>
      </w:r>
      <w:r>
        <w:t xml:space="preserve"> </w:t>
      </w:r>
      <m:oMath>
        <m:r>
          <m:t>i</m:t>
        </m:r>
      </m:oMath>
      <w:r>
        <w:t xml:space="preserve"> </w:t>
      </w:r>
      <w:r>
        <w:t xml:space="preserve">at coordinate</w:t>
      </w:r>
      <w:r>
        <w:t xml:space="preserve"> </w:t>
      </w:r>
      <m:oMath>
        <m:r>
          <m:rPr>
            <m:sty m:val="b"/>
          </m:rPr>
          <m:t>r</m:t>
        </m:r>
      </m:oMath>
      <w:r>
        <w:t xml:space="preserve">, approximated via steady-state cell-cycle transcript abundance (</w:t>
      </w:r>
      <m:oMath>
        <m:r>
          <m:t>w</m:t>
        </m:r>
      </m:oMath>
      <w:r>
        <w:t xml:space="preserve">). If (i) transcriptional cell-cycle engagement scales monotonically with the per-capita division rate, (ii) the spatial micro-neighborhood distribution</w:t>
      </w:r>
      <w:r>
        <w:t xml:space="preserve"> </w:t>
      </w:r>
      <m:oMath>
        <m:r>
          <m:rPr>
            <m:sty m:val="p"/>
          </m:rPr>
          <m:t>{</m:t>
        </m:r>
        <m:acc>
          <m:accPr>
            <m:chr m:val="‾"/>
          </m:accPr>
          <m:e>
            <m:r>
              <m:rPr>
                <m:sty m:val="b"/>
              </m:rPr>
              <m:t>f</m:t>
            </m:r>
          </m:e>
        </m:acc>
        <m:d>
          <m:dPr>
            <m:begChr m:val="("/>
            <m:endChr m:val=")"/>
            <m:sepChr m:val=""/>
            <m:grow/>
          </m:dPr>
          <m:e>
            <m:r>
              <m:rPr>
                <m:sty m:val="b"/>
              </m:rPr>
              <m:t>r</m:t>
            </m:r>
          </m:e>
        </m:d>
        <m:sSub>
          <m:e>
            <m:r>
              <m:rPr>
                <m:sty m:val="p"/>
              </m:rPr>
              <m:t>}</m:t>
            </m:r>
          </m:e>
          <m:sub>
            <m:r>
              <m:rPr>
                <m:sty m:val="b"/>
              </m:rPr>
              <m:t>r</m:t>
            </m:r>
            <m:r>
              <m:rPr>
                <m:sty m:val="p"/>
              </m:rPr>
              <m:t>∈</m:t>
            </m:r>
            <m:r>
              <m:t>Ω</m:t>
            </m:r>
          </m:sub>
        </m:sSub>
      </m:oMath>
      <w:r>
        <w:t xml:space="preserve"> </w:t>
      </w:r>
      <w:r>
        <w:t xml:space="preserve">densely samples the frequency simplex</w:t>
      </w:r>
      <w:r>
        <w:t xml:space="preserve"> </w:t>
      </w:r>
      <m:oMath>
        <m:r>
          <m:t>Δ</m:t>
        </m:r>
        <m:r>
          <m:rPr>
            <m:sty m:val="p"/>
          </m:rPr>
          <m:t>=</m:t>
        </m:r>
        <m:r>
          <m:rPr>
            <m:sty m:val="p"/>
          </m:rPr>
          <m:t>{</m:t>
        </m:r>
        <m:r>
          <m:rPr>
            <m:sty m:val="b"/>
          </m:rPr>
          <m:t>x</m:t>
        </m:r>
        <m:r>
          <m:rPr>
            <m:sty m:val="p"/>
          </m:rPr>
          <m:t>∈</m:t>
        </m:r>
        <m:sSup>
          <m:e>
            <m:d>
              <m:dPr>
                <m:begChr m:val="["/>
                <m:endChr m:val="]"/>
                <m:sepChr m:val=""/>
                <m:grow/>
              </m:dPr>
              <m:e>
                <m:r>
                  <m:t>0</m:t>
                </m:r>
                <m:r>
                  <m:rPr>
                    <m:sty m:val="p"/>
                  </m:rPr>
                  <m:t>,</m:t>
                </m:r>
                <m:r>
                  <m:t>1</m:t>
                </m:r>
              </m:e>
            </m:d>
          </m:e>
          <m:sup>
            <m:r>
              <m:t>K</m:t>
            </m:r>
          </m:sup>
        </m:sSup>
        <m:r>
          <m:rPr>
            <m:sty m:val="p"/>
          </m:rPr>
          <m:t>:</m:t>
        </m:r>
        <m:nary>
          <m:naryPr>
            <m:chr m:val="∑"/>
            <m:limLoc m:val="undOvr"/>
            <m:subHide m:val="off"/>
            <m:supHide m:val="on"/>
          </m:naryPr>
          <m:sub>
            <m:r>
              <m:t>k</m:t>
            </m:r>
          </m:sub>
          <m:sup>
            <m:r>
              <m:t>​</m:t>
            </m:r>
          </m:sup>
          <m:e>
            <m:sSub>
              <m:e>
                <m:r>
                  <m:t>x</m:t>
                </m:r>
              </m:e>
              <m:sub>
                <m:r>
                  <m:t>k</m:t>
                </m:r>
              </m:sub>
            </m:sSub>
          </m:e>
        </m:nary>
        <m:r>
          <m:rPr>
            <m:sty m:val="p"/>
          </m:rPr>
          <m:t>=</m:t>
        </m:r>
        <m:r>
          <m:t>1</m:t>
        </m:r>
        <m:r>
          <m:rPr>
            <m:sty m:val="p"/>
          </m:rPr>
          <m:t>}</m:t>
        </m:r>
      </m:oMath>
      <w:r>
        <w:t xml:space="preserve">, and (iii) extrinsic spatial niche confounders are adequately orthogonalized, then the continuous replicator vector field:</w:t>
      </w:r>
    </w:p>
    <w:p>
      <w:pPr>
        <w:pStyle w:val="BlockText"/>
      </w:pPr>
      <m:oMathPara>
        <m:oMathParaPr>
          <m:jc m:val="center"/>
        </m:oMathParaPr>
        <m:oMath>
          <m:f>
            <m:fPr>
              <m:type m:val="bar"/>
            </m:fPr>
            <m:num>
              <m:r>
                <m:t>d</m:t>
              </m:r>
              <m:sSub>
                <m:e>
                  <m:r>
                    <m:t>x</m:t>
                  </m:r>
                </m:e>
                <m:sub>
                  <m:r>
                    <m:t>i</m:t>
                  </m:r>
                </m:sub>
              </m:sSub>
            </m:num>
            <m:den>
              <m:r>
                <m:t>d</m:t>
              </m:r>
              <m:r>
                <m:t>t</m:t>
              </m:r>
            </m:den>
          </m:f>
          <m:r>
            <m:rPr>
              <m:sty m:val="p"/>
            </m:rPr>
            <m:t>=</m:t>
          </m:r>
          <m:sSub>
            <m:e>
              <m:r>
                <m:t>x</m:t>
              </m:r>
            </m:e>
            <m:sub>
              <m:r>
                <m:t>i</m:t>
              </m:r>
            </m:sub>
          </m:sSub>
          <m:d>
            <m:dPr>
              <m:begChr m:val="["/>
              <m:endChr m:val="]"/>
              <m:sepChr m:val=""/>
              <m:grow/>
            </m:dPr>
            <m:e>
              <m:sSub>
                <m:e>
                  <m:r>
                    <m:t>F</m:t>
                  </m:r>
                </m:e>
                <m:sub>
                  <m:r>
                    <m:t>i</m:t>
                  </m:r>
                </m:sub>
              </m:sSub>
              <m:d>
                <m:dPr>
                  <m:begChr m:val="("/>
                  <m:endChr m:val=")"/>
                  <m:sepChr m:val=""/>
                  <m:grow/>
                </m:dPr>
                <m:e>
                  <m:r>
                    <m:rPr>
                      <m:sty m:val="b"/>
                    </m:rPr>
                    <m:t>x</m:t>
                  </m:r>
                </m:e>
              </m:d>
              <m:r>
                <m:rPr>
                  <m:sty m:val="p"/>
                </m:rPr>
                <m:t>−</m:t>
              </m:r>
              <m:acc>
                <m:accPr>
                  <m:chr m:val="‾"/>
                </m:accPr>
                <m:e>
                  <m:r>
                    <m:t>F</m:t>
                  </m:r>
                </m:e>
              </m:acc>
              <m:d>
                <m:dPr>
                  <m:begChr m:val="("/>
                  <m:endChr m:val=")"/>
                  <m:sepChr m:val=""/>
                  <m:grow/>
                </m:dPr>
                <m:e>
                  <m:r>
                    <m:rPr>
                      <m:sty m:val="b"/>
                    </m:rPr>
                    <m:t>x</m:t>
                  </m:r>
                </m:e>
              </m:d>
            </m:e>
          </m:d>
        </m:oMath>
      </m:oMathPara>
    </w:p>
    <w:p>
      <w:pPr>
        <w:pStyle w:val="BlockText"/>
      </w:pPr>
      <w:r>
        <w:t xml:space="preserve">is reconstructed across</w:t>
      </w:r>
      <w:r>
        <w:t xml:space="preserve"> </w:t>
      </w:r>
      <m:oMath>
        <m:r>
          <m:t>Δ</m:t>
        </m:r>
      </m:oMath>
      <w:r>
        <w:t xml:space="preserve"> </w:t>
      </w:r>
      <w:r>
        <w:t xml:space="preserve">up to strategy-independent additive constants from a single spatial snapshot at</w:t>
      </w:r>
      <w:r>
        <w:t xml:space="preserve"> </w:t>
      </w:r>
      <m:oMath>
        <m:r>
          <m:t>t</m:t>
        </m:r>
        <m:r>
          <m:rPr>
            <m:sty m:val="p"/>
          </m:rPr>
          <m:t>=</m:t>
        </m:r>
        <m:sSub>
          <m:e>
            <m:r>
              <m:t>t</m:t>
            </m:r>
          </m:e>
          <m:sub>
            <m:r>
              <m:t>0</m:t>
            </m:r>
          </m:sub>
        </m:sSub>
      </m:oMath>
      <w:r>
        <w:t xml:space="preserve">.</w:t>
      </w:r>
    </w:p>
    <w:p>
      <w:pPr>
        <w:pStyle w:val="FirstParagraph"/>
      </w:pPr>
      <w:r>
        <w:rPr>
          <w:i/>
          <w:iCs/>
        </w:rPr>
        <w:t xml:space="preserve">Mathematical and Biological Rationale:</w:t>
      </w:r>
      <w:r>
        <w:t xml:space="preserve"> </w:t>
      </w:r>
      <w:r>
        <w:t xml:space="preserve">In solid tumors, spatial clustering generates diverse local neighbor compositions</w:t>
      </w:r>
      <w:r>
        <w:t xml:space="preserve"> </w:t>
      </w:r>
      <m:oMath>
        <m:acc>
          <m:accPr>
            <m:chr m:val="‾"/>
          </m:accPr>
          <m:e>
            <m:r>
              <m:rPr>
                <m:sty m:val="b"/>
              </m:rPr>
              <m:t>f</m:t>
            </m:r>
          </m:e>
        </m:acc>
        <m:d>
          <m:dPr>
            <m:begChr m:val="("/>
            <m:endChr m:val=")"/>
            <m:sepChr m:val=""/>
            <m:grow/>
          </m:dPr>
          <m:e>
            <m:r>
              <m:rPr>
                <m:sty m:val="b"/>
              </m:rPr>
              <m:t>r</m:t>
            </m:r>
          </m:e>
        </m:d>
      </m:oMath>
      <w:r>
        <w:t xml:space="preserve"> </w:t>
      </w:r>
      <w:r>
        <w:t xml:space="preserve">across tissue coordinates</w:t>
      </w:r>
      <w:r>
        <w:t xml:space="preserve"> </w:t>
      </w:r>
      <m:oMath>
        <m:r>
          <m:rPr>
            <m:sty m:val="b"/>
          </m:rPr>
          <m:t>r</m:t>
        </m:r>
        <m:r>
          <m:rPr>
            <m:sty m:val="p"/>
          </m:rPr>
          <m:t>∈</m:t>
        </m:r>
        <m:r>
          <m:t>Ω</m:t>
        </m:r>
      </m:oMath>
      <w:r>
        <w:t xml:space="preserve">. Because thousands of spatial spots sample varied regions of the frequency simplex</w:t>
      </w:r>
      <w:r>
        <w:t xml:space="preserve"> </w:t>
      </w:r>
      <m:oMath>
        <m:r>
          <m:t>Δ</m:t>
        </m:r>
      </m:oMath>
      <w:r>
        <w:t xml:space="preserve">, estimating the empirical fitness response</w:t>
      </w:r>
      <w:r>
        <w:t xml:space="preserve"> </w:t>
      </w:r>
      <m:oMath>
        <m:sSub>
          <m:e>
            <m:r>
              <m:t>w</m:t>
            </m:r>
          </m:e>
          <m:sub>
            <m:r>
              <m:t>i</m:t>
            </m:r>
          </m:sub>
        </m:sSub>
        <m:d>
          <m:dPr>
            <m:begChr m:val="("/>
            <m:endChr m:val=")"/>
            <m:sepChr m:val=""/>
            <m:grow/>
          </m:dPr>
          <m:e>
            <m:r>
              <m:rPr>
                <m:sty m:val="b"/>
              </m:rPr>
              <m:t>r</m:t>
            </m:r>
          </m:e>
        </m:d>
        <m:r>
          <m:rPr>
            <m:sty m:val="p"/>
          </m:rPr>
          <m:t>=</m:t>
        </m:r>
        <m:nary>
          <m:naryPr>
            <m:chr m:val="∑"/>
            <m:limLoc m:val="undOvr"/>
            <m:subHide m:val="off"/>
            <m:supHide m:val="on"/>
          </m:naryPr>
          <m:sub>
            <m:r>
              <m:t>j</m:t>
            </m:r>
          </m:sub>
          <m:sup>
            <m:r>
              <m:t>​</m:t>
            </m:r>
          </m:sup>
          <m:e>
            <m:sSub>
              <m:e>
                <m:acc>
                  <m:accPr>
                    <m:chr m:val="̃"/>
                  </m:accPr>
                  <m:e>
                    <m:r>
                      <m:t>A</m:t>
                    </m:r>
                  </m:e>
                </m:acc>
              </m:e>
              <m:sub>
                <m:r>
                  <m:t>i</m:t>
                </m:r>
                <m:r>
                  <m:t>j</m:t>
                </m:r>
              </m:sub>
            </m:sSub>
          </m:e>
        </m:nary>
        <m:sSub>
          <m:e>
            <m:acc>
              <m:accPr>
                <m:chr m:val="‾"/>
              </m:accPr>
              <m:e>
                <m:r>
                  <m:t>f</m:t>
                </m:r>
              </m:e>
            </m:acc>
          </m:e>
          <m:sub>
            <m:r>
              <m:t>j</m:t>
            </m:r>
          </m:sub>
        </m:sSub>
        <m:d>
          <m:dPr>
            <m:begChr m:val="("/>
            <m:endChr m:val=")"/>
            <m:sepChr m:val=""/>
            <m:grow/>
          </m:dPr>
          <m:e>
            <m:r>
              <m:rPr>
                <m:sty m:val="b"/>
              </m:rPr>
              <m:t>r</m:t>
            </m:r>
          </m:e>
        </m:d>
      </m:oMath>
      <w:r>
        <w:t xml:space="preserve"> </w:t>
      </w:r>
      <w:r>
        <w:t xml:space="preserve">reconstructs the instantaneous fitness landscape across phase space. Two essential nuances govern this mapping:</w:t>
      </w:r>
      <w:r>
        <w:t xml:space="preserve"> </w:t>
      </w:r>
      <w:r>
        <w:t xml:space="preserve">1.</w:t>
      </w:r>
      <w:r>
        <w:t xml:space="preserve"> </w:t>
      </w:r>
      <w:r>
        <w:rPr>
          <w:b/>
          <w:bCs/>
        </w:rPr>
        <w:t xml:space="preserve">Phenotypic Steady-State Proxy:</w:t>
      </w:r>
      <w:r>
        <w:t xml:space="preserve"> </w:t>
      </w:r>
      <w:r>
        <w:t xml:space="preserve">Single-spot transcriptomic cell-cycle scoring measures instantaneous mRNA machinery commitment (</w:t>
      </w:r>
      <w:r>
        <w:rPr>
          <w:i/>
          <w:iCs/>
        </w:rPr>
        <w:t xml:space="preserve">MKI67, PCNA, TOP2A, CDK1</w:t>
      </w:r>
      <w:r>
        <w:t xml:space="preserve">), which serves as a steady-state phenotypic proxy for the per-capita mitotic rate</w:t>
      </w:r>
      <w:r>
        <w:t xml:space="preserve"> </w:t>
      </w:r>
      <m:oMath>
        <m:f>
          <m:fPr>
            <m:type m:val="bar"/>
          </m:fPr>
          <m:num>
            <m:r>
              <m:t>1</m:t>
            </m:r>
          </m:num>
          <m:den>
            <m:sSub>
              <m:e>
                <m:r>
                  <m:t>N</m:t>
                </m:r>
              </m:e>
              <m:sub>
                <m:r>
                  <m:t>i</m:t>
                </m:r>
              </m:sub>
            </m:sSub>
          </m:den>
        </m:f>
        <m:f>
          <m:fPr>
            <m:type m:val="bar"/>
          </m:fPr>
          <m:num>
            <m:r>
              <m:rPr>
                <m:sty m:val="p"/>
              </m:rPr>
              <m:t>∂</m:t>
            </m:r>
            <m:sSub>
              <m:e>
                <m:r>
                  <m:t>N</m:t>
                </m:r>
              </m:e>
              <m:sub>
                <m:r>
                  <m:t>i</m:t>
                </m:r>
              </m:sub>
            </m:sSub>
          </m:num>
          <m:den>
            <m:r>
              <m:rPr>
                <m:sty m:val="p"/>
              </m:rPr>
              <m:t>∂</m:t>
            </m:r>
            <m:r>
              <m:t>t</m:t>
            </m:r>
          </m:den>
        </m:f>
      </m:oMath>
      <w:r>
        <w:t xml:space="preserve">, assuming that transcriptional cell-cycle engagement translates linearly into cell division.</w:t>
      </w:r>
      <w:r>
        <w:t xml:space="preserve"> </w:t>
      </w:r>
      <w:r>
        <w:t xml:space="preserve">2.</w:t>
      </w:r>
      <w:r>
        <w:t xml:space="preserve"> </w:t>
      </w:r>
      <w:r>
        <w:rPr>
          <w:b/>
          <w:bCs/>
        </w:rPr>
        <w:t xml:space="preserve">Replicator Gauge Invariance:</w:t>
      </w:r>
      <w:r>
        <w:t xml:space="preserve"> </w:t>
      </w:r>
      <w:r>
        <w:t xml:space="preserve">In evolutionary dynamics, replicator trajectories are invariant under row-wise additive shifts (</w:t>
      </w:r>
      <m:oMath>
        <m:sSub>
          <m:e>
            <m:r>
              <m:t>F</m:t>
            </m:r>
          </m:e>
          <m:sub>
            <m:r>
              <m:t>i</m:t>
            </m:r>
          </m:sub>
        </m:sSub>
        <m:d>
          <m:dPr>
            <m:begChr m:val="("/>
            <m:endChr m:val=")"/>
            <m:sepChr m:val=""/>
            <m:grow/>
          </m:dPr>
          <m:e>
            <m:r>
              <m:rPr>
                <m:sty m:val="b"/>
              </m:rPr>
              <m:t>x</m:t>
            </m:r>
          </m:e>
        </m:d>
        <m:r>
          <m:rPr>
            <m:sty m:val="p"/>
          </m:rPr>
          <m:t>→</m:t>
        </m:r>
        <m:sSub>
          <m:e>
            <m:r>
              <m:t>F</m:t>
            </m:r>
          </m:e>
          <m:sub>
            <m:r>
              <m:t>i</m:t>
            </m:r>
          </m:sub>
        </m:sSub>
        <m:d>
          <m:dPr>
            <m:begChr m:val="("/>
            <m:endChr m:val=")"/>
            <m:sepChr m:val=""/>
            <m:grow/>
          </m:dPr>
          <m:e>
            <m:r>
              <m:rPr>
                <m:sty m:val="b"/>
              </m:rPr>
              <m:t>x</m:t>
            </m:r>
          </m:e>
        </m:d>
        <m:r>
          <m:rPr>
            <m:sty m:val="p"/>
          </m:rPr>
          <m:t>+</m:t>
        </m:r>
        <m:r>
          <m:t>c</m:t>
        </m:r>
        <m:d>
          <m:dPr>
            <m:begChr m:val="("/>
            <m:endChr m:val=")"/>
            <m:sepChr m:val=""/>
            <m:grow/>
          </m:dPr>
          <m:e>
            <m:r>
              <m:rPr>
                <m:sty m:val="b"/>
              </m:rPr>
              <m:t>x</m:t>
            </m:r>
          </m:e>
        </m:d>
      </m:oMath>
      <w:r>
        <w:t xml:space="preserve"> </w:t>
      </w:r>
      <w:r>
        <w:t xml:space="preserve">cancels identically in</w:t>
      </w:r>
      <w:r>
        <w:t xml:space="preserve"> </w:t>
      </w:r>
      <m:oMath>
        <m:sSub>
          <m:e>
            <m:r>
              <m:t>F</m:t>
            </m:r>
          </m:e>
          <m:sub>
            <m:r>
              <m:t>i</m:t>
            </m:r>
          </m:sub>
        </m:sSub>
        <m:r>
          <m:rPr>
            <m:sty m:val="p"/>
          </m:rPr>
          <m:t>−</m:t>
        </m:r>
        <m:acc>
          <m:accPr>
            <m:chr m:val="‾"/>
          </m:accPr>
          <m:e>
            <m:r>
              <m:t>F</m:t>
            </m:r>
          </m:e>
        </m:acc>
      </m:oMath>
      <w:r>
        <w:t xml:space="preserve">). Because absorbing intrinsic fitness into</w:t>
      </w:r>
      <w:r>
        <w:t xml:space="preserve"> </w:t>
      </w:r>
      <m:oMath>
        <m:sSub>
          <m:e>
            <m:acc>
              <m:accPr>
                <m:chr m:val="̃"/>
              </m:accPr>
              <m:e>
                <m:r>
                  <m:t>A</m:t>
                </m:r>
              </m:e>
            </m:acc>
          </m:e>
          <m:sub>
            <m:r>
              <m:t>i</m:t>
            </m:r>
            <m:r>
              <m:t>j</m:t>
            </m:r>
          </m:sub>
        </m:sSub>
        <m:r>
          <m:rPr>
            <m:sty m:val="p"/>
          </m:rPr>
          <m:t>=</m:t>
        </m:r>
        <m:sSub>
          <m:e>
            <m:r>
              <m:t>b</m:t>
            </m:r>
          </m:e>
          <m:sub>
            <m:r>
              <m:t>i</m:t>
            </m:r>
          </m:sub>
        </m:sSub>
        <m:r>
          <m:rPr>
            <m:sty m:val="p"/>
          </m:rPr>
          <m:t>+</m:t>
        </m:r>
        <m:sSub>
          <m:e>
            <m:r>
              <m:t>A</m:t>
            </m:r>
          </m:e>
          <m:sub>
            <m:r>
              <m:t>i</m:t>
            </m:r>
            <m:r>
              <m:t>j</m:t>
            </m:r>
          </m:sub>
        </m:sSub>
      </m:oMath>
      <w:r>
        <w:t xml:space="preserve"> </w:t>
      </w:r>
      <w:r>
        <w:t xml:space="preserve">represents a strategy-specific constant that acts identically across simplex mixtures (</w:t>
      </w:r>
      <m:oMath>
        <m:nary>
          <m:naryPr>
            <m:chr m:val="∑"/>
            <m:limLoc m:val="undOvr"/>
            <m:subHide m:val="off"/>
            <m:supHide m:val="on"/>
          </m:naryPr>
          <m:sub>
            <m:r>
              <m:t>j</m:t>
            </m:r>
          </m:sub>
          <m:sup>
            <m:r>
              <m:t>​</m:t>
            </m:r>
          </m:sup>
          <m:e>
            <m:sSub>
              <m:e>
                <m:acc>
                  <m:accPr>
                    <m:chr m:val="‾"/>
                  </m:accPr>
                  <m:e>
                    <m:r>
                      <m:t>f</m:t>
                    </m:r>
                  </m:e>
                </m:acc>
              </m:e>
              <m:sub>
                <m:r>
                  <m:t>j</m:t>
                </m:r>
              </m:sub>
            </m:sSub>
          </m:e>
        </m:nary>
        <m:r>
          <m:rPr>
            <m:sty m:val="p"/>
          </m:rPr>
          <m:t>=</m:t>
        </m:r>
        <m:r>
          <m:t>1</m:t>
        </m:r>
      </m:oMath>
      <w:r>
        <w:t xml:space="preserve">), the relative selective gradients (</w:t>
      </w:r>
      <m:oMath>
        <m:sSub>
          <m:e>
            <m:acc>
              <m:accPr>
                <m:chr m:val="̃"/>
              </m:accPr>
              <m:e>
                <m:r>
                  <m:t>Δ</m:t>
                </m:r>
              </m:e>
            </m:acc>
          </m:e>
          <m:sub>
            <m:r>
              <m:t>S</m:t>
            </m:r>
          </m:sub>
        </m:sSub>
        <m:r>
          <m:rPr>
            <m:sty m:val="p"/>
          </m:rPr>
          <m:t>,</m:t>
        </m:r>
        <m:sSub>
          <m:e>
            <m:acc>
              <m:accPr>
                <m:chr m:val="̃"/>
              </m:accPr>
              <m:e>
                <m:r>
                  <m:t>Δ</m:t>
                </m:r>
              </m:e>
            </m:acc>
          </m:e>
          <m:sub>
            <m:r>
              <m:t>R</m:t>
            </m:r>
          </m:sub>
        </m:sSub>
      </m:oMath>
      <w:r>
        <w:t xml:space="preserve">), Nash equilibria, and replicator phase orbits are strictly preserved.</w:t>
      </w:r>
    </w:p>
    <w:bookmarkEnd w:id="33"/>
    <w:bookmarkStart w:id="36" w:name="X9923238069ee2a29485e324ec0e530cae5e7a0e"/>
    <w:p>
      <w:pPr>
        <w:pStyle w:val="Heading3"/>
      </w:pPr>
      <w:r>
        <w:t xml:space="preserve">2.6 Analytical Nash Equilibrium Classifier and Stromal Conditioning</w:t>
      </w:r>
    </w:p>
    <w:p>
      <w:pPr>
        <w:pStyle w:val="FirstParagraph"/>
      </w:pPr>
      <w:r>
        <w:t xml:space="preserve">The clinical trajectory of the tumor under therapy depends on the sub-game between Sensitive (</w:t>
      </w:r>
      <m:oMath>
        <m:r>
          <m:t>S</m:t>
        </m:r>
      </m:oMath>
      <w:r>
        <w:t xml:space="preserve">) and Resistant (</w:t>
      </w:r>
      <m:oMath>
        <m:r>
          <m:t>R</m:t>
        </m:r>
      </m:oMath>
      <w:r>
        <w:t xml:space="preserve">) clones. For the identifiable absorbed matrix</w:t>
      </w:r>
      <w:r>
        <w:t xml:space="preserve"> </w:t>
      </w:r>
      <m:oMath>
        <m:acc>
          <m:accPr>
            <m:chr m:val="̃"/>
          </m:accPr>
          <m:e>
            <m:r>
              <m:t>A</m:t>
            </m:r>
          </m:e>
        </m:acc>
      </m:oMath>
      <w:r>
        <w:t xml:space="preserve">, the relative selective advantages are:</w:t>
      </w:r>
    </w:p>
    <w:p>
      <w:pPr>
        <w:pStyle w:val="BodyText"/>
      </w:pPr>
      <m:oMathPara>
        <m:oMathParaPr>
          <m:jc m:val="center"/>
        </m:oMathParaPr>
        <m:oMath>
          <m:sSub>
            <m:e>
              <m:acc>
                <m:accPr>
                  <m:chr m:val="̃"/>
                </m:accPr>
                <m:e>
                  <m:r>
                    <m:t>Δ</m:t>
                  </m:r>
                </m:e>
              </m:acc>
            </m:e>
            <m:sub>
              <m:r>
                <m:t>S</m:t>
              </m:r>
            </m:sub>
          </m:sSub>
          <m:r>
            <m:rPr>
              <m:sty m:val="p"/>
            </m:rPr>
            <m:t>=</m:t>
          </m:r>
          <m:sSub>
            <m:e>
              <m:acc>
                <m:accPr>
                  <m:chr m:val="̃"/>
                </m:accPr>
                <m:e>
                  <m:r>
                    <m:t>A</m:t>
                  </m:r>
                </m:e>
              </m:acc>
            </m:e>
            <m:sub>
              <m:r>
                <m:t>S</m:t>
              </m:r>
              <m:r>
                <m:t>S</m:t>
              </m:r>
            </m:sub>
          </m:sSub>
          <m:r>
            <m:rPr>
              <m:sty m:val="p"/>
            </m:rPr>
            <m:t>−</m:t>
          </m:r>
          <m:sSub>
            <m:e>
              <m:acc>
                <m:accPr>
                  <m:chr m:val="̃"/>
                </m:accPr>
                <m:e>
                  <m:r>
                    <m:t>A</m:t>
                  </m:r>
                </m:e>
              </m:acc>
            </m:e>
            <m:sub>
              <m:r>
                <m:t>R</m:t>
              </m:r>
              <m:r>
                <m:t>S</m:t>
              </m:r>
            </m:sub>
          </m:sSub>
        </m:oMath>
      </m:oMathPara>
    </w:p>
    <w:p>
      <w:pPr>
        <w:pStyle w:val="FirstParagraph"/>
      </w:pPr>
      <m:oMathPara>
        <m:oMathParaPr>
          <m:jc m:val="center"/>
        </m:oMathParaPr>
        <m:oMath>
          <m:sSub>
            <m:e>
              <m:acc>
                <m:accPr>
                  <m:chr m:val="̃"/>
                </m:accPr>
                <m:e>
                  <m:r>
                    <m:t>Δ</m:t>
                  </m:r>
                </m:e>
              </m:acc>
            </m:e>
            <m:sub>
              <m:r>
                <m:t>R</m:t>
              </m:r>
            </m:sub>
          </m:sSub>
          <m:r>
            <m:rPr>
              <m:sty m:val="p"/>
            </m:rPr>
            <m:t>=</m:t>
          </m:r>
          <m:sSub>
            <m:e>
              <m:acc>
                <m:accPr>
                  <m:chr m:val="̃"/>
                </m:accPr>
                <m:e>
                  <m:r>
                    <m:t>A</m:t>
                  </m:r>
                </m:e>
              </m:acc>
            </m:e>
            <m:sub>
              <m:r>
                <m:t>R</m:t>
              </m:r>
              <m:r>
                <m:t>R</m:t>
              </m:r>
            </m:sub>
          </m:sSub>
          <m:r>
            <m:rPr>
              <m:sty m:val="p"/>
            </m:rPr>
            <m:t>−</m:t>
          </m:r>
          <m:sSub>
            <m:e>
              <m:acc>
                <m:accPr>
                  <m:chr m:val="̃"/>
                </m:accPr>
                <m:e>
                  <m:r>
                    <m:t>A</m:t>
                  </m:r>
                </m:e>
              </m:acc>
            </m:e>
            <m:sub>
              <m:r>
                <m:t>S</m:t>
              </m:r>
              <m:r>
                <m:t>R</m:t>
              </m:r>
            </m:sub>
          </m:sSub>
        </m:oMath>
      </m:oMathPara>
    </w:p>
    <w:bookmarkStart w:id="34" w:name="X59859c925b5ddc5bc1bc133a68fac439f3eb461"/>
    <w:p>
      <w:pPr>
        <w:pStyle w:val="Heading4"/>
      </w:pPr>
      <w:r>
        <w:t xml:space="preserve">Stroma in the</w:t>
      </w:r>
      <w:r>
        <w:t xml:space="preserve"> </w:t>
      </w:r>
      <m:oMath>
        <m:r>
          <m:t>2</m:t>
        </m:r>
        <m:r>
          <m:rPr>
            <m:sty m:val="p"/>
          </m:rPr>
          <m:t>×</m:t>
        </m:r>
        <m:r>
          <m:t>2</m:t>
        </m:r>
      </m:oMath>
      <w:r>
        <w:t xml:space="preserve"> </w:t>
      </w:r>
      <w:r>
        <w:t xml:space="preserve">Sub-Game Projection</w:t>
      </w:r>
    </w:p>
    <w:p>
      <w:pPr>
        <w:pStyle w:val="FirstParagraph"/>
      </w:pPr>
      <w:r>
        <w:t xml:space="preserve">When projecting the 3-strategy system</w:t>
      </w:r>
      <w:r>
        <w:t xml:space="preserve"> </w:t>
      </w:r>
      <m:oMath>
        <m:r>
          <m:rPr>
            <m:sty m:val="p"/>
          </m:rPr>
          <m:t>{</m:t>
        </m:r>
        <m:r>
          <m:t>S</m:t>
        </m:r>
        <m:r>
          <m:rPr>
            <m:sty m:val="p"/>
          </m:rPr>
          <m:t>,</m:t>
        </m:r>
        <m:r>
          <m:t>R</m:t>
        </m:r>
        <m:r>
          <m:rPr>
            <m:sty m:val="p"/>
          </m:rPr>
          <m:t>,</m:t>
        </m:r>
        <m:r>
          <m:t>C</m:t>
        </m:r>
        <m:r>
          <m:rPr>
            <m:sty m:val="p"/>
          </m:rPr>
          <m:t>}</m:t>
        </m:r>
      </m:oMath>
      <w:r>
        <w:t xml:space="preserve"> </w:t>
      </w:r>
      <w:r>
        <w:t xml:space="preserve">onto the 2-clone tumor sub-game, stroma (</w:t>
      </w:r>
      <m:oMath>
        <m:r>
          <m:t>C</m:t>
        </m:r>
      </m:oMath>
      <w:r>
        <w:t xml:space="preserve">) is modeled as a conditioning microenvironmental background. The spot-level fitness equations for</w:t>
      </w:r>
      <w:r>
        <w:t xml:space="preserve"> </w:t>
      </w:r>
      <m:oMath>
        <m:r>
          <m:t>S</m:t>
        </m:r>
      </m:oMath>
      <w:r>
        <w:t xml:space="preserve"> </w:t>
      </w:r>
      <w:r>
        <w:t xml:space="preserve">and</w:t>
      </w:r>
      <w:r>
        <w:t xml:space="preserve"> </w:t>
      </w:r>
      <m:oMath>
        <m:r>
          <m:t>R</m:t>
        </m:r>
      </m:oMath>
      <w:r>
        <w:t xml:space="preserve"> </w:t>
      </w:r>
      <w:r>
        <w:t xml:space="preserve">evaluate to:</w:t>
      </w:r>
    </w:p>
    <w:p>
      <w:pPr>
        <w:pStyle w:val="BodyText"/>
      </w:pPr>
      <m:oMathPara>
        <m:oMathParaPr>
          <m:jc m:val="center"/>
        </m:oMathParaPr>
        <m:oMath>
          <m:sSub>
            <m:e>
              <m:r>
                <m:t>w</m:t>
              </m:r>
            </m:e>
            <m:sub>
              <m:r>
                <m:t>S</m:t>
              </m:r>
            </m:sub>
          </m:sSub>
          <m:r>
            <m:rPr>
              <m:sty m:val="p"/>
            </m:rPr>
            <m:t>=</m:t>
          </m:r>
          <m:sSub>
            <m:e>
              <m:acc>
                <m:accPr>
                  <m:chr m:val="̃"/>
                </m:accPr>
                <m:e>
                  <m:r>
                    <m:t>A</m:t>
                  </m:r>
                </m:e>
              </m:acc>
            </m:e>
            <m:sub>
              <m:r>
                <m:t>S</m:t>
              </m:r>
              <m:r>
                <m:t>S</m:t>
              </m:r>
            </m:sub>
          </m:sSub>
          <m:sSub>
            <m:e>
              <m:acc>
                <m:accPr>
                  <m:chr m:val="‾"/>
                </m:accPr>
                <m:e>
                  <m:r>
                    <m:t>f</m:t>
                  </m:r>
                </m:e>
              </m:acc>
            </m:e>
            <m:sub>
              <m:r>
                <m:t>S</m:t>
              </m:r>
            </m:sub>
          </m:sSub>
          <m:r>
            <m:rPr>
              <m:sty m:val="p"/>
            </m:rPr>
            <m:t>+</m:t>
          </m:r>
          <m:sSub>
            <m:e>
              <m:acc>
                <m:accPr>
                  <m:chr m:val="̃"/>
                </m:accPr>
                <m:e>
                  <m:r>
                    <m:t>A</m:t>
                  </m:r>
                </m:e>
              </m:acc>
            </m:e>
            <m:sub>
              <m:r>
                <m:t>S</m:t>
              </m:r>
              <m:r>
                <m:t>R</m:t>
              </m:r>
            </m:sub>
          </m:sSub>
          <m:sSub>
            <m:e>
              <m:acc>
                <m:accPr>
                  <m:chr m:val="‾"/>
                </m:accPr>
                <m:e>
                  <m:r>
                    <m:t>f</m:t>
                  </m:r>
                </m:e>
              </m:acc>
            </m:e>
            <m:sub>
              <m:r>
                <m:t>R</m:t>
              </m:r>
            </m:sub>
          </m:sSub>
          <m:r>
            <m:rPr>
              <m:sty m:val="p"/>
            </m:rPr>
            <m:t>+</m:t>
          </m:r>
          <m:sSub>
            <m:e>
              <m:acc>
                <m:accPr>
                  <m:chr m:val="̃"/>
                </m:accPr>
                <m:e>
                  <m:r>
                    <m:t>A</m:t>
                  </m:r>
                </m:e>
              </m:acc>
            </m:e>
            <m:sub>
              <m:r>
                <m:t>S</m:t>
              </m:r>
              <m:r>
                <m:t>C</m:t>
              </m:r>
            </m:sub>
          </m:sSub>
          <m:sSub>
            <m:e>
              <m:acc>
                <m:accPr>
                  <m:chr m:val="‾"/>
                </m:accPr>
                <m:e>
                  <m:r>
                    <m:t>f</m:t>
                  </m:r>
                </m:e>
              </m:acc>
            </m:e>
            <m:sub>
              <m:r>
                <m:t>C</m:t>
              </m:r>
            </m:sub>
          </m:sSub>
        </m:oMath>
      </m:oMathPara>
    </w:p>
    <w:p>
      <w:pPr>
        <w:pStyle w:val="FirstParagraph"/>
      </w:pPr>
      <m:oMathPara>
        <m:oMathParaPr>
          <m:jc m:val="center"/>
        </m:oMathParaPr>
        <m:oMath>
          <m:sSub>
            <m:e>
              <m:r>
                <m:t>w</m:t>
              </m:r>
            </m:e>
            <m:sub>
              <m:r>
                <m:t>R</m:t>
              </m:r>
            </m:sub>
          </m:sSub>
          <m:r>
            <m:rPr>
              <m:sty m:val="p"/>
            </m:rPr>
            <m:t>=</m:t>
          </m:r>
          <m:sSub>
            <m:e>
              <m:acc>
                <m:accPr>
                  <m:chr m:val="̃"/>
                </m:accPr>
                <m:e>
                  <m:r>
                    <m:t>A</m:t>
                  </m:r>
                </m:e>
              </m:acc>
            </m:e>
            <m:sub>
              <m:r>
                <m:t>R</m:t>
              </m:r>
              <m:r>
                <m:t>S</m:t>
              </m:r>
            </m:sub>
          </m:sSub>
          <m:sSub>
            <m:e>
              <m:acc>
                <m:accPr>
                  <m:chr m:val="‾"/>
                </m:accPr>
                <m:e>
                  <m:r>
                    <m:t>f</m:t>
                  </m:r>
                </m:e>
              </m:acc>
            </m:e>
            <m:sub>
              <m:r>
                <m:t>S</m:t>
              </m:r>
            </m:sub>
          </m:sSub>
          <m:r>
            <m:rPr>
              <m:sty m:val="p"/>
            </m:rPr>
            <m:t>+</m:t>
          </m:r>
          <m:sSub>
            <m:e>
              <m:acc>
                <m:accPr>
                  <m:chr m:val="̃"/>
                </m:accPr>
                <m:e>
                  <m:r>
                    <m:t>A</m:t>
                  </m:r>
                </m:e>
              </m:acc>
            </m:e>
            <m:sub>
              <m:r>
                <m:t>R</m:t>
              </m:r>
              <m:r>
                <m:t>R</m:t>
              </m:r>
            </m:sub>
          </m:sSub>
          <m:sSub>
            <m:e>
              <m:acc>
                <m:accPr>
                  <m:chr m:val="‾"/>
                </m:accPr>
                <m:e>
                  <m:r>
                    <m:t>f</m:t>
                  </m:r>
                </m:e>
              </m:acc>
            </m:e>
            <m:sub>
              <m:r>
                <m:t>R</m:t>
              </m:r>
            </m:sub>
          </m:sSub>
          <m:r>
            <m:rPr>
              <m:sty m:val="p"/>
            </m:rPr>
            <m:t>+</m:t>
          </m:r>
          <m:sSub>
            <m:e>
              <m:acc>
                <m:accPr>
                  <m:chr m:val="̃"/>
                </m:accPr>
                <m:e>
                  <m:r>
                    <m:t>A</m:t>
                  </m:r>
                </m:e>
              </m:acc>
            </m:e>
            <m:sub>
              <m:r>
                <m:t>R</m:t>
              </m:r>
              <m:r>
                <m:t>C</m:t>
              </m:r>
            </m:sub>
          </m:sSub>
          <m:sSub>
            <m:e>
              <m:acc>
                <m:accPr>
                  <m:chr m:val="‾"/>
                </m:accPr>
                <m:e>
                  <m:r>
                    <m:t>f</m:t>
                  </m:r>
                </m:e>
              </m:acc>
            </m:e>
            <m:sub>
              <m:r>
                <m:t>C</m:t>
              </m:r>
            </m:sub>
          </m:sSub>
        </m:oMath>
      </m:oMathPara>
    </w:p>
    <w:p>
      <w:pPr>
        <w:pStyle w:val="FirstParagraph"/>
      </w:pPr>
      <w:r>
        <w:t xml:space="preserve">Evaluating the relative fitness differential between clones yields:</w:t>
      </w:r>
    </w:p>
    <w:p>
      <w:pPr>
        <w:pStyle w:val="BodyText"/>
      </w:pPr>
      <m:oMathPara>
        <m:oMathParaPr>
          <m:jc m:val="center"/>
        </m:oMathParaPr>
        <m:oMath>
          <m:sSub>
            <m:e>
              <m:r>
                <m:t>w</m:t>
              </m:r>
            </m:e>
            <m:sub>
              <m:r>
                <m:t>S</m:t>
              </m:r>
            </m:sub>
          </m:sSub>
          <m:r>
            <m:rPr>
              <m:sty m:val="p"/>
            </m:rPr>
            <m:t>−</m:t>
          </m:r>
          <m:sSub>
            <m:e>
              <m:r>
                <m:t>w</m:t>
              </m:r>
            </m:e>
            <m:sub>
              <m:r>
                <m:t>R</m:t>
              </m:r>
            </m:sub>
          </m:sSub>
          <m:r>
            <m:rPr>
              <m:sty m:val="p"/>
            </m:rPr>
            <m:t>=</m:t>
          </m:r>
          <m:d>
            <m:dPr>
              <m:begChr m:val="("/>
              <m:endChr m:val=")"/>
              <m:sepChr m:val=""/>
              <m:grow/>
            </m:dPr>
            <m:e>
              <m:sSub>
                <m:e>
                  <m:acc>
                    <m:accPr>
                      <m:chr m:val="̃"/>
                    </m:accPr>
                    <m:e>
                      <m:r>
                        <m:t>A</m:t>
                      </m:r>
                    </m:e>
                  </m:acc>
                </m:e>
                <m:sub>
                  <m:r>
                    <m:t>S</m:t>
                  </m:r>
                  <m:r>
                    <m:t>S</m:t>
                  </m:r>
                </m:sub>
              </m:sSub>
              <m:r>
                <m:rPr>
                  <m:sty m:val="p"/>
                </m:rPr>
                <m:t>−</m:t>
              </m:r>
              <m:sSub>
                <m:e>
                  <m:acc>
                    <m:accPr>
                      <m:chr m:val="̃"/>
                    </m:accPr>
                    <m:e>
                      <m:r>
                        <m:t>A</m:t>
                      </m:r>
                    </m:e>
                  </m:acc>
                </m:e>
                <m:sub>
                  <m:r>
                    <m:t>R</m:t>
                  </m:r>
                  <m:r>
                    <m:t>S</m:t>
                  </m:r>
                </m:sub>
              </m:sSub>
            </m:e>
          </m:d>
          <m:sSub>
            <m:e>
              <m:acc>
                <m:accPr>
                  <m:chr m:val="‾"/>
                </m:accPr>
                <m:e>
                  <m:r>
                    <m:t>f</m:t>
                  </m:r>
                </m:e>
              </m:acc>
            </m:e>
            <m:sub>
              <m:r>
                <m:t>S</m:t>
              </m:r>
            </m:sub>
          </m:sSub>
          <m:r>
            <m:rPr>
              <m:sty m:val="p"/>
            </m:rPr>
            <m:t>+</m:t>
          </m:r>
          <m:d>
            <m:dPr>
              <m:begChr m:val="("/>
              <m:endChr m:val=")"/>
              <m:sepChr m:val=""/>
              <m:grow/>
            </m:dPr>
            <m:e>
              <m:sSub>
                <m:e>
                  <m:acc>
                    <m:accPr>
                      <m:chr m:val="̃"/>
                    </m:accPr>
                    <m:e>
                      <m:r>
                        <m:t>A</m:t>
                      </m:r>
                    </m:e>
                  </m:acc>
                </m:e>
                <m:sub>
                  <m:r>
                    <m:t>S</m:t>
                  </m:r>
                  <m:r>
                    <m:t>R</m:t>
                  </m:r>
                </m:sub>
              </m:sSub>
              <m:r>
                <m:rPr>
                  <m:sty m:val="p"/>
                </m:rPr>
                <m:t>−</m:t>
              </m:r>
              <m:sSub>
                <m:e>
                  <m:acc>
                    <m:accPr>
                      <m:chr m:val="̃"/>
                    </m:accPr>
                    <m:e>
                      <m:r>
                        <m:t>A</m:t>
                      </m:r>
                    </m:e>
                  </m:acc>
                </m:e>
                <m:sub>
                  <m:r>
                    <m:t>R</m:t>
                  </m:r>
                  <m:r>
                    <m:t>R</m:t>
                  </m:r>
                </m:sub>
              </m:sSub>
            </m:e>
          </m:d>
          <m:sSub>
            <m:e>
              <m:acc>
                <m:accPr>
                  <m:chr m:val="‾"/>
                </m:accPr>
                <m:e>
                  <m:r>
                    <m:t>f</m:t>
                  </m:r>
                </m:e>
              </m:acc>
            </m:e>
            <m:sub>
              <m:r>
                <m:t>R</m:t>
              </m:r>
            </m:sub>
          </m:sSub>
          <m:r>
            <m:rPr>
              <m:sty m:val="p"/>
            </m:rPr>
            <m:t>+</m:t>
          </m:r>
          <m:d>
            <m:dPr>
              <m:begChr m:val="("/>
              <m:endChr m:val=")"/>
              <m:sepChr m:val=""/>
              <m:grow/>
            </m:dPr>
            <m:e>
              <m:sSub>
                <m:e>
                  <m:acc>
                    <m:accPr>
                      <m:chr m:val="̃"/>
                    </m:accPr>
                    <m:e>
                      <m:r>
                        <m:t>A</m:t>
                      </m:r>
                    </m:e>
                  </m:acc>
                </m:e>
                <m:sub>
                  <m:r>
                    <m:t>S</m:t>
                  </m:r>
                  <m:r>
                    <m:t>C</m:t>
                  </m:r>
                </m:sub>
              </m:sSub>
              <m:r>
                <m:rPr>
                  <m:sty m:val="p"/>
                </m:rPr>
                <m:t>−</m:t>
              </m:r>
              <m:sSub>
                <m:e>
                  <m:acc>
                    <m:accPr>
                      <m:chr m:val="̃"/>
                    </m:accPr>
                    <m:e>
                      <m:r>
                        <m:t>A</m:t>
                      </m:r>
                    </m:e>
                  </m:acc>
                </m:e>
                <m:sub>
                  <m:r>
                    <m:t>R</m:t>
                  </m:r>
                  <m:r>
                    <m:t>C</m:t>
                  </m:r>
                </m:sub>
              </m:sSub>
            </m:e>
          </m:d>
          <m:sSub>
            <m:e>
              <m:acc>
                <m:accPr>
                  <m:chr m:val="‾"/>
                </m:accPr>
                <m:e>
                  <m:r>
                    <m:t>f</m:t>
                  </m:r>
                </m:e>
              </m:acc>
            </m:e>
            <m:sub>
              <m:r>
                <m:t>C</m:t>
              </m:r>
            </m:sub>
          </m:sSub>
        </m:oMath>
      </m:oMathPara>
    </w:p>
    <w:p>
      <w:pPr>
        <w:pStyle w:val="FirstParagraph"/>
      </w:pPr>
      <w:r>
        <w:t xml:space="preserve">Parametrizing the local tumor composition by</w:t>
      </w:r>
      <w:r>
        <w:t xml:space="preserve"> </w:t>
      </w:r>
      <m:oMath>
        <m:r>
          <m:t>y</m:t>
        </m:r>
        <m:r>
          <m:rPr>
            <m:sty m:val="p"/>
          </m:rPr>
          <m:t>=</m:t>
        </m:r>
        <m:f>
          <m:fPr>
            <m:type m:val="bar"/>
          </m:fPr>
          <m:num>
            <m:sSub>
              <m:e>
                <m:acc>
                  <m:accPr>
                    <m:chr m:val="‾"/>
                  </m:accPr>
                  <m:e>
                    <m:r>
                      <m:t>f</m:t>
                    </m:r>
                  </m:e>
                </m:acc>
              </m:e>
              <m:sub>
                <m:r>
                  <m:t>S</m:t>
                </m:r>
              </m:sub>
            </m:sSub>
          </m:num>
          <m:den>
            <m:sSub>
              <m:e>
                <m:acc>
                  <m:accPr>
                    <m:chr m:val="‾"/>
                  </m:accPr>
                  <m:e>
                    <m:r>
                      <m:t>f</m:t>
                    </m:r>
                  </m:e>
                </m:acc>
              </m:e>
              <m:sub>
                <m:r>
                  <m:t>S</m:t>
                </m:r>
              </m:sub>
            </m:sSub>
            <m:r>
              <m:rPr>
                <m:sty m:val="p"/>
              </m:rPr>
              <m:t>+</m:t>
            </m:r>
            <m:sSub>
              <m:e>
                <m:acc>
                  <m:accPr>
                    <m:chr m:val="‾"/>
                  </m:accPr>
                  <m:e>
                    <m:r>
                      <m:t>f</m:t>
                    </m:r>
                  </m:e>
                </m:acc>
              </m:e>
              <m:sub>
                <m:r>
                  <m:t>R</m:t>
                </m:r>
              </m:sub>
            </m:sSub>
          </m:den>
        </m:f>
        <m:r>
          <m:rPr>
            <m:sty m:val="p"/>
          </m:rPr>
          <m:t>∈</m:t>
        </m:r>
        <m:d>
          <m:dPr>
            <m:begChr m:val="["/>
            <m:endChr m:val="]"/>
            <m:sepChr m:val=""/>
            <m:grow/>
          </m:dPr>
          <m:e>
            <m:r>
              <m:t>0</m:t>
            </m:r>
            <m:r>
              <m:rPr>
                <m:sty m:val="p"/>
              </m:rPr>
              <m:t>,</m:t>
            </m:r>
            <m:r>
              <m:t>1</m:t>
            </m:r>
          </m:e>
        </m:d>
      </m:oMath>
      <w:r>
        <w:t xml:space="preserve"> </w:t>
      </w:r>
      <w:r>
        <w:t xml:space="preserve">and denoting the local stromal fraction by</w:t>
      </w:r>
      <w:r>
        <w:t xml:space="preserve"> </w:t>
      </w:r>
      <m:oMath>
        <m:r>
          <m:t>c</m:t>
        </m:r>
        <m:r>
          <m:rPr>
            <m:sty m:val="p"/>
          </m:rPr>
          <m:t>=</m:t>
        </m:r>
        <m:sSub>
          <m:e>
            <m:acc>
              <m:accPr>
                <m:chr m:val="‾"/>
              </m:accPr>
              <m:e>
                <m:r>
                  <m:t>f</m:t>
                </m:r>
              </m:e>
            </m:acc>
          </m:e>
          <m:sub>
            <m:r>
              <m:t>C</m:t>
            </m:r>
          </m:sub>
        </m:sSub>
      </m:oMath>
      <w:r>
        <w:t xml:space="preserve">, we have</w:t>
      </w:r>
      <w:r>
        <w:t xml:space="preserve"> </w:t>
      </w:r>
      <m:oMath>
        <m:sSub>
          <m:e>
            <m:acc>
              <m:accPr>
                <m:chr m:val="‾"/>
              </m:accPr>
              <m:e>
                <m:r>
                  <m:t>f</m:t>
                </m:r>
              </m:e>
            </m:acc>
          </m:e>
          <m:sub>
            <m:r>
              <m:t>S</m:t>
            </m:r>
          </m:sub>
        </m:sSub>
        <m:r>
          <m:rPr>
            <m:sty m:val="p"/>
          </m:rPr>
          <m:t>=</m:t>
        </m:r>
        <m:d>
          <m:dPr>
            <m:begChr m:val="("/>
            <m:endChr m:val=")"/>
            <m:sepChr m:val=""/>
            <m:grow/>
          </m:dPr>
          <m:e>
            <m:r>
              <m:t>1</m:t>
            </m:r>
            <m:r>
              <m:rPr>
                <m:sty m:val="p"/>
              </m:rPr>
              <m:t>−</m:t>
            </m:r>
            <m:r>
              <m:t>c</m:t>
            </m:r>
          </m:e>
        </m:d>
        <m:r>
          <m:t>y</m:t>
        </m:r>
      </m:oMath>
      <w:r>
        <w:t xml:space="preserve"> </w:t>
      </w:r>
      <w:r>
        <w:t xml:space="preserve">and</w:t>
      </w:r>
      <w:r>
        <w:t xml:space="preserve"> </w:t>
      </w:r>
      <m:oMath>
        <m:sSub>
          <m:e>
            <m:acc>
              <m:accPr>
                <m:chr m:val="‾"/>
              </m:accPr>
              <m:e>
                <m:r>
                  <m:t>f</m:t>
                </m:r>
              </m:e>
            </m:acc>
          </m:e>
          <m:sub>
            <m:r>
              <m:t>R</m:t>
            </m:r>
          </m:sub>
        </m:sSub>
        <m:r>
          <m:rPr>
            <m:sty m:val="p"/>
          </m:rPr>
          <m:t>=</m:t>
        </m:r>
        <m:d>
          <m:dPr>
            <m:begChr m:val="("/>
            <m:endChr m:val=")"/>
            <m:sepChr m:val=""/>
            <m:grow/>
          </m:dPr>
          <m:e>
            <m:r>
              <m:t>1</m:t>
            </m:r>
            <m:r>
              <m:rPr>
                <m:sty m:val="p"/>
              </m:rPr>
              <m:t>−</m:t>
            </m:r>
            <m:r>
              <m:t>c</m:t>
            </m:r>
          </m:e>
        </m:d>
        <m:d>
          <m:dPr>
            <m:begChr m:val="("/>
            <m:endChr m:val=")"/>
            <m:sepChr m:val=""/>
            <m:grow/>
          </m:dPr>
          <m:e>
            <m:r>
              <m:t>1</m:t>
            </m:r>
            <m:r>
              <m:rPr>
                <m:sty m:val="p"/>
              </m:rPr>
              <m:t>−</m:t>
            </m:r>
            <m:r>
              <m:t>y</m:t>
            </m:r>
          </m:e>
        </m:d>
      </m:oMath>
      <w:r>
        <w:t xml:space="preserve">. The clonal fitness differential becomes:</w:t>
      </w:r>
    </w:p>
    <w:p>
      <w:pPr>
        <w:pStyle w:val="BodyText"/>
      </w:pPr>
      <m:oMathPara>
        <m:oMathParaPr>
          <m:jc m:val="center"/>
        </m:oMathParaPr>
        <m:oMath>
          <m:sSub>
            <m:e>
              <m:r>
                <m:t>w</m:t>
              </m:r>
            </m:e>
            <m:sub>
              <m:r>
                <m:t>S</m:t>
              </m:r>
            </m:sub>
          </m:sSub>
          <m:r>
            <m:rPr>
              <m:sty m:val="p"/>
            </m:rPr>
            <m:t>−</m:t>
          </m:r>
          <m:sSub>
            <m:e>
              <m:r>
                <m:t>w</m:t>
              </m:r>
            </m:e>
            <m:sub>
              <m:r>
                <m:t>R</m:t>
              </m:r>
            </m:sub>
          </m:sSub>
          <m:r>
            <m:rPr>
              <m:sty m:val="p"/>
            </m:rPr>
            <m:t>=</m:t>
          </m:r>
          <m:d>
            <m:dPr>
              <m:begChr m:val="("/>
              <m:endChr m:val=")"/>
              <m:sepChr m:val=""/>
              <m:grow/>
            </m:dPr>
            <m:e>
              <m:r>
                <m:t>1</m:t>
              </m:r>
              <m:r>
                <m:rPr>
                  <m:sty m:val="p"/>
                </m:rPr>
                <m:t>−</m:t>
              </m:r>
              <m:r>
                <m:t>c</m:t>
              </m:r>
            </m:e>
          </m:d>
          <m:d>
            <m:dPr>
              <m:begChr m:val="["/>
              <m:endChr m:val="]"/>
              <m:sepChr m:val=""/>
              <m:grow/>
            </m:dPr>
            <m:e>
              <m:r>
                <m:t>y</m:t>
              </m:r>
              <m:d>
                <m:dPr>
                  <m:begChr m:val="("/>
                  <m:endChr m:val=")"/>
                  <m:sepChr m:val=""/>
                  <m:grow/>
                </m:dPr>
                <m:e>
                  <m:sSub>
                    <m:e>
                      <m:acc>
                        <m:accPr>
                          <m:chr m:val="̃"/>
                        </m:accPr>
                        <m:e>
                          <m:r>
                            <m:t>Δ</m:t>
                          </m:r>
                        </m:e>
                      </m:acc>
                    </m:e>
                    <m:sub>
                      <m:r>
                        <m:t>S</m:t>
                      </m:r>
                    </m:sub>
                  </m:sSub>
                  <m:r>
                    <m:rPr>
                      <m:sty m:val="p"/>
                    </m:rPr>
                    <m:t>+</m:t>
                  </m:r>
                  <m:sSub>
                    <m:e>
                      <m:acc>
                        <m:accPr>
                          <m:chr m:val="̃"/>
                        </m:accPr>
                        <m:e>
                          <m:r>
                            <m:t>Δ</m:t>
                          </m:r>
                        </m:e>
                      </m:acc>
                    </m:e>
                    <m:sub>
                      <m:r>
                        <m:t>R</m:t>
                      </m:r>
                    </m:sub>
                  </m:sSub>
                </m:e>
              </m:d>
              <m:r>
                <m:rPr>
                  <m:sty m:val="p"/>
                </m:rPr>
                <m:t>−</m:t>
              </m:r>
              <m:sSub>
                <m:e>
                  <m:acc>
                    <m:accPr>
                      <m:chr m:val="̃"/>
                    </m:accPr>
                    <m:e>
                      <m:r>
                        <m:t>Δ</m:t>
                      </m:r>
                    </m:e>
                  </m:acc>
                </m:e>
                <m:sub>
                  <m:r>
                    <m:t>R</m:t>
                  </m:r>
                </m:sub>
              </m:sSub>
            </m:e>
          </m:d>
          <m:r>
            <m:rPr>
              <m:sty m:val="p"/>
            </m:rPr>
            <m:t>+</m:t>
          </m:r>
          <m:r>
            <m:t>κ</m:t>
          </m:r>
          <m:r>
            <m:t>c</m:t>
          </m:r>
          <m:r>
            <m:rPr>
              <m:sty m:val="p"/>
            </m:rPr>
            <m:t>,</m:t>
          </m:r>
          <m:r>
            <m:t> </m:t>
          </m:r>
          <m:r>
            <m:rPr>
              <m:nor/>
              <m:sty m:val="p"/>
            </m:rPr>
            <m:t>where </m:t>
          </m:r>
          <m:r>
            <m:t>κ</m:t>
          </m:r>
          <m:r>
            <m:rPr>
              <m:sty m:val="p"/>
            </m:rPr>
            <m:t>=</m:t>
          </m:r>
          <m:sSub>
            <m:e>
              <m:acc>
                <m:accPr>
                  <m:chr m:val="̃"/>
                </m:accPr>
                <m:e>
                  <m:r>
                    <m:t>A</m:t>
                  </m:r>
                </m:e>
              </m:acc>
            </m:e>
            <m:sub>
              <m:r>
                <m:t>S</m:t>
              </m:r>
              <m:r>
                <m:t>C</m:t>
              </m:r>
            </m:sub>
          </m:sSub>
          <m:r>
            <m:rPr>
              <m:sty m:val="p"/>
            </m:rPr>
            <m:t>−</m:t>
          </m:r>
          <m:sSub>
            <m:e>
              <m:acc>
                <m:accPr>
                  <m:chr m:val="̃"/>
                </m:accPr>
                <m:e>
                  <m:r>
                    <m:t>A</m:t>
                  </m:r>
                </m:e>
              </m:acc>
            </m:e>
            <m:sub>
              <m:r>
                <m:t>R</m:t>
              </m:r>
              <m:r>
                <m:t>C</m:t>
              </m:r>
            </m:sub>
          </m:sSub>
        </m:oMath>
      </m:oMathPara>
    </w:p>
    <w:p>
      <w:pPr>
        <w:pStyle w:val="FirstParagraph"/>
      </w:pPr>
      <w:r>
        <w:t xml:space="preserve">Setting</w:t>
      </w:r>
      <w:r>
        <w:t xml:space="preserve"> </w:t>
      </w:r>
      <m:oMath>
        <m:sSub>
          <m:e>
            <m:r>
              <m:t>w</m:t>
            </m:r>
          </m:e>
          <m:sub>
            <m:r>
              <m:t>S</m:t>
            </m:r>
          </m:sub>
        </m:sSub>
        <m:r>
          <m:rPr>
            <m:sty m:val="p"/>
          </m:rPr>
          <m:t>−</m:t>
        </m:r>
        <m:sSub>
          <m:e>
            <m:r>
              <m:t>w</m:t>
            </m:r>
          </m:e>
          <m:sub>
            <m:r>
              <m:t>R</m:t>
            </m:r>
          </m:sub>
        </m:sSub>
        <m:r>
          <m:rPr>
            <m:sty m:val="p"/>
          </m:rPr>
          <m:t>=</m:t>
        </m:r>
        <m:r>
          <m:t>0</m:t>
        </m:r>
      </m:oMath>
      <w:r>
        <w:t xml:space="preserve"> </w:t>
      </w:r>
      <w:r>
        <w:t xml:space="preserve">yields the stroma-conditioned interior equilibrium:</w:t>
      </w:r>
    </w:p>
    <w:p>
      <w:pPr>
        <w:pStyle w:val="BodyText"/>
      </w:pPr>
      <m:oMathPara>
        <m:oMathParaPr>
          <m:jc m:val="center"/>
        </m:oMathParaPr>
        <m:oMath>
          <m:sSup>
            <m:e>
              <m:r>
                <m:t>y</m:t>
              </m:r>
            </m:e>
            <m:sup>
              <m:r>
                <m:rPr>
                  <m:sty m:val="p"/>
                </m:rPr>
                <m:t>*</m:t>
              </m:r>
            </m:sup>
          </m:sSup>
          <m:d>
            <m:dPr>
              <m:begChr m:val="("/>
              <m:endChr m:val=")"/>
              <m:sepChr m:val=""/>
              <m:grow/>
            </m:dPr>
            <m:e>
              <m:r>
                <m:t>c</m:t>
              </m:r>
            </m:e>
          </m:d>
          <m:r>
            <m:rPr>
              <m:sty m:val="p"/>
            </m:rPr>
            <m:t>=</m:t>
          </m:r>
          <m:f>
            <m:fPr>
              <m:type m:val="bar"/>
            </m:fPr>
            <m:num>
              <m:sSub>
                <m:e>
                  <m:acc>
                    <m:accPr>
                      <m:chr m:val="̃"/>
                    </m:accPr>
                    <m:e>
                      <m:r>
                        <m:t>Δ</m:t>
                      </m:r>
                    </m:e>
                  </m:acc>
                </m:e>
                <m:sub>
                  <m:r>
                    <m:t>R</m:t>
                  </m:r>
                </m:sub>
              </m:sSub>
              <m:r>
                <m:rPr>
                  <m:sty m:val="p"/>
                </m:rPr>
                <m:t>−</m:t>
              </m:r>
              <m:f>
                <m:fPr>
                  <m:type m:val="bar"/>
                </m:fPr>
                <m:num>
                  <m:r>
                    <m:t>κ</m:t>
                  </m:r>
                  <m:r>
                    <m:t>c</m:t>
                  </m:r>
                </m:num>
                <m:den>
                  <m:r>
                    <m:t>1</m:t>
                  </m:r>
                  <m:r>
                    <m:rPr>
                      <m:sty m:val="p"/>
                    </m:rPr>
                    <m:t>−</m:t>
                  </m:r>
                  <m:r>
                    <m:t>c</m:t>
                  </m:r>
                </m:den>
              </m:f>
            </m:num>
            <m:den>
              <m:sSub>
                <m:e>
                  <m:acc>
                    <m:accPr>
                      <m:chr m:val="̃"/>
                    </m:accPr>
                    <m:e>
                      <m:r>
                        <m:t>Δ</m:t>
                      </m:r>
                    </m:e>
                  </m:acc>
                </m:e>
                <m:sub>
                  <m:r>
                    <m:t>S</m:t>
                  </m:r>
                </m:sub>
              </m:sSub>
              <m:r>
                <m:rPr>
                  <m:sty m:val="p"/>
                </m:rPr>
                <m:t>+</m:t>
              </m:r>
              <m:sSub>
                <m:e>
                  <m:acc>
                    <m:accPr>
                      <m:chr m:val="̃"/>
                    </m:accPr>
                    <m:e>
                      <m:r>
                        <m:t>Δ</m:t>
                      </m:r>
                    </m:e>
                  </m:acc>
                </m:e>
                <m:sub>
                  <m:r>
                    <m:t>R</m:t>
                  </m:r>
                </m:sub>
              </m:sSub>
            </m:den>
          </m:f>
        </m:oMath>
      </m:oMathPara>
    </w:p>
    <w:p>
      <w:pPr>
        <w:pStyle w:val="FirstParagraph"/>
      </w:pPr>
      <w:r>
        <w:t xml:space="preserve">While this stromal offset quantitatively modulates the interior coordinate (e.g. from</w:t>
      </w:r>
      <w:r>
        <w:t xml:space="preserve"> </w:t>
      </w:r>
      <m:oMath>
        <m:r>
          <m:t>61.3</m:t>
        </m:r>
        <m:r>
          <m:rPr>
            <m:sty m:val="p"/>
          </m:rPr>
          <m:t>%</m:t>
        </m:r>
      </m:oMath>
      <w:r>
        <w:t xml:space="preserve"> </w:t>
      </w:r>
      <w:r>
        <w:t xml:space="preserve">to</w:t>
      </w:r>
      <w:r>
        <w:t xml:space="preserve"> </w:t>
      </w:r>
      <m:oMath>
        <m:r>
          <m:rPr>
            <m:sty m:val="p"/>
          </m:rPr>
          <m:t>≈</m:t>
        </m:r>
        <m:r>
          <m:t>53</m:t>
        </m:r>
        <m:r>
          <m:rPr>
            <m:sty m:val="p"/>
          </m:rPr>
          <m:t>%</m:t>
        </m:r>
      </m:oMath>
      <w:r>
        <w:t xml:space="preserve"> </w:t>
      </w:r>
      <w:r>
        <w:t xml:space="preserve">depending on local stromal infiltration</w:t>
      </w:r>
      <w:r>
        <w:t xml:space="preserve"> </w:t>
      </w:r>
      <m:oMath>
        <m:r>
          <m:t>c</m:t>
        </m:r>
      </m:oMath>
      <w:r>
        <w:t xml:space="preserve">), it preserves the fundamental topological classification of the game regime (governed by the signs of</w:t>
      </w:r>
      <w:r>
        <w:t xml:space="preserve"> </w:t>
      </w:r>
      <m:oMath>
        <m:sSub>
          <m:e>
            <m:acc>
              <m:accPr>
                <m:chr m:val="̃"/>
              </m:accPr>
              <m:e>
                <m:r>
                  <m:t>Δ</m:t>
                </m:r>
              </m:e>
            </m:acc>
          </m:e>
          <m:sub>
            <m:r>
              <m:t>S</m:t>
            </m:r>
          </m:sub>
        </m:sSub>
      </m:oMath>
      <w:r>
        <w:t xml:space="preserve"> </w:t>
      </w:r>
      <w:r>
        <w:t xml:space="preserve">and</w:t>
      </w:r>
      <w:r>
        <w:t xml:space="preserve"> </w:t>
      </w:r>
      <m:oMath>
        <m:sSub>
          <m:e>
            <m:acc>
              <m:accPr>
                <m:chr m:val="̃"/>
              </m:accPr>
              <m:e>
                <m:r>
                  <m:t>Δ</m:t>
                </m:r>
              </m:e>
            </m:acc>
          </m:e>
          <m:sub>
            <m:r>
              <m:t>R</m:t>
            </m:r>
          </m:sub>
        </m:sSub>
      </m:oMath>
      <w:r>
        <w:t xml:space="preserve">).</w:t>
      </w:r>
    </w:p>
    <w:p>
      <w:pPr>
        <w:pStyle w:val="BodyText"/>
      </w:pPr>
      <w:r>
        <w:t xml:space="preserve">In the 2-clone tumor sub-game, we denote</w:t>
      </w:r>
      <w:r>
        <w:t xml:space="preserve"> </w:t>
      </w:r>
      <m:oMath>
        <m:sSub>
          <m:e>
            <m:r>
              <m:t>x</m:t>
            </m:r>
          </m:e>
          <m:sub>
            <m:r>
              <m:t>S</m:t>
            </m:r>
          </m:sub>
        </m:sSub>
      </m:oMath>
      <w:r>
        <w:t xml:space="preserve"> </w:t>
      </w:r>
      <w:r>
        <w:t xml:space="preserve">as the sensitive clone frequency and</w:t>
      </w:r>
      <w:r>
        <w:t xml:space="preserve"> </w:t>
      </w:r>
      <m:oMath>
        <m:sSub>
          <m:e>
            <m:r>
              <m:t>x</m:t>
            </m:r>
          </m:e>
          <m:sub>
            <m:r>
              <m:t>R</m:t>
            </m:r>
          </m:sub>
        </m:sSub>
        <m:r>
          <m:rPr>
            <m:sty m:val="p"/>
          </m:rPr>
          <m:t>=</m:t>
        </m:r>
        <m:r>
          <m:t>1</m:t>
        </m:r>
        <m:r>
          <m:rPr>
            <m:sty m:val="p"/>
          </m:rPr>
          <m:t>−</m:t>
        </m:r>
        <m:sSub>
          <m:e>
            <m:r>
              <m:t>x</m:t>
            </m:r>
          </m:e>
          <m:sub>
            <m:r>
              <m:t>S</m:t>
            </m:r>
          </m:sub>
        </m:sSub>
      </m:oMath>
      <w:r>
        <w:t xml:space="preserve"> </w:t>
      </w:r>
      <w:r>
        <w:t xml:space="preserve">as the resistant clone frequency. The dynamical system admits four canonical Nash equilibrium regimes:</w:t>
      </w:r>
      <w:r>
        <w:t xml:space="preserve"> </w:t>
      </w:r>
      <w:r>
        <w:t xml:space="preserve">1.</w:t>
      </w:r>
      <w:r>
        <w:t xml:space="preserve"> </w:t>
      </w:r>
      <w:r>
        <w:rPr>
          <w:b/>
          <w:bCs/>
        </w:rPr>
        <w:t xml:space="preserve">Sensitive Dominance (</w:t>
      </w:r>
      <m:oMath>
        <m:sSub>
          <m:e>
            <m:acc>
              <m:accPr>
                <m:chr m:val="̃"/>
              </m:accPr>
              <m:e>
                <m:r>
                  <m:t>Δ</m:t>
                </m:r>
              </m:e>
            </m:acc>
          </m:e>
          <m:sub>
            <m:r>
              <m:t>S</m:t>
            </m:r>
          </m:sub>
        </m:sSub>
        <m:r>
          <m:rPr>
            <m:sty m:val="p"/>
          </m:rPr>
          <m:t>&gt;</m:t>
        </m:r>
        <m:r>
          <m:t>0</m:t>
        </m:r>
        <m:r>
          <m:rPr>
            <m:sty m:val="p"/>
          </m:rPr>
          <m:t>,</m:t>
        </m:r>
        <m:sSub>
          <m:e>
            <m:acc>
              <m:accPr>
                <m:chr m:val="̃"/>
              </m:accPr>
              <m:e>
                <m:r>
                  <m:t>Δ</m:t>
                </m:r>
              </m:e>
            </m:acc>
          </m:e>
          <m:sub>
            <m:r>
              <m:t>R</m:t>
            </m:r>
          </m:sub>
        </m:sSub>
        <m:r>
          <m:rPr>
            <m:sty m:val="p"/>
          </m:rPr>
          <m:t>&lt;</m:t>
        </m:r>
        <m:r>
          <m:t>0</m:t>
        </m:r>
      </m:oMath>
      <w:r>
        <w:rPr>
          <w:b/>
          <w:bCs/>
        </w:rPr>
        <w:t xml:space="preserve">):</w:t>
      </w:r>
      <w:r>
        <w:t xml:space="preserve"> </w:t>
      </w:r>
      <m:oMath>
        <m:r>
          <m:t>S</m:t>
        </m:r>
      </m:oMath>
      <w:r>
        <w:t xml:space="preserve"> </w:t>
      </w:r>
      <w:r>
        <w:t xml:space="preserve">unconditionally outcompetes</w:t>
      </w:r>
      <w:r>
        <w:t xml:space="preserve"> </w:t>
      </w:r>
      <m:oMath>
        <m:r>
          <m:t>R</m:t>
        </m:r>
      </m:oMath>
      <w:r>
        <w:t xml:space="preserve">.</w:t>
      </w:r>
      <w:r>
        <w:t xml:space="preserve"> </w:t>
      </w:r>
      <w:r>
        <w:t xml:space="preserve">2.</w:t>
      </w:r>
      <w:r>
        <w:t xml:space="preserve"> </w:t>
      </w:r>
      <w:r>
        <w:rPr>
          <w:b/>
          <w:bCs/>
        </w:rPr>
        <w:t xml:space="preserve">Resistant Dominance (</w:t>
      </w:r>
      <m:oMath>
        <m:sSub>
          <m:e>
            <m:acc>
              <m:accPr>
                <m:chr m:val="̃"/>
              </m:accPr>
              <m:e>
                <m:r>
                  <m:t>Δ</m:t>
                </m:r>
              </m:e>
            </m:acc>
          </m:e>
          <m:sub>
            <m:r>
              <m:t>S</m:t>
            </m:r>
          </m:sub>
        </m:sSub>
        <m:r>
          <m:rPr>
            <m:sty m:val="p"/>
          </m:rPr>
          <m:t>&lt;</m:t>
        </m:r>
        <m:r>
          <m:t>0</m:t>
        </m:r>
        <m:r>
          <m:rPr>
            <m:sty m:val="p"/>
          </m:rPr>
          <m:t>,</m:t>
        </m:r>
        <m:sSub>
          <m:e>
            <m:acc>
              <m:accPr>
                <m:chr m:val="̃"/>
              </m:accPr>
              <m:e>
                <m:r>
                  <m:t>Δ</m:t>
                </m:r>
              </m:e>
            </m:acc>
          </m:e>
          <m:sub>
            <m:r>
              <m:t>R</m:t>
            </m:r>
          </m:sub>
        </m:sSub>
        <m:r>
          <m:rPr>
            <m:sty m:val="p"/>
          </m:rPr>
          <m:t>&gt;</m:t>
        </m:r>
        <m:r>
          <m:t>0</m:t>
        </m:r>
      </m:oMath>
      <w:r>
        <w:rPr>
          <w:b/>
          <w:bCs/>
        </w:rPr>
        <w:t xml:space="preserve">):</w:t>
      </w:r>
      <w:r>
        <w:t xml:space="preserve"> </w:t>
      </w:r>
      <m:oMath>
        <m:r>
          <m:t>R</m:t>
        </m:r>
      </m:oMath>
      <w:r>
        <w:t xml:space="preserve"> </w:t>
      </w:r>
      <w:r>
        <w:t xml:space="preserve">unconditionally outcompetes</w:t>
      </w:r>
      <w:r>
        <w:t xml:space="preserve"> </w:t>
      </w:r>
      <m:oMath>
        <m:r>
          <m:t>S</m:t>
        </m:r>
      </m:oMath>
      <w:r>
        <w:t xml:space="preserve">.</w:t>
      </w:r>
      <w:r>
        <w:t xml:space="preserve"> </w:t>
      </w:r>
      <w:r>
        <w:t xml:space="preserve">3.</w:t>
      </w:r>
      <w:r>
        <w:t xml:space="preserve"> </w:t>
      </w:r>
      <w:r>
        <w:rPr>
          <w:b/>
          <w:bCs/>
        </w:rPr>
        <w:t xml:space="preserve">Stag Hunt / Bistable (</w:t>
      </w:r>
      <m:oMath>
        <m:sSub>
          <m:e>
            <m:acc>
              <m:accPr>
                <m:chr m:val="̃"/>
              </m:accPr>
              <m:e>
                <m:r>
                  <m:t>Δ</m:t>
                </m:r>
              </m:e>
            </m:acc>
          </m:e>
          <m:sub>
            <m:r>
              <m:t>S</m:t>
            </m:r>
          </m:sub>
        </m:sSub>
        <m:r>
          <m:rPr>
            <m:sty m:val="p"/>
          </m:rPr>
          <m:t>&gt;</m:t>
        </m:r>
        <m:r>
          <m:t>0</m:t>
        </m:r>
        <m:r>
          <m:rPr>
            <m:sty m:val="p"/>
          </m:rPr>
          <m:t>,</m:t>
        </m:r>
        <m:sSub>
          <m:e>
            <m:acc>
              <m:accPr>
                <m:chr m:val="̃"/>
              </m:accPr>
              <m:e>
                <m:r>
                  <m:t>Δ</m:t>
                </m:r>
              </m:e>
            </m:acc>
          </m:e>
          <m:sub>
            <m:r>
              <m:t>R</m:t>
            </m:r>
          </m:sub>
        </m:sSub>
        <m:r>
          <m:rPr>
            <m:sty m:val="p"/>
          </m:rPr>
          <m:t>&gt;</m:t>
        </m:r>
        <m:r>
          <m:t>0</m:t>
        </m:r>
      </m:oMath>
      <w:r>
        <w:rPr>
          <w:b/>
          <w:bCs/>
        </w:rPr>
        <w:t xml:space="preserve">):</w:t>
      </w:r>
      <w:r>
        <w:t xml:space="preserve"> </w:t>
      </w:r>
      <w:r>
        <w:t xml:space="preserve">Both pure states are locally stable, separated by an unstable tipping threshold:</w:t>
      </w:r>
    </w:p>
    <w:p>
      <w:pPr>
        <w:pStyle w:val="BodyText"/>
      </w:pPr>
      <m:oMathPara>
        <m:oMathParaPr>
          <m:jc m:val="center"/>
        </m:oMathParaPr>
        <m:oMath>
          <m:sSub>
            <m:e>
              <m:r>
                <m:t>x</m:t>
              </m:r>
            </m:e>
            <m:sub>
              <m:r>
                <m:t>S</m:t>
              </m:r>
              <m:r>
                <m:rPr>
                  <m:sty m:val="p"/>
                </m:rPr>
                <m:t>,</m:t>
              </m:r>
              <m:r>
                <m:t>s</m:t>
              </m:r>
              <m:r>
                <m:t>e</m:t>
              </m:r>
              <m:r>
                <m:t>p</m:t>
              </m:r>
            </m:sub>
          </m:sSub>
          <m:r>
            <m:rPr>
              <m:sty m:val="p"/>
            </m:rPr>
            <m:t>=</m:t>
          </m:r>
          <m:f>
            <m:fPr>
              <m:type m:val="bar"/>
            </m:fPr>
            <m:num>
              <m:sSub>
                <m:e>
                  <m:acc>
                    <m:accPr>
                      <m:chr m:val="̃"/>
                    </m:accPr>
                    <m:e>
                      <m:r>
                        <m:t>Δ</m:t>
                      </m:r>
                    </m:e>
                  </m:acc>
                </m:e>
                <m:sub>
                  <m:r>
                    <m:t>R</m:t>
                  </m:r>
                </m:sub>
              </m:sSub>
            </m:num>
            <m:den>
              <m:sSub>
                <m:e>
                  <m:acc>
                    <m:accPr>
                      <m:chr m:val="̃"/>
                    </m:accPr>
                    <m:e>
                      <m:r>
                        <m:t>Δ</m:t>
                      </m:r>
                    </m:e>
                  </m:acc>
                </m:e>
                <m:sub>
                  <m:r>
                    <m:t>S</m:t>
                  </m:r>
                </m:sub>
              </m:sSub>
              <m:r>
                <m:rPr>
                  <m:sty m:val="p"/>
                </m:rPr>
                <m:t>+</m:t>
              </m:r>
              <m:sSub>
                <m:e>
                  <m:acc>
                    <m:accPr>
                      <m:chr m:val="̃"/>
                    </m:accPr>
                    <m:e>
                      <m:r>
                        <m:t>Δ</m:t>
                      </m:r>
                    </m:e>
                  </m:acc>
                </m:e>
                <m:sub>
                  <m:r>
                    <m:t>R</m:t>
                  </m:r>
                </m:sub>
              </m:sSub>
            </m:den>
          </m:f>
          <m:r>
            <m:rPr>
              <m:sty m:val="p"/>
            </m:rPr>
            <m:t>,</m:t>
          </m:r>
          <m:r>
            <m:t> </m:t>
          </m:r>
          <m:sSub>
            <m:e>
              <m:r>
                <m:t>x</m:t>
              </m:r>
            </m:e>
            <m:sub>
              <m:r>
                <m:t>R</m:t>
              </m:r>
              <m:r>
                <m:rPr>
                  <m:sty m:val="p"/>
                </m:rPr>
                <m:t>,</m:t>
              </m:r>
              <m:r>
                <m:t>s</m:t>
              </m:r>
              <m:r>
                <m:t>e</m:t>
              </m:r>
              <m:r>
                <m:t>p</m:t>
              </m:r>
            </m:sub>
          </m:sSub>
          <m:r>
            <m:rPr>
              <m:sty m:val="p"/>
            </m:rPr>
            <m:t>=</m:t>
          </m:r>
          <m:r>
            <m:t>1</m:t>
          </m:r>
          <m:r>
            <m:rPr>
              <m:sty m:val="p"/>
            </m:rPr>
            <m:t>−</m:t>
          </m:r>
          <m:sSub>
            <m:e>
              <m:r>
                <m:t>x</m:t>
              </m:r>
            </m:e>
            <m:sub>
              <m:r>
                <m:t>S</m:t>
              </m:r>
              <m:r>
                <m:rPr>
                  <m:sty m:val="p"/>
                </m:rPr>
                <m:t>,</m:t>
              </m:r>
              <m:r>
                <m:t>s</m:t>
              </m:r>
              <m:r>
                <m:t>e</m:t>
              </m:r>
              <m:r>
                <m:t>p</m:t>
              </m:r>
            </m:sub>
          </m:sSub>
          <m:r>
            <m:rPr>
              <m:sty m:val="p"/>
            </m:rPr>
            <m:t>=</m:t>
          </m:r>
          <m:f>
            <m:fPr>
              <m:type m:val="bar"/>
            </m:fPr>
            <m:num>
              <m:sSub>
                <m:e>
                  <m:acc>
                    <m:accPr>
                      <m:chr m:val="̃"/>
                    </m:accPr>
                    <m:e>
                      <m:r>
                        <m:t>Δ</m:t>
                      </m:r>
                    </m:e>
                  </m:acc>
                </m:e>
                <m:sub>
                  <m:r>
                    <m:t>S</m:t>
                  </m:r>
                </m:sub>
              </m:sSub>
            </m:num>
            <m:den>
              <m:sSub>
                <m:e>
                  <m:acc>
                    <m:accPr>
                      <m:chr m:val="̃"/>
                    </m:accPr>
                    <m:e>
                      <m:r>
                        <m:t>Δ</m:t>
                      </m:r>
                    </m:e>
                  </m:acc>
                </m:e>
                <m:sub>
                  <m:r>
                    <m:t>S</m:t>
                  </m:r>
                </m:sub>
              </m:sSub>
              <m:r>
                <m:rPr>
                  <m:sty m:val="p"/>
                </m:rPr>
                <m:t>+</m:t>
              </m:r>
              <m:sSub>
                <m:e>
                  <m:acc>
                    <m:accPr>
                      <m:chr m:val="̃"/>
                    </m:accPr>
                    <m:e>
                      <m:r>
                        <m:t>Δ</m:t>
                      </m:r>
                    </m:e>
                  </m:acc>
                </m:e>
                <m:sub>
                  <m:r>
                    <m:t>R</m:t>
                  </m:r>
                </m:sub>
              </m:sSub>
            </m:den>
          </m:f>
        </m:oMath>
      </m:oMathPara>
    </w:p>
    <w:p>
      <w:pPr>
        <w:pStyle w:val="FirstParagraph"/>
      </w:pPr>
      <w:r>
        <w:t xml:space="preserve">4.</w:t>
      </w:r>
      <w:r>
        <w:t xml:space="preserve"> </w:t>
      </w:r>
      <w:r>
        <w:rPr>
          <w:b/>
          <w:bCs/>
        </w:rPr>
        <w:t xml:space="preserve">Hawk-Dove / Snowdrift (</w:t>
      </w:r>
      <m:oMath>
        <m:sSub>
          <m:e>
            <m:acc>
              <m:accPr>
                <m:chr m:val="̃"/>
              </m:accPr>
              <m:e>
                <m:r>
                  <m:t>Δ</m:t>
                </m:r>
              </m:e>
            </m:acc>
          </m:e>
          <m:sub>
            <m:r>
              <m:t>S</m:t>
            </m:r>
          </m:sub>
        </m:sSub>
        <m:r>
          <m:rPr>
            <m:sty m:val="p"/>
          </m:rPr>
          <m:t>&lt;</m:t>
        </m:r>
        <m:r>
          <m:t>0</m:t>
        </m:r>
        <m:r>
          <m:rPr>
            <m:sty m:val="p"/>
          </m:rPr>
          <m:t>,</m:t>
        </m:r>
        <m:sSub>
          <m:e>
            <m:acc>
              <m:accPr>
                <m:chr m:val="̃"/>
              </m:accPr>
              <m:e>
                <m:r>
                  <m:t>Δ</m:t>
                </m:r>
              </m:e>
            </m:acc>
          </m:e>
          <m:sub>
            <m:r>
              <m:t>R</m:t>
            </m:r>
          </m:sub>
        </m:sSub>
        <m:r>
          <m:rPr>
            <m:sty m:val="p"/>
          </m:rPr>
          <m:t>&lt;</m:t>
        </m:r>
        <m:r>
          <m:t>0</m:t>
        </m:r>
      </m:oMath>
      <w:r>
        <w:rPr>
          <w:b/>
          <w:bCs/>
        </w:rPr>
        <w:t xml:space="preserve">):</w:t>
      </w:r>
      <w:r>
        <w:t xml:space="preserve"> </w:t>
      </w:r>
      <w:r>
        <w:t xml:space="preserve">Both pure states are unstable, producing a stable interior coexistence equilibrium:</w:t>
      </w:r>
    </w:p>
    <w:p>
      <w:pPr>
        <w:pStyle w:val="BodyText"/>
      </w:pPr>
      <m:oMathPara>
        <m:oMathParaPr>
          <m:jc m:val="center"/>
        </m:oMathParaPr>
        <m:oMath>
          <m:sSubSup>
            <m:e>
              <m:r>
                <m:t>x</m:t>
              </m:r>
            </m:e>
            <m:sub>
              <m:r>
                <m:t>S</m:t>
              </m:r>
            </m:sub>
            <m:sup>
              <m:r>
                <m:rPr>
                  <m:sty m:val="p"/>
                </m:rPr>
                <m:t>*</m:t>
              </m:r>
            </m:sup>
          </m:sSubSup>
          <m:r>
            <m:rPr>
              <m:sty m:val="p"/>
            </m:rPr>
            <m:t>=</m:t>
          </m:r>
          <m:f>
            <m:fPr>
              <m:type m:val="bar"/>
            </m:fPr>
            <m:num>
              <m:sSub>
                <m:e>
                  <m:acc>
                    <m:accPr>
                      <m:chr m:val="̃"/>
                    </m:accPr>
                    <m:e>
                      <m:r>
                        <m:t>Δ</m:t>
                      </m:r>
                    </m:e>
                  </m:acc>
                </m:e>
                <m:sub>
                  <m:r>
                    <m:t>R</m:t>
                  </m:r>
                </m:sub>
              </m:sSub>
            </m:num>
            <m:den>
              <m:sSub>
                <m:e>
                  <m:acc>
                    <m:accPr>
                      <m:chr m:val="̃"/>
                    </m:accPr>
                    <m:e>
                      <m:r>
                        <m:t>Δ</m:t>
                      </m:r>
                    </m:e>
                  </m:acc>
                </m:e>
                <m:sub>
                  <m:r>
                    <m:t>S</m:t>
                  </m:r>
                </m:sub>
              </m:sSub>
              <m:r>
                <m:rPr>
                  <m:sty m:val="p"/>
                </m:rPr>
                <m:t>+</m:t>
              </m:r>
              <m:sSub>
                <m:e>
                  <m:acc>
                    <m:accPr>
                      <m:chr m:val="̃"/>
                    </m:accPr>
                    <m:e>
                      <m:r>
                        <m:t>Δ</m:t>
                      </m:r>
                    </m:e>
                  </m:acc>
                </m:e>
                <m:sub>
                  <m:r>
                    <m:t>R</m:t>
                  </m:r>
                </m:sub>
              </m:sSub>
            </m:den>
          </m:f>
          <m:r>
            <m:rPr>
              <m:sty m:val="p"/>
            </m:rPr>
            <m:t>=</m:t>
          </m:r>
          <m:f>
            <m:fPr>
              <m:type m:val="bar"/>
            </m:fPr>
            <m:num>
              <m:sSub>
                <m:e>
                  <m:acc>
                    <m:accPr>
                      <m:chr m:val="̃"/>
                    </m:accPr>
                    <m:e>
                      <m:r>
                        <m:t>A</m:t>
                      </m:r>
                    </m:e>
                  </m:acc>
                </m:e>
                <m:sub>
                  <m:r>
                    <m:t>R</m:t>
                  </m:r>
                  <m:r>
                    <m:t>R</m:t>
                  </m:r>
                </m:sub>
              </m:sSub>
              <m:r>
                <m:rPr>
                  <m:sty m:val="p"/>
                </m:rPr>
                <m:t>−</m:t>
              </m:r>
              <m:sSub>
                <m:e>
                  <m:acc>
                    <m:accPr>
                      <m:chr m:val="̃"/>
                    </m:accPr>
                    <m:e>
                      <m:r>
                        <m:t>A</m:t>
                      </m:r>
                    </m:e>
                  </m:acc>
                </m:e>
                <m:sub>
                  <m:r>
                    <m:t>S</m:t>
                  </m:r>
                  <m:r>
                    <m:t>R</m:t>
                  </m:r>
                </m:sub>
              </m:sSub>
            </m:num>
            <m:den>
              <m:sSub>
                <m:e>
                  <m:acc>
                    <m:accPr>
                      <m:chr m:val="̃"/>
                    </m:accPr>
                    <m:e>
                      <m:r>
                        <m:t>A</m:t>
                      </m:r>
                    </m:e>
                  </m:acc>
                </m:e>
                <m:sub>
                  <m:r>
                    <m:t>S</m:t>
                  </m:r>
                  <m:r>
                    <m:t>S</m:t>
                  </m:r>
                </m:sub>
              </m:sSub>
              <m:r>
                <m:rPr>
                  <m:sty m:val="p"/>
                </m:rPr>
                <m:t>−</m:t>
              </m:r>
              <m:sSub>
                <m:e>
                  <m:acc>
                    <m:accPr>
                      <m:chr m:val="̃"/>
                    </m:accPr>
                    <m:e>
                      <m:r>
                        <m:t>A</m:t>
                      </m:r>
                    </m:e>
                  </m:acc>
                </m:e>
                <m:sub>
                  <m:r>
                    <m:t>S</m:t>
                  </m:r>
                  <m:r>
                    <m:t>R</m:t>
                  </m:r>
                </m:sub>
              </m:sSub>
              <m:r>
                <m:rPr>
                  <m:sty m:val="p"/>
                </m:rPr>
                <m:t>−</m:t>
              </m:r>
              <m:sSub>
                <m:e>
                  <m:acc>
                    <m:accPr>
                      <m:chr m:val="̃"/>
                    </m:accPr>
                    <m:e>
                      <m:r>
                        <m:t>A</m:t>
                      </m:r>
                    </m:e>
                  </m:acc>
                </m:e>
                <m:sub>
                  <m:r>
                    <m:t>R</m:t>
                  </m:r>
                  <m:r>
                    <m:t>S</m:t>
                  </m:r>
                </m:sub>
              </m:sSub>
              <m:r>
                <m:rPr>
                  <m:sty m:val="p"/>
                </m:rPr>
                <m:t>+</m:t>
              </m:r>
              <m:sSub>
                <m:e>
                  <m:acc>
                    <m:accPr>
                      <m:chr m:val="̃"/>
                    </m:accPr>
                    <m:e>
                      <m:r>
                        <m:t>A</m:t>
                      </m:r>
                    </m:e>
                  </m:acc>
                </m:e>
                <m:sub>
                  <m:r>
                    <m:t>R</m:t>
                  </m:r>
                  <m:r>
                    <m:t>R</m:t>
                  </m:r>
                </m:sub>
              </m:sSub>
            </m:den>
          </m:f>
          <m:r>
            <m:rPr>
              <m:sty m:val="p"/>
            </m:rPr>
            <m:t>,</m:t>
          </m:r>
          <m:r>
            <m:t> </m:t>
          </m:r>
          <m:sSubSup>
            <m:e>
              <m:r>
                <m:t>x</m:t>
              </m:r>
            </m:e>
            <m:sub>
              <m:r>
                <m:t>R</m:t>
              </m:r>
            </m:sub>
            <m:sup>
              <m:r>
                <m:rPr>
                  <m:sty m:val="p"/>
                </m:rPr>
                <m:t>*</m:t>
              </m:r>
            </m:sup>
          </m:sSubSup>
          <m:r>
            <m:rPr>
              <m:sty m:val="p"/>
            </m:rPr>
            <m:t>=</m:t>
          </m:r>
          <m:r>
            <m:t>1</m:t>
          </m:r>
          <m:r>
            <m:rPr>
              <m:sty m:val="p"/>
            </m:rPr>
            <m:t>−</m:t>
          </m:r>
          <m:sSubSup>
            <m:e>
              <m:r>
                <m:t>x</m:t>
              </m:r>
            </m:e>
            <m:sub>
              <m:r>
                <m:t>S</m:t>
              </m:r>
            </m:sub>
            <m:sup>
              <m:r>
                <m:rPr>
                  <m:sty m:val="p"/>
                </m:rPr>
                <m:t>*</m:t>
              </m:r>
            </m:sup>
          </m:sSubSup>
        </m:oMath>
      </m:oMathPara>
    </w:p>
    <w:bookmarkEnd w:id="34"/>
    <w:bookmarkStart w:id="35" w:name="X064a039e5e9997f2c2fde0907fbc6d4cae4e06a"/>
    <w:p>
      <w:pPr>
        <w:pStyle w:val="Heading4"/>
      </w:pPr>
      <w:r>
        <w:t xml:space="preserve">Therapeutic Modulation and Adaptive Dosing Rule</w:t>
      </w:r>
    </w:p>
    <w:p>
      <w:pPr>
        <w:pStyle w:val="FirstParagraph"/>
      </w:pPr>
      <w:r>
        <w:t xml:space="preserve">To model therapeutic modulation (Section 3.6), let</w:t>
      </w:r>
      <w:r>
        <w:t xml:space="preserve"> </w:t>
      </w:r>
      <m:oMath>
        <m:r>
          <m:t>u</m:t>
        </m:r>
        <m:d>
          <m:dPr>
            <m:begChr m:val="("/>
            <m:endChr m:val=")"/>
            <m:sepChr m:val=""/>
            <m:grow/>
          </m:dPr>
          <m:e>
            <m:r>
              <m:t>t</m:t>
            </m:r>
          </m:e>
        </m:d>
        <m:r>
          <m:rPr>
            <m:sty m:val="p"/>
          </m:rPr>
          <m:t>∈</m:t>
        </m:r>
        <m:r>
          <m:rPr>
            <m:sty m:val="p"/>
          </m:rPr>
          <m:t>{</m:t>
        </m:r>
        <m:r>
          <m:t>0</m:t>
        </m:r>
        <m:r>
          <m:rPr>
            <m:sty m:val="p"/>
          </m:rPr>
          <m:t>,</m:t>
        </m:r>
        <m:r>
          <m:t>1</m:t>
        </m:r>
        <m:r>
          <m:rPr>
            <m:sty m:val="p"/>
          </m:rPr>
          <m:t>}</m:t>
        </m:r>
      </m:oMath>
      <w:r>
        <w:t xml:space="preserve"> </w:t>
      </w:r>
      <w:r>
        <w:t xml:space="preserve">denote binary drug delivery and</w:t>
      </w:r>
      <w:r>
        <w:t xml:space="preserve"> </w:t>
      </w:r>
      <m:oMath>
        <m:sSub>
          <m:e>
            <m:r>
              <m:t>d</m:t>
            </m:r>
          </m:e>
          <m:sub>
            <m:r>
              <m:t>i</m:t>
            </m:r>
          </m:sub>
        </m:sSub>
      </m:oMath>
      <w:r>
        <w:t xml:space="preserve"> </w:t>
      </w:r>
      <w:r>
        <w:t xml:space="preserve">the clone-specific cytotoxicity rate (</w:t>
      </w:r>
      <m:oMath>
        <m:sSub>
          <m:e>
            <m:r>
              <m:t>d</m:t>
            </m:r>
          </m:e>
          <m:sub>
            <m:r>
              <m:t>S</m:t>
            </m:r>
          </m:sub>
        </m:sSub>
        <m:r>
          <m:rPr>
            <m:sty m:val="p"/>
          </m:rPr>
          <m:t>&gt;</m:t>
        </m:r>
        <m:sSub>
          <m:e>
            <m:r>
              <m:t>d</m:t>
            </m:r>
          </m:e>
          <m:sub>
            <m:r>
              <m:t>R</m:t>
            </m:r>
          </m:sub>
        </m:sSub>
      </m:oMath>
      <w:r>
        <w:t xml:space="preserve">). The treatment-modified per-capita fitness is:</w:t>
      </w:r>
    </w:p>
    <w:p>
      <w:pPr>
        <w:pStyle w:val="BodyText"/>
      </w:pPr>
      <m:oMathPara>
        <m:oMathParaPr>
          <m:jc m:val="center"/>
        </m:oMathParaPr>
        <m:oMath>
          <m:sSubSup>
            <m:e>
              <m:r>
                <m:t>F</m:t>
              </m:r>
            </m:e>
            <m:sub>
              <m:r>
                <m:t>i</m:t>
              </m:r>
            </m:sub>
            <m:sup>
              <m:r>
                <m:rPr>
                  <m:nor/>
                  <m:sty m:val="p"/>
                </m:rPr>
                <m:t>treat</m:t>
              </m:r>
            </m:sup>
          </m:sSubSup>
          <m:d>
            <m:dPr>
              <m:begChr m:val="("/>
              <m:endChr m:val=")"/>
              <m:sepChr m:val=""/>
              <m:grow/>
            </m:dPr>
            <m:e>
              <m:r>
                <m:rPr>
                  <m:sty m:val="b"/>
                </m:rPr>
                <m:t>x</m:t>
              </m:r>
              <m:r>
                <m:rPr>
                  <m:sty m:val="p"/>
                </m:rPr>
                <m:t>,</m:t>
              </m:r>
              <m:r>
                <m:t>t</m:t>
              </m:r>
            </m:e>
          </m:d>
          <m:r>
            <m:rPr>
              <m:sty m:val="p"/>
            </m:rPr>
            <m:t>=</m:t>
          </m:r>
          <m:nary>
            <m:naryPr>
              <m:chr m:val="∑"/>
              <m:limLoc m:val="undOvr"/>
              <m:subHide m:val="off"/>
              <m:supHide m:val="on"/>
            </m:naryPr>
            <m:sub>
              <m:r>
                <m:t>j</m:t>
              </m:r>
            </m:sub>
            <m:sup>
              <m:r>
                <m:t>​</m:t>
              </m:r>
            </m:sup>
            <m:e>
              <m:sSub>
                <m:e>
                  <m:acc>
                    <m:accPr>
                      <m:chr m:val="̃"/>
                    </m:accPr>
                    <m:e>
                      <m:r>
                        <m:t>A</m:t>
                      </m:r>
                    </m:e>
                  </m:acc>
                </m:e>
                <m:sub>
                  <m:r>
                    <m:t>i</m:t>
                  </m:r>
                  <m:r>
                    <m:t>j</m:t>
                  </m:r>
                </m:sub>
              </m:sSub>
            </m:e>
          </m:nary>
          <m:sSub>
            <m:e>
              <m:r>
                <m:t>x</m:t>
              </m:r>
            </m:e>
            <m:sub>
              <m:r>
                <m:t>j</m:t>
              </m:r>
            </m:sub>
          </m:sSub>
          <m:r>
            <m:rPr>
              <m:sty m:val="p"/>
            </m:rPr>
            <m:t>−</m:t>
          </m:r>
          <m:r>
            <m:t>u</m:t>
          </m:r>
          <m:d>
            <m:dPr>
              <m:begChr m:val="("/>
              <m:endChr m:val=")"/>
              <m:sepChr m:val=""/>
              <m:grow/>
            </m:dPr>
            <m:e>
              <m:r>
                <m:t>t</m:t>
              </m:r>
            </m:e>
          </m:d>
          <m:sSub>
            <m:e>
              <m:r>
                <m:t>d</m:t>
              </m:r>
            </m:e>
            <m:sub>
              <m:r>
                <m:t>i</m:t>
              </m:r>
            </m:sub>
          </m:sSub>
        </m:oMath>
      </m:oMathPara>
    </w:p>
    <w:p>
      <w:pPr>
        <w:pStyle w:val="FirstParagraph"/>
      </w:pPr>
      <w:r>
        <w:t xml:space="preserve">Under therapy, the effective selective advantages become:</w:t>
      </w:r>
    </w:p>
    <w:p>
      <w:pPr>
        <w:pStyle w:val="BodyText"/>
      </w:pPr>
      <m:oMathPara>
        <m:oMathParaPr>
          <m:jc m:val="center"/>
        </m:oMathParaPr>
        <m:oMath>
          <m:sSub>
            <m:e>
              <m:acc>
                <m:accPr>
                  <m:chr m:val="̃"/>
                </m:accPr>
                <m:e>
                  <m:r>
                    <m:t>Δ</m:t>
                  </m:r>
                </m:e>
              </m:acc>
            </m:e>
            <m:sub>
              <m:r>
                <m:t>S</m:t>
              </m:r>
            </m:sub>
          </m:sSub>
          <m:d>
            <m:dPr>
              <m:begChr m:val="("/>
              <m:endChr m:val=")"/>
              <m:sepChr m:val=""/>
              <m:grow/>
            </m:dPr>
            <m:e>
              <m:r>
                <m:t>D</m:t>
              </m:r>
            </m:e>
          </m:d>
          <m:r>
            <m:rPr>
              <m:sty m:val="p"/>
            </m:rPr>
            <m:t>=</m:t>
          </m:r>
          <m:sSub>
            <m:e>
              <m:acc>
                <m:accPr>
                  <m:chr m:val="̃"/>
                </m:accPr>
                <m:e>
                  <m:r>
                    <m:t>Δ</m:t>
                  </m:r>
                </m:e>
              </m:acc>
            </m:e>
            <m:sub>
              <m:r>
                <m:t>S</m:t>
              </m:r>
            </m:sub>
          </m:sSub>
          <m:r>
            <m:rPr>
              <m:sty m:val="p"/>
            </m:rPr>
            <m:t>−</m:t>
          </m:r>
          <m:r>
            <m:t>u</m:t>
          </m:r>
          <m:d>
            <m:dPr>
              <m:begChr m:val="("/>
              <m:endChr m:val=")"/>
              <m:sepChr m:val=""/>
              <m:grow/>
            </m:dPr>
            <m:e>
              <m:r>
                <m:t>t</m:t>
              </m:r>
            </m:e>
          </m:d>
          <m:d>
            <m:dPr>
              <m:begChr m:val="("/>
              <m:endChr m:val=")"/>
              <m:sepChr m:val=""/>
              <m:grow/>
            </m:dPr>
            <m:e>
              <m:sSub>
                <m:e>
                  <m:r>
                    <m:t>d</m:t>
                  </m:r>
                </m:e>
                <m:sub>
                  <m:r>
                    <m:t>S</m:t>
                  </m:r>
                </m:sub>
              </m:sSub>
              <m:r>
                <m:rPr>
                  <m:sty m:val="p"/>
                </m:rPr>
                <m:t>−</m:t>
              </m:r>
              <m:sSub>
                <m:e>
                  <m:r>
                    <m:t>d</m:t>
                  </m:r>
                </m:e>
                <m:sub>
                  <m:r>
                    <m:t>R</m:t>
                  </m:r>
                </m:sub>
              </m:sSub>
            </m:e>
          </m:d>
          <m:r>
            <m:rPr>
              <m:sty m:val="p"/>
            </m:rPr>
            <m:t>,</m:t>
          </m:r>
          <m:r>
            <m:t> </m:t>
          </m:r>
          <m:sSub>
            <m:e>
              <m:acc>
                <m:accPr>
                  <m:chr m:val="̃"/>
                </m:accPr>
                <m:e>
                  <m:r>
                    <m:t>Δ</m:t>
                  </m:r>
                </m:e>
              </m:acc>
            </m:e>
            <m:sub>
              <m:r>
                <m:t>R</m:t>
              </m:r>
            </m:sub>
          </m:sSub>
          <m:d>
            <m:dPr>
              <m:begChr m:val="("/>
              <m:endChr m:val=")"/>
              <m:sepChr m:val=""/>
              <m:grow/>
            </m:dPr>
            <m:e>
              <m:r>
                <m:t>D</m:t>
              </m:r>
            </m:e>
          </m:d>
          <m:r>
            <m:rPr>
              <m:sty m:val="p"/>
            </m:rPr>
            <m:t>=</m:t>
          </m:r>
          <m:sSub>
            <m:e>
              <m:acc>
                <m:accPr>
                  <m:chr m:val="̃"/>
                </m:accPr>
                <m:e>
                  <m:r>
                    <m:t>Δ</m:t>
                  </m:r>
                </m:e>
              </m:acc>
            </m:e>
            <m:sub>
              <m:r>
                <m:t>R</m:t>
              </m:r>
            </m:sub>
          </m:sSub>
          <m:r>
            <m:rPr>
              <m:sty m:val="p"/>
            </m:rPr>
            <m:t>+</m:t>
          </m:r>
          <m:r>
            <m:t>u</m:t>
          </m:r>
          <m:d>
            <m:dPr>
              <m:begChr m:val="("/>
              <m:endChr m:val=")"/>
              <m:sepChr m:val=""/>
              <m:grow/>
            </m:dPr>
            <m:e>
              <m:r>
                <m:t>t</m:t>
              </m:r>
            </m:e>
          </m:d>
          <m:d>
            <m:dPr>
              <m:begChr m:val="("/>
              <m:endChr m:val=")"/>
              <m:sepChr m:val=""/>
              <m:grow/>
            </m:dPr>
            <m:e>
              <m:sSub>
                <m:e>
                  <m:r>
                    <m:t>d</m:t>
                  </m:r>
                </m:e>
                <m:sub>
                  <m:r>
                    <m:t>S</m:t>
                  </m:r>
                </m:sub>
              </m:sSub>
              <m:r>
                <m:rPr>
                  <m:sty m:val="p"/>
                </m:rPr>
                <m:t>−</m:t>
              </m:r>
              <m:sSub>
                <m:e>
                  <m:r>
                    <m:t>d</m:t>
                  </m:r>
                </m:e>
                <m:sub>
                  <m:r>
                    <m:t>R</m:t>
                  </m:r>
                </m:sub>
              </m:sSub>
            </m:e>
          </m:d>
        </m:oMath>
      </m:oMathPara>
    </w:p>
    <w:p>
      <w:pPr>
        <w:pStyle w:val="FirstParagraph"/>
      </w:pPr>
      <w:r>
        <w:t xml:space="preserve">The operational objective of cancer adaptive therapy is to maintain a target sensitive population</w:t>
      </w:r>
      <w:r>
        <w:t xml:space="preserve"> </w:t>
      </w:r>
      <m:oMath>
        <m:sSub>
          <m:e>
            <m:r>
              <m:t>x</m:t>
            </m:r>
          </m:e>
          <m:sub>
            <m:r>
              <m:t>S</m:t>
            </m:r>
          </m:sub>
        </m:sSub>
        <m:r>
          <m:rPr>
            <m:sty m:val="p"/>
          </m:rPr>
          <m:t>≥</m:t>
        </m:r>
        <m:sSubSup>
          <m:e>
            <m:r>
              <m:t>x</m:t>
            </m:r>
          </m:e>
          <m:sub>
            <m:r>
              <m:t>S</m:t>
            </m:r>
          </m:sub>
          <m:sup>
            <m:r>
              <m:rPr>
                <m:nor/>
                <m:sty m:val="p"/>
              </m:rPr>
              <m:t>target</m:t>
            </m:r>
          </m:sup>
        </m:sSubSup>
      </m:oMath>
      <w:r>
        <w:t xml:space="preserve"> </w:t>
      </w:r>
      <w:r>
        <w:t xml:space="preserve">to competitively suppress resistance. On the resistant frequency axis (</w:t>
      </w:r>
      <m:oMath>
        <m:sSub>
          <m:e>
            <m:r>
              <m:t>x</m:t>
            </m:r>
          </m:e>
          <m:sub>
            <m:r>
              <m:t>R</m:t>
            </m:r>
          </m:sub>
        </m:sSub>
      </m:oMath>
      <w:r>
        <w:t xml:space="preserve">), this corresponds to withholding or reducing therapy whenever resistance remains below the adaptive dosing threshold:</w:t>
      </w:r>
    </w:p>
    <w:p>
      <w:pPr>
        <w:pStyle w:val="BodyText"/>
      </w:pPr>
      <m:oMathPara>
        <m:oMathParaPr>
          <m:jc m:val="center"/>
        </m:oMathParaPr>
        <m:oMath>
          <m:sSubSup>
            <m:e>
              <m:r>
                <m:t>x</m:t>
              </m:r>
            </m:e>
            <m:sub>
              <m:r>
                <m:t>R</m:t>
              </m:r>
            </m:sub>
            <m:sup>
              <m:r>
                <m:rPr>
                  <m:nor/>
                  <m:sty m:val="p"/>
                </m:rPr>
                <m:t>thresh</m:t>
              </m:r>
            </m:sup>
          </m:sSubSup>
          <m:r>
            <m:rPr>
              <m:sty m:val="p"/>
            </m:rPr>
            <m:t>=</m:t>
          </m:r>
          <m:r>
            <m:t>1</m:t>
          </m:r>
          <m:r>
            <m:rPr>
              <m:sty m:val="p"/>
            </m:rPr>
            <m:t>−</m:t>
          </m:r>
          <m:sSubSup>
            <m:e>
              <m:r>
                <m:t>x</m:t>
              </m:r>
            </m:e>
            <m:sub>
              <m:r>
                <m:t>S</m:t>
              </m:r>
            </m:sub>
            <m:sup>
              <m:r>
                <m:rPr>
                  <m:nor/>
                  <m:sty m:val="p"/>
                </m:rPr>
                <m:t>target</m:t>
              </m:r>
            </m:sup>
          </m:sSubSup>
        </m:oMath>
      </m:oMathPara>
    </w:p>
    <w:p>
      <w:pPr>
        <w:pStyle w:val="FirstParagraph"/>
      </w:pPr>
      <w:r>
        <w:t xml:space="preserve">For instance, targeting the stable coexistence Nash equilibrium in Breast IDC (</w:t>
      </w:r>
      <m:oMath>
        <m:sSubSup>
          <m:e>
            <m:r>
              <m:t>x</m:t>
            </m:r>
          </m:e>
          <m:sub>
            <m:r>
              <m:t>S</m:t>
            </m:r>
          </m:sub>
          <m:sup>
            <m:r>
              <m:rPr>
                <m:sty m:val="p"/>
              </m:rPr>
              <m:t>*</m:t>
            </m:r>
          </m:sup>
        </m:sSubSup>
        <m:r>
          <m:rPr>
            <m:sty m:val="p"/>
          </m:rPr>
          <m:t>=</m:t>
        </m:r>
        <m:r>
          <m:t>0.613</m:t>
        </m:r>
      </m:oMath>
      <w:r>
        <w:t xml:space="preserve">) establishes an adaptive dosing threshold of</w:t>
      </w:r>
      <w:r>
        <w:t xml:space="preserve"> </w:t>
      </w:r>
      <m:oMath>
        <m:sSubSup>
          <m:e>
            <m:r>
              <m:t>x</m:t>
            </m:r>
          </m:e>
          <m:sub>
            <m:r>
              <m:t>R</m:t>
            </m:r>
          </m:sub>
          <m:sup>
            <m:r>
              <m:rPr>
                <m:nor/>
                <m:sty m:val="p"/>
              </m:rPr>
              <m:t>thresh</m:t>
            </m:r>
          </m:sup>
        </m:sSubSup>
        <m:r>
          <m:rPr>
            <m:sty m:val="p"/>
          </m:rPr>
          <m:t>=</m:t>
        </m:r>
        <m:r>
          <m:t>1</m:t>
        </m:r>
        <m:r>
          <m:rPr>
            <m:sty m:val="p"/>
          </m:rPr>
          <m:t>−</m:t>
        </m:r>
        <m:r>
          <m:t>0.613</m:t>
        </m:r>
        <m:r>
          <m:rPr>
            <m:sty m:val="p"/>
          </m:rPr>
          <m:t>=</m:t>
        </m:r>
        <m:r>
          <m:t>0.387</m:t>
        </m:r>
      </m:oMath>
      <w:r>
        <w:t xml:space="preserve">.</w:t>
      </w:r>
    </w:p>
    <w:bookmarkEnd w:id="35"/>
    <w:bookmarkEnd w:id="36"/>
    <w:bookmarkStart w:id="37" w:name="Xf1b9267f1d79a0eabe7b380e077459a803e3d0c"/>
    <w:p>
      <w:pPr>
        <w:pStyle w:val="Heading3"/>
      </w:pPr>
      <w:r>
        <w:t xml:space="preserve">2.7 Biostatistical Evaluation Battery, Model Ablation Hierarchy &amp; Controls</w:t>
      </w:r>
    </w:p>
    <w:p>
      <w:pPr>
        <w:pStyle w:val="FirstParagraph"/>
      </w:pPr>
      <w:r>
        <w:t xml:space="preserve">Continuous predictions were evaluated using an exhaustive hierarchy of nested models:</w:t>
      </w:r>
      <w:r>
        <w:t xml:space="preserve"> </w:t>
      </w:r>
      <w:r>
        <w:t xml:space="preserve">-</w:t>
      </w:r>
      <w:r>
        <w:t xml:space="preserve"> </w:t>
      </w:r>
      <w:r>
        <w:rPr>
          <w:b/>
          <w:bCs/>
        </w:rPr>
        <w:t xml:space="preserve">Model 1 (</w:t>
      </w:r>
      <m:oMath>
        <m:sSub>
          <m:e>
            <m:r>
              <m:t>M</m:t>
            </m:r>
          </m:e>
          <m:sub>
            <m:r>
              <m:t>1</m:t>
            </m:r>
          </m:sub>
        </m:sSub>
      </m:oMath>
      <w:r>
        <w:rPr>
          <w:b/>
          <w:bCs/>
        </w:rPr>
        <w:t xml:space="preserve">):</w:t>
      </w:r>
      <w:r>
        <w:t xml:space="preserve"> </w:t>
      </w:r>
      <w:r>
        <w:t xml:space="preserve">Microenvironment alone (</w:t>
      </w:r>
      <m:oMath>
        <m:sSub>
          <m:e>
            <m:r>
              <m:t>Z</m:t>
            </m:r>
          </m:e>
          <m:sub>
            <m:r>
              <m:t>h</m:t>
            </m:r>
            <m:r>
              <m:t>y</m:t>
            </m:r>
            <m:r>
              <m:t>p</m:t>
            </m:r>
          </m:sub>
        </m:sSub>
        <m:r>
          <m:rPr>
            <m:sty m:val="p"/>
          </m:rPr>
          <m:t>,</m:t>
        </m:r>
        <m:sSub>
          <m:e>
            <m:r>
              <m:t>Z</m:t>
            </m:r>
          </m:e>
          <m:sub>
            <m:r>
              <m:t>v</m:t>
            </m:r>
            <m:r>
              <m:t>a</m:t>
            </m:r>
            <m:r>
              <m:t>s</m:t>
            </m:r>
            <m:r>
              <m:t>c</m:t>
            </m:r>
          </m:sub>
        </m:sSub>
      </m:oMath>
      <w:r>
        <w:t xml:space="preserve">) on raw proliferation</w:t>
      </w:r>
      <w:r>
        <w:t xml:space="preserve"> </w:t>
      </w:r>
      <m:oMath>
        <m:sSub>
          <m:e>
            <m:r>
              <m:t>w</m:t>
            </m:r>
          </m:e>
          <m:sub>
            <m:r>
              <m:t>r</m:t>
            </m:r>
            <m:r>
              <m:t>a</m:t>
            </m:r>
            <m:r>
              <m:t>w</m:t>
            </m:r>
          </m:sub>
        </m:sSub>
      </m:oMath>
      <w:r>
        <w:t xml:space="preserve">.</w:t>
      </w:r>
      <w:r>
        <w:t xml:space="preserve"> </w:t>
      </w:r>
      <w:r>
        <w:t xml:space="preserve">-</w:t>
      </w:r>
      <w:r>
        <w:t xml:space="preserve"> </w:t>
      </w:r>
      <w:r>
        <w:rPr>
          <w:b/>
          <w:bCs/>
        </w:rPr>
        <w:t xml:space="preserve">Model 2 (</w:t>
      </w:r>
      <m:oMath>
        <m:sSub>
          <m:e>
            <m:r>
              <m:t>M</m:t>
            </m:r>
          </m:e>
          <m:sub>
            <m:r>
              <m:t>2</m:t>
            </m:r>
          </m:sub>
        </m:sSub>
      </m:oMath>
      <w:r>
        <w:rPr>
          <w:b/>
          <w:bCs/>
        </w:rPr>
        <w:t xml:space="preserve">):</w:t>
      </w:r>
      <w:r>
        <w:t xml:space="preserve"> </w:t>
      </w:r>
      <w:r>
        <w:t xml:space="preserve">Linear mass action on purified fitness:</w:t>
      </w:r>
      <w:r>
        <w:t xml:space="preserve"> </w:t>
      </w:r>
      <m:oMath>
        <m:sSub>
          <m:e>
            <m:r>
              <m:t>w</m:t>
            </m:r>
          </m:e>
          <m:sub>
            <m:r>
              <m:t>p</m:t>
            </m:r>
            <m:r>
              <m:t>u</m:t>
            </m:r>
            <m:r>
              <m:t>r</m:t>
            </m:r>
            <m:r>
              <m:t>i</m:t>
            </m:r>
            <m:r>
              <m:t>f</m:t>
            </m:r>
            <m:r>
              <m:t>i</m:t>
            </m:r>
            <m:r>
              <m:t>e</m:t>
            </m:r>
            <m:r>
              <m:t>d</m:t>
            </m:r>
          </m:sub>
        </m:sSub>
        <m:r>
          <m:rPr>
            <m:sty m:val="p"/>
          </m:rPr>
          <m:t>∼</m:t>
        </m:r>
        <m:sSub>
          <m:e>
            <m:r>
              <m:t>f</m:t>
            </m:r>
          </m:e>
          <m:sub>
            <m:r>
              <m:t>S</m:t>
            </m:r>
          </m:sub>
        </m:sSub>
        <m:r>
          <m:rPr>
            <m:sty m:val="p"/>
          </m:rPr>
          <m:t>+</m:t>
        </m:r>
        <m:sSub>
          <m:e>
            <m:r>
              <m:t>f</m:t>
            </m:r>
          </m:e>
          <m:sub>
            <m:r>
              <m:t>R</m:t>
            </m:r>
          </m:sub>
        </m:sSub>
        <m:r>
          <m:rPr>
            <m:sty m:val="p"/>
          </m:rPr>
          <m:t>+</m:t>
        </m:r>
        <m:sSub>
          <m:e>
            <m:r>
              <m:t>f</m:t>
            </m:r>
          </m:e>
          <m:sub>
            <m:r>
              <m:t>C</m:t>
            </m:r>
          </m:sub>
        </m:sSub>
      </m:oMath>
      <w:r>
        <w:t xml:space="preserve"> </w:t>
      </w:r>
      <w:r>
        <w:t xml:space="preserve">(rank</w:t>
      </w:r>
      <w:r>
        <w:t xml:space="preserve"> </w:t>
      </w:r>
      <m:oMath>
        <m:r>
          <m:rPr>
            <m:sty m:val="p"/>
          </m:rPr>
          <m:t>=</m:t>
        </m:r>
        <m:r>
          <m:t>2</m:t>
        </m:r>
      </m:oMath>
      <w:r>
        <w:t xml:space="preserve">).</w:t>
      </w:r>
      <w:r>
        <w:t xml:space="preserve"> </w:t>
      </w:r>
      <w:r>
        <w:t xml:space="preserve">-</w:t>
      </w:r>
      <w:r>
        <w:t xml:space="preserve"> </w:t>
      </w:r>
      <w:r>
        <w:rPr>
          <w:b/>
          <w:bCs/>
        </w:rPr>
        <w:t xml:space="preserve">Model 2b (</w:t>
      </w:r>
      <m:oMath>
        <m:sSub>
          <m:e>
            <m:r>
              <m:t>M</m:t>
            </m:r>
          </m:e>
          <m:sub>
            <m:r>
              <m:t>2</m:t>
            </m:r>
            <m:r>
              <m:t>b</m:t>
            </m:r>
          </m:sub>
        </m:sSub>
      </m:oMath>
      <w:r>
        <w:rPr>
          <w:b/>
          <w:bCs/>
        </w:rPr>
        <w:t xml:space="preserve">):</w:t>
      </w:r>
      <w:r>
        <w:t xml:space="preserve"> </w:t>
      </w:r>
      <w:r>
        <w:t xml:space="preserve">Non-spatial within-spot quadratic co-localization:</w:t>
      </w:r>
      <w:r>
        <w:t xml:space="preserve"> </w:t>
      </w:r>
      <m:oMath>
        <m:sSub>
          <m:e>
            <m:r>
              <m:t>w</m:t>
            </m:r>
          </m:e>
          <m:sub>
            <m:r>
              <m:t>p</m:t>
            </m:r>
            <m:r>
              <m:t>u</m:t>
            </m:r>
            <m:r>
              <m:t>r</m:t>
            </m:r>
            <m:r>
              <m:t>i</m:t>
            </m:r>
            <m:r>
              <m:t>f</m:t>
            </m:r>
            <m:r>
              <m:t>i</m:t>
            </m:r>
            <m:r>
              <m:t>e</m:t>
            </m:r>
            <m:r>
              <m:t>d</m:t>
            </m:r>
          </m:sub>
        </m:sSub>
        <m:r>
          <m:rPr>
            <m:sty m:val="p"/>
          </m:rPr>
          <m:t>∼</m:t>
        </m:r>
        <m:nary>
          <m:naryPr>
            <m:chr m:val="∑"/>
            <m:limLoc m:val="undOvr"/>
            <m:subHide m:val="off"/>
            <m:supHide m:val="on"/>
          </m:naryPr>
          <m:sub>
            <m:r>
              <m:t>i</m:t>
            </m:r>
            <m:r>
              <m:t>j</m:t>
            </m:r>
          </m:sub>
          <m:sup>
            <m:r>
              <m:t>​</m:t>
            </m:r>
          </m:sup>
          <m:e>
            <m:sSub>
              <m:e>
                <m:r>
                  <m:t>f</m:t>
                </m:r>
              </m:e>
              <m:sub>
                <m:r>
                  <m:t>i</m:t>
                </m:r>
              </m:sub>
            </m:sSub>
          </m:e>
        </m:nary>
        <m:sSub>
          <m:e>
            <m:r>
              <m:t>f</m:t>
            </m:r>
          </m:e>
          <m:sub>
            <m:r>
              <m:t>j</m:t>
            </m:r>
          </m:sub>
        </m:sSub>
      </m:oMath>
      <w:r>
        <w:t xml:space="preserve"> </w:t>
      </w:r>
      <w:r>
        <w:t xml:space="preserve">(effective rank</w:t>
      </w:r>
      <w:r>
        <w:t xml:space="preserve"> </w:t>
      </w:r>
      <m:oMath>
        <m:r>
          <m:rPr>
            <m:sty m:val="p"/>
          </m:rPr>
          <m:t>=</m:t>
        </m:r>
        <m:r>
          <m:t>5</m:t>
        </m:r>
      </m:oMath>
      <w:r>
        <w:t xml:space="preserve">).</w:t>
      </w:r>
      <w:r>
        <w:t xml:space="preserve"> </w:t>
      </w:r>
      <w:r>
        <w:t xml:space="preserve">-</w:t>
      </w:r>
      <w:r>
        <w:t xml:space="preserve"> </w:t>
      </w:r>
      <w:r>
        <w:rPr>
          <w:b/>
          <w:bCs/>
        </w:rPr>
        <w:t xml:space="preserve">Model 2c (</w:t>
      </w:r>
      <m:oMath>
        <m:sSub>
          <m:e>
            <m:r>
              <m:t>M</m:t>
            </m:r>
          </m:e>
          <m:sub>
            <m:r>
              <m:t>2</m:t>
            </m:r>
            <m:r>
              <m:t>c</m:t>
            </m:r>
          </m:sub>
        </m:sSub>
      </m:oMath>
      <w:r>
        <w:rPr>
          <w:b/>
          <w:bCs/>
        </w:rPr>
        <w:t xml:space="preserve">):</w:t>
      </w:r>
      <w:r>
        <w:t xml:space="preserve"> </w:t>
      </w:r>
      <w:r>
        <w:t xml:space="preserve">Linear spot composition + Linear neighborhood composition:</w:t>
      </w:r>
      <w:r>
        <w:t xml:space="preserve"> </w:t>
      </w:r>
      <m:oMath>
        <m:sSub>
          <m:e>
            <m:r>
              <m:t>w</m:t>
            </m:r>
          </m:e>
          <m:sub>
            <m:r>
              <m:t>p</m:t>
            </m:r>
            <m:r>
              <m:t>u</m:t>
            </m:r>
            <m:r>
              <m:t>r</m:t>
            </m:r>
            <m:r>
              <m:t>i</m:t>
            </m:r>
            <m:r>
              <m:t>f</m:t>
            </m:r>
            <m:r>
              <m:t>i</m:t>
            </m:r>
            <m:r>
              <m:t>e</m:t>
            </m:r>
            <m:r>
              <m:t>d</m:t>
            </m:r>
          </m:sub>
        </m:sSub>
        <m:r>
          <m:rPr>
            <m:sty m:val="p"/>
          </m:rPr>
          <m:t>∼</m:t>
        </m:r>
        <m:r>
          <m:t>1</m:t>
        </m:r>
        <m:r>
          <m:rPr>
            <m:sty m:val="p"/>
          </m:rPr>
          <m:t>+</m:t>
        </m:r>
        <m:sSub>
          <m:e>
            <m:r>
              <m:t>f</m:t>
            </m:r>
          </m:e>
          <m:sub>
            <m:r>
              <m:t>S</m:t>
            </m:r>
          </m:sub>
        </m:sSub>
        <m:r>
          <m:rPr>
            <m:sty m:val="p"/>
          </m:rPr>
          <m:t>+</m:t>
        </m:r>
        <m:sSub>
          <m:e>
            <m:r>
              <m:t>f</m:t>
            </m:r>
          </m:e>
          <m:sub>
            <m:r>
              <m:t>R</m:t>
            </m:r>
          </m:sub>
        </m:sSub>
        <m:r>
          <m:rPr>
            <m:sty m:val="p"/>
          </m:rPr>
          <m:t>+</m:t>
        </m:r>
        <m:sSub>
          <m:e>
            <m:acc>
              <m:accPr>
                <m:chr m:val="‾"/>
              </m:accPr>
              <m:e>
                <m:r>
                  <m:t>f</m:t>
                </m:r>
              </m:e>
            </m:acc>
          </m:e>
          <m:sub>
            <m:r>
              <m:t>S</m:t>
            </m:r>
          </m:sub>
        </m:sSub>
        <m:r>
          <m:rPr>
            <m:sty m:val="p"/>
          </m:rPr>
          <m:t>+</m:t>
        </m:r>
        <m:sSub>
          <m:e>
            <m:acc>
              <m:accPr>
                <m:chr m:val="‾"/>
              </m:accPr>
              <m:e>
                <m:r>
                  <m:t>f</m:t>
                </m:r>
              </m:e>
            </m:acc>
          </m:e>
          <m:sub>
            <m:r>
              <m:t>R</m:t>
            </m:r>
          </m:sub>
        </m:sSub>
      </m:oMath>
      <w:r>
        <w:t xml:space="preserve"> </w:t>
      </w:r>
      <w:r>
        <w:t xml:space="preserve">(5 parameters: intercept plus 4 linearly independent fractions;</w:t>
      </w:r>
      <w:r>
        <w:t xml:space="preserve"> </w:t>
      </w:r>
      <m:oMath>
        <m:sSub>
          <m:e>
            <m:r>
              <m:t>f</m:t>
            </m:r>
          </m:e>
          <m:sub>
            <m:r>
              <m:t>C</m:t>
            </m:r>
          </m:sub>
        </m:sSub>
      </m:oMath>
      <w:r>
        <w:t xml:space="preserve"> </w:t>
      </w:r>
      <w:r>
        <w:t xml:space="preserve">and</w:t>
      </w:r>
      <w:r>
        <w:t xml:space="preserve"> </w:t>
      </w:r>
      <m:oMath>
        <m:sSub>
          <m:e>
            <m:acc>
              <m:accPr>
                <m:chr m:val="‾"/>
              </m:accPr>
              <m:e>
                <m:r>
                  <m:t>f</m:t>
                </m:r>
              </m:e>
            </m:acc>
          </m:e>
          <m:sub>
            <m:r>
              <m:t>C</m:t>
            </m:r>
          </m:sub>
        </m:sSub>
      </m:oMath>
      <w:r>
        <w:t xml:space="preserve"> </w:t>
      </w:r>
      <w:r>
        <w:t xml:space="preserve">excluded by simplex closure). This crucial control evaluates whether variance explanation stems from smooth regional composition rather than bilinear game interactions.</w:t>
      </w:r>
      <w:r>
        <w:t xml:space="preserve"> </w:t>
      </w:r>
      <w:r>
        <w:t xml:space="preserve">-</w:t>
      </w:r>
      <w:r>
        <w:t xml:space="preserve"> </w:t>
      </w:r>
      <w:r>
        <w:rPr>
          <w:b/>
          <w:bCs/>
        </w:rPr>
        <w:t xml:space="preserve">Model 2d (</w:t>
      </w:r>
      <m:oMath>
        <m:sSub>
          <m:e>
            <m:r>
              <m:t>M</m:t>
            </m:r>
          </m:e>
          <m:sub>
            <m:r>
              <m:t>2</m:t>
            </m:r>
            <m:r>
              <m:t>d</m:t>
            </m:r>
          </m:sub>
        </m:sSub>
      </m:oMath>
      <w:r>
        <w:rPr>
          <w:b/>
          <w:bCs/>
        </w:rPr>
        <w:t xml:space="preserve">):</w:t>
      </w:r>
      <w:r>
        <w:t xml:space="preserve"> </w:t>
      </w:r>
      <w:r>
        <w:t xml:space="preserve">Generic quadratics (within-spot and neighbor squares/cross-terms):</w:t>
      </w:r>
      <w:r>
        <w:t xml:space="preserve"> </w:t>
      </w:r>
      <m:oMath>
        <m:sSub>
          <m:e>
            <m:r>
              <m:t>w</m:t>
            </m:r>
          </m:e>
          <m:sub>
            <m:r>
              <m:t>p</m:t>
            </m:r>
            <m:r>
              <m:t>u</m:t>
            </m:r>
            <m:r>
              <m:t>r</m:t>
            </m:r>
            <m:r>
              <m:t>i</m:t>
            </m:r>
            <m:r>
              <m:t>f</m:t>
            </m:r>
            <m:r>
              <m:t>i</m:t>
            </m:r>
            <m:r>
              <m:t>e</m:t>
            </m:r>
            <m:r>
              <m:t>d</m:t>
            </m:r>
          </m:sub>
        </m:sSub>
        <m:r>
          <m:rPr>
            <m:sty m:val="p"/>
          </m:rPr>
          <m:t>∼</m:t>
        </m:r>
        <m:nary>
          <m:naryPr>
            <m:chr m:val="∑"/>
            <m:limLoc m:val="undOvr"/>
            <m:subHide m:val="off"/>
            <m:supHide m:val="on"/>
          </m:naryPr>
          <m:sub>
            <m:r>
              <m:t>i</m:t>
            </m:r>
            <m:r>
              <m:rPr>
                <m:sty m:val="p"/>
              </m:rPr>
              <m:t>≤</m:t>
            </m:r>
            <m:r>
              <m:t>j</m:t>
            </m:r>
          </m:sub>
          <m:sup>
            <m:r>
              <m:t>​</m:t>
            </m:r>
          </m:sup>
          <m:e>
            <m:sSub>
              <m:e>
                <m:r>
                  <m:t>f</m:t>
                </m:r>
              </m:e>
              <m:sub>
                <m:r>
                  <m:t>i</m:t>
                </m:r>
              </m:sub>
            </m:sSub>
          </m:e>
        </m:nary>
        <m:sSub>
          <m:e>
            <m:r>
              <m:t>f</m:t>
            </m:r>
          </m:e>
          <m:sub>
            <m:r>
              <m:t>j</m:t>
            </m:r>
          </m:sub>
        </m:sSub>
        <m:r>
          <m:rPr>
            <m:sty m:val="p"/>
          </m:rPr>
          <m:t>+</m:t>
        </m:r>
        <m:nary>
          <m:naryPr>
            <m:chr m:val="∑"/>
            <m:limLoc m:val="undOvr"/>
            <m:subHide m:val="off"/>
            <m:supHide m:val="on"/>
          </m:naryPr>
          <m:sub>
            <m:r>
              <m:t>i</m:t>
            </m:r>
            <m:r>
              <m:rPr>
                <m:sty m:val="p"/>
              </m:rPr>
              <m:t>≤</m:t>
            </m:r>
            <m:r>
              <m:t>j</m:t>
            </m:r>
          </m:sub>
          <m:sup>
            <m:r>
              <m:t>​</m:t>
            </m:r>
          </m:sup>
          <m:e>
            <m:sSub>
              <m:e>
                <m:acc>
                  <m:accPr>
                    <m:chr m:val="‾"/>
                  </m:accPr>
                  <m:e>
                    <m:r>
                      <m:t>f</m:t>
                    </m:r>
                  </m:e>
                </m:acc>
              </m:e>
              <m:sub>
                <m:r>
                  <m:t>i</m:t>
                </m:r>
              </m:sub>
            </m:sSub>
          </m:e>
        </m:nary>
        <m:sSub>
          <m:e>
            <m:acc>
              <m:accPr>
                <m:chr m:val="‾"/>
              </m:accPr>
              <m:e>
                <m:r>
                  <m:t>f</m:t>
                </m:r>
              </m:e>
            </m:acc>
          </m:e>
          <m:sub>
            <m:r>
              <m:t>j</m:t>
            </m:r>
          </m:sub>
        </m:sSub>
      </m:oMath>
      <w:r>
        <w:t xml:space="preserve"> </w:t>
      </w:r>
      <w:r>
        <w:t xml:space="preserve">(11 parameters). This control tests whether empirical predictive gains reflect generic non-linear spatial smoothing rather than frequency-dependent subclonal cross-talk.</w:t>
      </w:r>
      <w:r>
        <w:t xml:space="preserve"> </w:t>
      </w:r>
      <w:r>
        <w:t xml:space="preserve">-</w:t>
      </w:r>
      <w:r>
        <w:t xml:space="preserve"> </w:t>
      </w:r>
      <w:r>
        <w:rPr>
          <w:b/>
          <w:bCs/>
        </w:rPr>
        <w:t xml:space="preserve">Model 3 (</w:t>
      </w:r>
      <m:oMath>
        <m:sSub>
          <m:e>
            <m:r>
              <m:t>M</m:t>
            </m:r>
          </m:e>
          <m:sub>
            <m:r>
              <m:t>3</m:t>
            </m:r>
          </m:sub>
        </m:sSub>
      </m:oMath>
      <w:r>
        <w:rPr>
          <w:b/>
          <w:bCs/>
        </w:rPr>
        <w:t xml:space="preserve">):</w:t>
      </w:r>
      <w:r>
        <w:t xml:space="preserve"> </w:t>
      </w:r>
      <w:r>
        <w:t xml:space="preserve">InSituGame Spatial Game Assay:</w:t>
      </w:r>
      <w:r>
        <w:t xml:space="preserve"> </w:t>
      </w:r>
      <m:oMath>
        <m:sSub>
          <m:e>
            <m:r>
              <m:t>w</m:t>
            </m:r>
          </m:e>
          <m:sub>
            <m:r>
              <m:t>p</m:t>
            </m:r>
            <m:r>
              <m:t>u</m:t>
            </m:r>
            <m:r>
              <m:t>r</m:t>
            </m:r>
            <m:r>
              <m:t>i</m:t>
            </m:r>
            <m:r>
              <m:t>f</m:t>
            </m:r>
            <m:r>
              <m:t>i</m:t>
            </m:r>
            <m:r>
              <m:t>e</m:t>
            </m:r>
            <m:r>
              <m:t>d</m:t>
            </m:r>
          </m:sub>
        </m:sSub>
        <m:r>
          <m:rPr>
            <m:sty m:val="p"/>
          </m:rPr>
          <m:t>∼</m:t>
        </m:r>
        <m:nary>
          <m:naryPr>
            <m:chr m:val="∑"/>
            <m:limLoc m:val="undOvr"/>
            <m:subHide m:val="off"/>
            <m:supHide m:val="on"/>
          </m:naryPr>
          <m:sub>
            <m:r>
              <m:t>i</m:t>
            </m:r>
            <m:r>
              <m:t>j</m:t>
            </m:r>
          </m:sub>
          <m:sup>
            <m:r>
              <m:t>​</m:t>
            </m:r>
          </m:sup>
          <m:e>
            <m:sSub>
              <m:e>
                <m:acc>
                  <m:accPr>
                    <m:chr m:val="̃"/>
                  </m:accPr>
                  <m:e>
                    <m:r>
                      <m:t>A</m:t>
                    </m:r>
                  </m:e>
                </m:acc>
              </m:e>
              <m:sub>
                <m:r>
                  <m:t>i</m:t>
                </m:r>
                <m:r>
                  <m:t>j</m:t>
                </m:r>
              </m:sub>
            </m:sSub>
          </m:e>
        </m:nary>
        <m:sSub>
          <m:e>
            <m:r>
              <m:t>f</m:t>
            </m:r>
          </m:e>
          <m:sub>
            <m:r>
              <m:t>i</m:t>
            </m:r>
          </m:sub>
        </m:sSub>
        <m:sSub>
          <m:e>
            <m:acc>
              <m:accPr>
                <m:chr m:val="‾"/>
              </m:accPr>
              <m:e>
                <m:r>
                  <m:t>f</m:t>
                </m:r>
              </m:e>
            </m:acc>
          </m:e>
          <m:sub>
            <m:r>
              <m:t>j</m:t>
            </m:r>
          </m:sub>
        </m:sSub>
      </m:oMath>
      <w:r>
        <w:t xml:space="preserve"> </w:t>
      </w:r>
      <w:r>
        <w:t xml:space="preserve">(9 parameters, full rank unconstrained design matrix</w:t>
      </w:r>
      <w:r>
        <w:t xml:space="preserve"> </w:t>
      </w:r>
      <m:oMath>
        <m:sSub>
          <m:e>
            <m:r>
              <m:t>X</m:t>
            </m:r>
          </m:e>
          <m:sub>
            <m:r>
              <m:t>9</m:t>
            </m:r>
          </m:sub>
        </m:sSub>
      </m:oMath>
      <w:r>
        <w:t xml:space="preserve">). The incremental</w:t>
      </w:r>
      <w:r>
        <w:t xml:space="preserve"> </w:t>
      </w:r>
      <m:oMath>
        <m:r>
          <m:t>F</m:t>
        </m:r>
      </m:oMath>
      <w:r>
        <w:t xml:space="preserve">-test against</w:t>
      </w:r>
      <w:r>
        <w:t xml:space="preserve"> </w:t>
      </w:r>
      <m:oMath>
        <m:sSub>
          <m:e>
            <m:r>
              <m:t>M</m:t>
            </m:r>
          </m:e>
          <m:sub>
            <m:r>
              <m:t>2</m:t>
            </m:r>
            <m:r>
              <m:t>c</m:t>
            </m:r>
          </m:sub>
        </m:sSub>
      </m:oMath>
      <w:r>
        <w:t xml:space="preserve"> </w:t>
      </w:r>
      <w:r>
        <w:t xml:space="preserve">evaluates whether bilinear interaction terms provide significant explanatory power with</w:t>
      </w:r>
      <w:r>
        <w:t xml:space="preserve"> </w:t>
      </w:r>
      <m:oMath>
        <m:r>
          <m:t>d</m:t>
        </m:r>
        <m:sSub>
          <m:e>
            <m:r>
              <m:t>f</m:t>
            </m:r>
          </m:e>
          <m:sub>
            <m:r>
              <m:t>1</m:t>
            </m:r>
          </m:sub>
        </m:sSub>
        <m:r>
          <m:rPr>
            <m:sty m:val="p"/>
          </m:rPr>
          <m:t>=</m:t>
        </m:r>
        <m:r>
          <m:t>4</m:t>
        </m:r>
      </m:oMath>
      <w:r>
        <w:t xml:space="preserve"> </w:t>
      </w:r>
      <w:r>
        <w:t xml:space="preserve">(</w:t>
      </w:r>
      <m:oMath>
        <m:r>
          <m:t>9</m:t>
        </m:r>
        <m:r>
          <m:rPr>
            <m:sty m:val="p"/>
          </m:rPr>
          <m:t>−</m:t>
        </m:r>
        <m:r>
          <m:t>5</m:t>
        </m:r>
        <m:r>
          <m:rPr>
            <m:sty m:val="p"/>
          </m:rPr>
          <m:t>=</m:t>
        </m:r>
        <m:r>
          <m:t>4</m:t>
        </m:r>
      </m:oMath>
      <w:r>
        <w:t xml:space="preserve">) and</w:t>
      </w:r>
      <w:r>
        <w:t xml:space="preserve"> </w:t>
      </w:r>
      <m:oMath>
        <m:r>
          <m:t>d</m:t>
        </m:r>
        <m:sSub>
          <m:e>
            <m:r>
              <m:t>f</m:t>
            </m:r>
          </m:e>
          <m:sub>
            <m:r>
              <m:t>2</m:t>
            </m:r>
          </m:sub>
        </m:sSub>
        <m:r>
          <m:rPr>
            <m:sty m:val="p"/>
          </m:rPr>
          <m:t>=</m:t>
        </m:r>
        <m:r>
          <m:t>N</m:t>
        </m:r>
        <m:r>
          <m:rPr>
            <m:sty m:val="p"/>
          </m:rPr>
          <m:t>−</m:t>
        </m:r>
        <m:r>
          <m:t>9</m:t>
        </m:r>
      </m:oMath>
      <w:r>
        <w:t xml:space="preserve">.</w:t>
      </w:r>
    </w:p>
    <w:p>
      <w:pPr>
        <w:pStyle w:val="BodyText"/>
      </w:pPr>
      <w:r>
        <w:t xml:space="preserve">Statistical validation metrics include:</w:t>
      </w:r>
      <w:r>
        <w:t xml:space="preserve"> </w:t>
      </w:r>
      <w:r>
        <w:t xml:space="preserve">-</w:t>
      </w:r>
      <w:r>
        <w:t xml:space="preserve"> </w:t>
      </w:r>
      <w:r>
        <w:rPr>
          <w:b/>
          <w:bCs/>
        </w:rPr>
        <w:t xml:space="preserve">5-Fold Geographically Disjoint Spatial Block Cross-Validation:</w:t>
      </w:r>
      <w:r>
        <w:t xml:space="preserve"> </w:t>
      </w:r>
      <w:r>
        <w:t xml:space="preserve">Partitioning tissue coordinates into 5 spatial clusters via</w:t>
      </w:r>
      <w:r>
        <w:t xml:space="preserve"> </w:t>
      </w:r>
      <m:oMath>
        <m:r>
          <m:t>k</m:t>
        </m:r>
      </m:oMath>
      <w:r>
        <w:t xml:space="preserve">-means to assess out-of-fold generalizability (</w:t>
      </w:r>
      <m:oMath>
        <m:sSubSup>
          <m:e>
            <m:r>
              <m:t>R</m:t>
            </m:r>
          </m:e>
          <m:sub>
            <m:r>
              <m:rPr>
                <m:nor/>
                <m:sty m:val="p"/>
              </m:rPr>
              <m:t>OOF</m:t>
            </m:r>
          </m:sub>
          <m:sup>
            <m:r>
              <m:t>2</m:t>
            </m:r>
          </m:sup>
        </m:sSubSup>
      </m:oMath>
      <w:r>
        <w:t xml:space="preserve">) across all models.</w:t>
      </w:r>
      <w:r>
        <w:t xml:space="preserve"> </w:t>
      </w:r>
      <w:r>
        <w:t xml:space="preserve">-</w:t>
      </w:r>
      <w:r>
        <w:t xml:space="preserve"> </w:t>
      </w:r>
      <w:r>
        <w:rPr>
          <w:b/>
          <w:bCs/>
        </w:rPr>
        <w:t xml:space="preserve">Spatial Block Bootstrap 95% Confidence Intervals:</w:t>
      </w:r>
      <w:r>
        <w:t xml:space="preserve"> </w:t>
      </w:r>
      <w:r>
        <w:t xml:space="preserve">200 spatial cluster resamples to obtain non-parametric confidence bounds for absorbed payoff parameters</w:t>
      </w:r>
      <w:r>
        <w:t xml:space="preserve"> </w:t>
      </w:r>
      <m:oMath>
        <m:acc>
          <m:accPr>
            <m:chr m:val="̃"/>
          </m:accPr>
          <m:e>
            <m:r>
              <m:t>A</m:t>
            </m:r>
          </m:e>
        </m:acc>
      </m:oMath>
      <w:r>
        <w:t xml:space="preserve">, selective advantages (</w:t>
      </w:r>
      <m:oMath>
        <m:sSub>
          <m:e>
            <m:acc>
              <m:accPr>
                <m:chr m:val="̃"/>
              </m:accPr>
              <m:e>
                <m:r>
                  <m:t>Δ</m:t>
                </m:r>
              </m:e>
            </m:acc>
          </m:e>
          <m:sub>
            <m:r>
              <m:t>S</m:t>
            </m:r>
          </m:sub>
        </m:sSub>
        <m:r>
          <m:rPr>
            <m:sty m:val="p"/>
          </m:rPr>
          <m:t>,</m:t>
        </m:r>
        <m:sSub>
          <m:e>
            <m:acc>
              <m:accPr>
                <m:chr m:val="̃"/>
              </m:accPr>
              <m:e>
                <m:r>
                  <m:t>Δ</m:t>
                </m:r>
              </m:e>
            </m:acc>
          </m:e>
          <m:sub>
            <m:r>
              <m:t>R</m:t>
            </m:r>
          </m:sub>
        </m:sSub>
      </m:oMath>
      <w:r>
        <w:t xml:space="preserve">), and Nash equilibria (</w:t>
      </w:r>
      <m:oMath>
        <m:sSup>
          <m:e>
            <m:r>
              <m:t>x</m:t>
            </m:r>
          </m:e>
          <m:sup>
            <m:r>
              <m:rPr>
                <m:sty m:val="p"/>
              </m:rPr>
              <m:t>*</m:t>
            </m:r>
          </m:sup>
        </m:sSup>
        <m:r>
          <m:rPr>
            <m:sty m:val="p"/>
          </m:rPr>
          <m:t>,</m:t>
        </m:r>
        <m:sSub>
          <m:e>
            <m:r>
              <m:t>x</m:t>
            </m:r>
          </m:e>
          <m:sub>
            <m:r>
              <m:t>s</m:t>
            </m:r>
            <m:r>
              <m:t>e</m:t>
            </m:r>
            <m:r>
              <m:t>p</m:t>
            </m:r>
          </m:sub>
        </m:sSub>
      </m:oMath>
      <w:r>
        <w:t xml:space="preserve">) robust to residual spatial autocorrelation.</w:t>
      </w:r>
      <w:r>
        <w:t xml:space="preserve"> </w:t>
      </w:r>
      <w:r>
        <w:t xml:space="preserve">-</w:t>
      </w:r>
      <w:r>
        <w:t xml:space="preserve"> </w:t>
      </w:r>
      <w:r>
        <w:rPr>
          <w:b/>
          <w:bCs/>
        </w:rPr>
        <w:t xml:space="preserve">Monte Carlo Coordinate Permutation Test:</w:t>
      </w:r>
      <w:r>
        <w:t xml:space="preserve"> </w:t>
      </w:r>
      <w:r>
        <w:t xml:space="preserve">Randomly shuffling spatial coordinates (1,000 permutations) while holding spot composition invariant to test topological dependence.</w:t>
      </w:r>
      <w:r>
        <w:t xml:space="preserve"> </w:t>
      </w:r>
      <w:r>
        <w:t xml:space="preserve">-</w:t>
      </w:r>
      <w:r>
        <w:t xml:space="preserve"> </w:t>
      </w:r>
      <w:r>
        <w:rPr>
          <w:b/>
          <w:bCs/>
        </w:rPr>
        <w:t xml:space="preserve">Moran’s I Autocorrelation of Residuals:</w:t>
      </w:r>
      <w:r>
        <w:t xml:space="preserve"> </w:t>
      </w:r>
      <w:r>
        <w:t xml:space="preserve">Computed using the exact Cliff &amp; Ord (1981) variance formula across all model specifications.</w:t>
      </w:r>
      <w:r>
        <w:t xml:space="preserve"> </w:t>
      </w:r>
      <w:r>
        <w:t xml:space="preserve">-</w:t>
      </w:r>
      <w:r>
        <w:t xml:space="preserve"> </w:t>
      </w:r>
      <w:r>
        <w:rPr>
          <w:b/>
          <w:bCs/>
        </w:rPr>
        <w:t xml:space="preserve">Nested</w:t>
      </w:r>
      <w:r>
        <w:rPr>
          <w:b/>
          <w:bCs/>
        </w:rPr>
        <w:t xml:space="preserve"> </w:t>
      </w:r>
      <m:oMath>
        <m:r>
          <m:t>F</m:t>
        </m:r>
      </m:oMath>
      <w:r>
        <w:rPr>
          <w:b/>
          <w:bCs/>
        </w:rPr>
        <w:t xml:space="preserve">-Tests &amp; Diagnostic Odds Ratios (DOR):</w:t>
      </w:r>
      <w:r>
        <w:t xml:space="preserve"> </w:t>
      </w:r>
      <w:r>
        <w:t xml:space="preserve">With Woolf 95% confidence intervals and exact Fisher’s tests.</w:t>
      </w:r>
    </w:p>
    <w:p>
      <w:r>
        <w:pict>
          <v:rect style="width:0;height:1.5pt" o:hralign="center" o:hrstd="t" o:hr="t"/>
        </w:pict>
      </w:r>
    </w:p>
    <w:bookmarkEnd w:id="37"/>
    <w:bookmarkEnd w:id="38"/>
    <w:bookmarkStart w:id="51" w:name="results"/>
    <w:p>
      <w:pPr>
        <w:pStyle w:val="Heading2"/>
      </w:pPr>
      <w:r>
        <w:t xml:space="preserve">3. Results</w:t>
      </w:r>
    </w:p>
    <w:bookmarkStart w:id="39" w:name="X29a3d3a67569878da643cc8f961e985e549b3b9"/>
    <w:p>
      <w:pPr>
        <w:pStyle w:val="Heading3"/>
      </w:pPr>
      <w:r>
        <w:t xml:space="preserve">3.1 In Silico Numerical Code Correctness and Identifiability Benchmark</w:t>
      </w:r>
    </w:p>
    <w:p>
      <w:pPr>
        <w:pStyle w:val="FirstParagraph"/>
      </w:pPr>
      <w:r>
        <w:t xml:space="preserve">To verify that the 9-parameter bilinear estimator exhibits numerical stability and parameter identifiability under simplex constraints, we conducted an in silico benchmark on synthetic spatial tissue grids (</w:t>
      </w:r>
      <m:oMath>
        <m:r>
          <m:t>N</m:t>
        </m:r>
        <m:r>
          <m:rPr>
            <m:sty m:val="p"/>
          </m:rPr>
          <m:t>=</m:t>
        </m:r>
        <m:r>
          <m:t>1</m:t>
        </m:r>
        <m:r>
          <m:rPr>
            <m:sty m:val="p"/>
          </m:rPr>
          <m:t>,</m:t>
        </m:r>
        <m:r>
          <m:t>000</m:t>
        </m:r>
      </m:oMath>
      <w:r>
        <w:t xml:space="preserve"> </w:t>
      </w:r>
      <w:r>
        <w:t xml:space="preserve">spots) with Dirichlet simplex frequencies (</w:t>
      </w:r>
      <m:oMath>
        <m:r>
          <m:t>F</m:t>
        </m:r>
      </m:oMath>
      <w:r>
        <w:t xml:space="preserve">) and spatial neighborhood smoothing (</w:t>
      </w:r>
      <m:oMath>
        <m:acc>
          <m:accPr>
            <m:chr m:val="‾"/>
          </m:accPr>
          <m:e>
            <m:r>
              <m:t>F</m:t>
            </m:r>
          </m:e>
        </m:acc>
      </m:oMath>
      <w:r>
        <w:t xml:space="preserve">). A ground-truth Hawk-Dove interaction matrix (</w:t>
      </w:r>
      <m:oMath>
        <m:sSup>
          <m:e>
            <m:acc>
              <m:accPr>
                <m:chr m:val="̃"/>
              </m:accPr>
              <m:e>
                <m:r>
                  <m:t>A</m:t>
                </m:r>
              </m:e>
            </m:acc>
          </m:e>
          <m:sup>
            <m:r>
              <m:rPr>
                <m:nor/>
                <m:sty m:val="p"/>
              </m:rPr>
              <m:t>true</m:t>
            </m:r>
          </m:sup>
        </m:sSup>
      </m:oMath>
      <w:r>
        <w:t xml:space="preserve">, true interior coexistence</w:t>
      </w:r>
      <w:r>
        <w:t xml:space="preserve"> </w:t>
      </w:r>
      <m:oMath>
        <m:sSup>
          <m:e>
            <m:r>
              <m:t>x</m:t>
            </m:r>
          </m:e>
          <m:sup>
            <m:r>
              <m:rPr>
                <m:sty m:val="p"/>
              </m:rPr>
              <m:t>*</m:t>
            </m:r>
          </m:sup>
        </m:sSup>
        <m:r>
          <m:rPr>
            <m:sty m:val="p"/>
          </m:rPr>
          <m:t>=</m:t>
        </m:r>
        <m:r>
          <m:t>60.53</m:t>
        </m:r>
        <m:r>
          <m:rPr>
            <m:sty m:val="p"/>
          </m:rPr>
          <m:t>%</m:t>
        </m:r>
      </m:oMath>
      <w:r>
        <w:t xml:space="preserve">) was specified to generate proliferation fitness with 20% additive Gaussian noise.</w:t>
      </w:r>
    </w:p>
    <w:p>
      <w:pPr>
        <w:pStyle w:val="BodyText"/>
      </w:pPr>
      <w:r>
        <w:t xml:space="preserve">The 9-parameter estimator achieved near-perfect numerical recovery:</w:t>
      </w:r>
      <w:r>
        <w:t xml:space="preserve"> </w:t>
      </w:r>
      <w:r>
        <w:t xml:space="preserve">-</w:t>
      </w:r>
      <w:r>
        <w:t xml:space="preserve"> </w:t>
      </w:r>
      <w:r>
        <w:rPr>
          <w:b/>
          <w:bCs/>
        </w:rPr>
        <w:t xml:space="preserve">Matrix Correlation:</w:t>
      </w:r>
      <w:r>
        <w:t xml:space="preserve"> </w:t>
      </w:r>
      <w:r>
        <w:t xml:space="preserve">Pearson</w:t>
      </w:r>
      <w:r>
        <w:t xml:space="preserve"> </w:t>
      </w:r>
      <m:oMath>
        <m:r>
          <m:t>r</m:t>
        </m:r>
        <m:r>
          <m:rPr>
            <m:sty m:val="p"/>
          </m:rPr>
          <m:t>=</m:t>
        </m:r>
        <m:r>
          <m:t>0.9997</m:t>
        </m:r>
      </m:oMath>
      <w:r>
        <w:t xml:space="preserve"> </w:t>
      </w:r>
      <w:r>
        <w:t xml:space="preserve">(</w:t>
      </w:r>
      <m:oMath>
        <m:r>
          <m:t>p</m:t>
        </m:r>
        <m:r>
          <m:rPr>
            <m:sty m:val="p"/>
          </m:rPr>
          <m:t>=</m:t>
        </m:r>
        <m:r>
          <m:t>1.13</m:t>
        </m:r>
        <m:r>
          <m:rPr>
            <m:sty m:val="p"/>
          </m:rPr>
          <m:t>×</m:t>
        </m:r>
        <m:sSup>
          <m:e>
            <m:r>
              <m:t>10</m:t>
            </m:r>
          </m:e>
          <m:sup>
            <m:r>
              <m:rPr>
                <m:sty m:val="p"/>
              </m:rPr>
              <m:t>−</m:t>
            </m:r>
            <m:r>
              <m:t>12</m:t>
            </m:r>
          </m:sup>
        </m:sSup>
      </m:oMath>
      <w:r>
        <w:t xml:space="preserve">), Mean Absolute Error (MAE)</w:t>
      </w:r>
      <w:r>
        <w:t xml:space="preserve"> </w:t>
      </w:r>
      <m:oMath>
        <m:r>
          <m:rPr>
            <m:sty m:val="p"/>
          </m:rPr>
          <m:t>=</m:t>
        </m:r>
        <m:r>
          <m:t>0.0227</m:t>
        </m:r>
      </m:oMath>
      <w:r>
        <w:t xml:space="preserve">.</w:t>
      </w:r>
      <w:r>
        <w:t xml:space="preserve"> </w:t>
      </w:r>
      <w:r>
        <w:t xml:space="preserve">-</w:t>
      </w:r>
      <w:r>
        <w:t xml:space="preserve"> </w:t>
      </w:r>
      <w:r>
        <w:rPr>
          <w:b/>
          <w:bCs/>
        </w:rPr>
        <w:t xml:space="preserve">Equilibrium Recovery:</w:t>
      </w:r>
      <w:r>
        <w:t xml:space="preserve"> </w:t>
      </w:r>
      <w:r>
        <w:t xml:space="preserve">Recovered interior Nash equilibrium</w:t>
      </w:r>
      <w:r>
        <w:t xml:space="preserve"> </w:t>
      </w:r>
      <m:oMath>
        <m:sSup>
          <m:e>
            <m:r>
              <m:t>x</m:t>
            </m:r>
          </m:e>
          <m:sup>
            <m:r>
              <m:rPr>
                <m:sty m:val="p"/>
              </m:rPr>
              <m:t>*</m:t>
            </m:r>
          </m:sup>
        </m:sSup>
        <m:r>
          <m:rPr>
            <m:sty m:val="p"/>
          </m:rPr>
          <m:t>=</m:t>
        </m:r>
        <m:r>
          <m:t>60.30</m:t>
        </m:r>
        <m:r>
          <m:rPr>
            <m:sty m:val="p"/>
          </m:rPr>
          <m:t>%</m:t>
        </m:r>
      </m:oMath>
      <w:r>
        <w:t xml:space="preserve"> </w:t>
      </w:r>
      <w:r>
        <w:t xml:space="preserve">(within</w:t>
      </w:r>
      <w:r>
        <w:t xml:space="preserve"> </w:t>
      </w:r>
      <m:oMath>
        <m:r>
          <m:t>0.23</m:t>
        </m:r>
        <m:r>
          <m:rPr>
            <m:sty m:val="p"/>
          </m:rPr>
          <m:t>%</m:t>
        </m:r>
      </m:oMath>
      <w:r>
        <w:t xml:space="preserve"> </w:t>
      </w:r>
      <w:r>
        <w:t xml:space="preserve">of true</w:t>
      </w:r>
      <w:r>
        <w:t xml:space="preserve"> </w:t>
      </w:r>
      <m:oMath>
        <m:r>
          <m:t>60.53</m:t>
        </m:r>
        <m:r>
          <m:rPr>
            <m:sty m:val="p"/>
          </m:rPr>
          <m:t>%</m:t>
        </m:r>
      </m:oMath>
      <w:r>
        <w:t xml:space="preserve">).</w:t>
      </w:r>
      <w:r>
        <w:t xml:space="preserve"> </w:t>
      </w:r>
      <w:r>
        <w:t xml:space="preserve">-</w:t>
      </w:r>
      <w:r>
        <w:t xml:space="preserve"> </w:t>
      </w:r>
      <w:r>
        <w:rPr>
          <w:b/>
          <w:bCs/>
        </w:rPr>
        <w:t xml:space="preserve">Matrix Comparison:</w:t>
      </w:r>
    </w:p>
    <w:p>
      <w:pPr>
        <w:pStyle w:val="BodyText"/>
      </w:pPr>
      <m:oMathPara>
        <m:oMathParaPr>
          <m:jc m:val="center"/>
        </m:oMathParaPr>
        <m:oMath>
          <m:sSup>
            <m:e>
              <m:acc>
                <m:accPr>
                  <m:chr m:val="̃"/>
                </m:accPr>
                <m:e>
                  <m:r>
                    <m:t>A</m:t>
                  </m:r>
                </m:e>
              </m:acc>
            </m:e>
            <m:sup>
              <m:r>
                <m:rPr>
                  <m:nor/>
                  <m:sty m:val="p"/>
                </m:rPr>
                <m:t>true</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1.00</m:t>
                    </m:r>
                  </m:e>
                  <m:e>
                    <m:r>
                      <m:rPr>
                        <m:sty m:val="p"/>
                      </m:rPr>
                      <m:t>+</m:t>
                    </m:r>
                    <m:r>
                      <m:t>2.60</m:t>
                    </m:r>
                  </m:e>
                  <m:e>
                    <m:r>
                      <m:rPr>
                        <m:sty m:val="p"/>
                      </m:rPr>
                      <m:t>−</m:t>
                    </m:r>
                    <m:r>
                      <m:t>1.30</m:t>
                    </m:r>
                  </m:e>
                </m:mr>
                <m:mr>
                  <m:e>
                    <m:r>
                      <m:rPr>
                        <m:sty m:val="p"/>
                      </m:rPr>
                      <m:t>+</m:t>
                    </m:r>
                    <m:r>
                      <m:t>2.00</m:t>
                    </m:r>
                  </m:e>
                  <m:e>
                    <m:r>
                      <m:rPr>
                        <m:sty m:val="p"/>
                      </m:rPr>
                      <m:t>−</m:t>
                    </m:r>
                    <m:r>
                      <m:t>2.00</m:t>
                    </m:r>
                  </m:e>
                  <m:e>
                    <m:r>
                      <m:rPr>
                        <m:sty m:val="p"/>
                      </m:rPr>
                      <m:t>+</m:t>
                    </m:r>
                    <m:r>
                      <m:t>0.20</m:t>
                    </m:r>
                  </m:e>
                </m:mr>
                <m:mr>
                  <m:e>
                    <m:r>
                      <m:rPr>
                        <m:sty m:val="p"/>
                      </m:rPr>
                      <m:t>+</m:t>
                    </m:r>
                    <m:r>
                      <m:t>0.60</m:t>
                    </m:r>
                  </m:e>
                  <m:e>
                    <m:r>
                      <m:rPr>
                        <m:sty m:val="p"/>
                      </m:rPr>
                      <m:t>−</m:t>
                    </m:r>
                    <m:r>
                      <m:t>0.30</m:t>
                    </m:r>
                  </m:e>
                  <m:e>
                    <m:r>
                      <m:rPr>
                        <m:sty m:val="p"/>
                      </m:rPr>
                      <m:t>−</m:t>
                    </m:r>
                    <m:r>
                      <m:t>0.20</m:t>
                    </m:r>
                  </m:e>
                </m:mr>
              </m:m>
            </m:e>
          </m:d>
          <m:r>
            <m:rPr>
              <m:sty m:val="p"/>
            </m:rPr>
            <m:t>,</m:t>
          </m:r>
          <m:r>
            <m:t> </m:t>
          </m:r>
          <m:sSup>
            <m:e>
              <m:acc>
                <m:accPr>
                  <m:chr m:val="̃"/>
                </m:accPr>
                <m:e>
                  <m:r>
                    <m:t>A</m:t>
                  </m:r>
                </m:e>
              </m:acc>
            </m:e>
            <m:sup>
              <m:r>
                <m:rPr>
                  <m:nor/>
                  <m:sty m:val="p"/>
                </m:rPr>
                <m:t>est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1.01</m:t>
                    </m:r>
                  </m:e>
                  <m:e>
                    <m:r>
                      <m:rPr>
                        <m:sty m:val="p"/>
                      </m:rPr>
                      <m:t>+</m:t>
                    </m:r>
                    <m:r>
                      <m:t>2.59</m:t>
                    </m:r>
                  </m:e>
                  <m:e>
                    <m:r>
                      <m:rPr>
                        <m:sty m:val="p"/>
                      </m:rPr>
                      <m:t>−</m:t>
                    </m:r>
                    <m:r>
                      <m:t>1.31</m:t>
                    </m:r>
                  </m:e>
                </m:mr>
                <m:mr>
                  <m:e>
                    <m:r>
                      <m:rPr>
                        <m:sty m:val="p"/>
                      </m:rPr>
                      <m:t>+</m:t>
                    </m:r>
                    <m:r>
                      <m:t>2.01</m:t>
                    </m:r>
                  </m:e>
                  <m:e>
                    <m:r>
                      <m:rPr>
                        <m:sty m:val="p"/>
                      </m:rPr>
                      <m:t>−</m:t>
                    </m:r>
                    <m:r>
                      <m:t>2.00</m:t>
                    </m:r>
                  </m:e>
                  <m:e>
                    <m:r>
                      <m:rPr>
                        <m:sty m:val="p"/>
                      </m:rPr>
                      <m:t>+</m:t>
                    </m:r>
                    <m:r>
                      <m:t>0.14</m:t>
                    </m:r>
                  </m:e>
                </m:mr>
                <m:mr>
                  <m:e>
                    <m:r>
                      <m:rPr>
                        <m:sty m:val="p"/>
                      </m:rPr>
                      <m:t>+</m:t>
                    </m:r>
                    <m:r>
                      <m:t>0.68</m:t>
                    </m:r>
                  </m:e>
                  <m:e>
                    <m:r>
                      <m:rPr>
                        <m:sty m:val="p"/>
                      </m:rPr>
                      <m:t>−</m:t>
                    </m:r>
                    <m:r>
                      <m:t>0.29</m:t>
                    </m:r>
                  </m:e>
                  <m:e>
                    <m:r>
                      <m:rPr>
                        <m:sty m:val="p"/>
                      </m:rPr>
                      <m:t>−</m:t>
                    </m:r>
                    <m:r>
                      <m:t>0.21</m:t>
                    </m:r>
                  </m:e>
                </m:mr>
              </m:m>
            </m:e>
          </m:d>
        </m:oMath>
      </m:oMathPara>
    </w:p>
    <w:p>
      <w:pPr>
        <w:pStyle w:val="FirstParagraph"/>
      </w:pPr>
      <w:r>
        <w:t xml:space="preserve">This benchmark confirms that our mathematical formulation resolves the linear dependency inherent to the frequency simplex, verifying that the inverse game estimator accurately recovers parameters without matrix singularities or algebraic distortion under known model-matched conditions.</w:t>
      </w:r>
    </w:p>
    <w:bookmarkEnd w:id="39"/>
    <w:bookmarkStart w:id="41" w:name="pan-cancer-empirical-game-landscape"/>
    <w:p>
      <w:pPr>
        <w:pStyle w:val="Heading3"/>
      </w:pPr>
      <w:r>
        <w:t xml:space="preserve">3.2 Pan-Cancer Empirical Game Landscape</w:t>
      </w:r>
    </w:p>
    <w:p>
      <w:pPr>
        <w:pStyle w:val="FirstParagraph"/>
      </w:pPr>
      <w:r>
        <w:t xml:space="preserve">Applying</w:t>
      </w:r>
      <w:r>
        <w:t xml:space="preserve"> </w:t>
      </w:r>
      <w:r>
        <w:rPr>
          <w:i/>
          <w:iCs/>
        </w:rPr>
        <w:t xml:space="preserve">InSituGame</w:t>
      </w:r>
      <w:r>
        <w:t xml:space="preserve"> </w:t>
      </w:r>
      <w:r>
        <w:t xml:space="preserve">across the clinical cancer cohorts revealed distinct, lineage-specific evolutionary game regimes under the identifiable absorbed matrix</w:t>
      </w:r>
      <w:r>
        <w:t xml:space="preserve"> </w:t>
      </w:r>
      <m:oMath>
        <m:acc>
          <m:accPr>
            <m:chr m:val="̃"/>
          </m:accPr>
          <m:e>
            <m:r>
              <m:t>A</m:t>
            </m:r>
          </m:e>
        </m:acc>
      </m:oMath>
      <w:r>
        <w:t xml:space="preserve"> </w:t>
      </w:r>
      <w:r>
        <w:t xml:space="preserve">(Table 1 and Figure 1).</w:t>
      </w:r>
    </w:p>
    <w:tbl>
      <w:tblPr>
        <w:tblStyle w:val="FigureTable"/>
        <w:tblW w:type="auto" w:w="0"/>
        <w:jc w:val="center"/>
        <w:tblLook w:firstRow="0" w:lastRow="0" w:firstColumn="0" w:lastColumn="0"/>
      </w:tblPr>
      <w:tblGrid>
        <w:gridCol w:w="7920"/>
      </w:tblGrid>
      <w:tr>
        <w:tc>
          <w:tcPr/>
          <w:p>
            <w:pPr>
              <w:pStyle w:val="Compact"/>
              <w:jc w:val="center"/>
            </w:pPr>
            <w:r>
              <w:rPr>
                <w:b/>
                <w:bCs/>
              </w:rPr>
              <w:t xml:space="preserve">Spatial Phenotypic Architecture, Decoupled Fitness, and In Situ Payoff Estimation.</w:t>
            </w:r>
            <w:r>
              <w:t xml:space="preserve"> </w:t>
            </w:r>
            <w:r>
              <w:t xml:space="preserve">(Representative specimen: Lung SCC,</w:t>
            </w:r>
            <w:r>
              <w:t xml:space="preserve"> </w:t>
            </w:r>
            <m:oMath>
              <m:r>
                <m:t>N</m:t>
              </m:r>
              <m:r>
                <m:rPr>
                  <m:sty m:val="p"/>
                </m:rPr>
                <m:t>=</m:t>
              </m:r>
              <m:r>
                <m:t>3</m:t>
              </m:r>
              <m:r>
                <m:rPr>
                  <m:sty m:val="p"/>
                </m:rPr>
                <m:t>,</m:t>
              </m:r>
              <m:r>
                <m:t>858</m:t>
              </m:r>
            </m:oMath>
            <w:r>
              <w:t xml:space="preserve">). (A) Spot-level subclonal phenotypic architecture (Sensitive, Resistant, and Stroma/CAF) across intact tumor tissue. (B) Decoupled proliferation fitness (</w:t>
            </w:r>
            <m:oMath>
              <m:sSub>
                <m:e>
                  <m:r>
                    <m:t>w</m:t>
                  </m:r>
                </m:e>
                <m:sub>
                  <m:r>
                    <m:t>p</m:t>
                  </m:r>
                  <m:r>
                    <m:t>u</m:t>
                  </m:r>
                  <m:r>
                    <m:t>r</m:t>
                  </m:r>
                  <m:r>
                    <m:t>i</m:t>
                  </m:r>
                  <m:r>
                    <m:t>f</m:t>
                  </m:r>
                  <m:r>
                    <m:t>i</m:t>
                  </m:r>
                  <m:r>
                    <m:t>e</m:t>
                  </m:r>
                  <m:r>
                    <m:t>d</m:t>
                  </m:r>
                </m:sub>
              </m:sSub>
            </m:oMath>
            <w:r>
              <w:t xml:space="preserve">) removing extrinsic hypoxia and vascular confounders. (C) Empirical</w:t>
            </w:r>
            <w:r>
              <w:t xml:space="preserve"> </w:t>
            </w:r>
            <m:oMath>
              <m:r>
                <m:t>3</m:t>
              </m:r>
              <m:r>
                <m:rPr>
                  <m:sty m:val="p"/>
                </m:rPr>
                <m:t>×</m:t>
              </m:r>
              <m:r>
                <m:t>3</m:t>
              </m:r>
            </m:oMath>
            <w:r>
              <w:t xml:space="preserve"> </w:t>
            </w:r>
            <w:r>
              <w:t xml:space="preserve">absorbed payoff matrix (</w:t>
            </w:r>
            <m:oMath>
              <m:sSub>
                <m:e>
                  <m:acc>
                    <m:accPr>
                      <m:chr m:val="̃"/>
                    </m:accPr>
                    <m:e>
                      <m:r>
                        <m:t>A</m:t>
                      </m:r>
                    </m:e>
                  </m:acc>
                </m:e>
                <m:sub>
                  <m:r>
                    <m:t>i</m:t>
                  </m:r>
                  <m:r>
                    <m:t>j</m:t>
                  </m:r>
                </m:sub>
              </m:sSub>
            </m:oMath>
            <w:r>
              <w:t xml:space="preserve">) capturing direct and stroma-mediated subclonal interactions.</w:t>
            </w:r>
          </w:p>
        </w:tc>
      </w:tr>
    </w:tbl>
    <w:p>
      <w:pPr>
        <w:pStyle w:val="ImageCaption"/>
      </w:pPr>
      <w:r>
        <w:rPr>
          <w:b/>
          <w:bCs/>
        </w:rPr>
        <w:t xml:space="preserve">Spatial Phenotypic Architecture, Decoupled Fitness, and In Situ Payoff Estimation.</w:t>
      </w:r>
      <w:r>
        <w:t xml:space="preserve"> </w:t>
      </w:r>
      <w:r>
        <w:t xml:space="preserve">(Representative specimen: Lung SCC,</w:t>
      </w:r>
      <w:r>
        <w:t xml:space="preserve"> </w:t>
      </w:r>
      <m:oMath>
        <m:r>
          <m:t>N</m:t>
        </m:r>
        <m:r>
          <m:rPr>
            <m:sty m:val="p"/>
          </m:rPr>
          <m:t>=</m:t>
        </m:r>
        <m:r>
          <m:t>3</m:t>
        </m:r>
        <m:r>
          <m:rPr>
            <m:sty m:val="p"/>
          </m:rPr>
          <m:t>,</m:t>
        </m:r>
        <m:r>
          <m:t>858</m:t>
        </m:r>
      </m:oMath>
      <w:r>
        <w:t xml:space="preserve">). (A) Spot-level subclonal phenotypic architecture (Sensitive, Resistant, and Stroma/CAF) across intact tumor tissue. (B) Decoupled proliferation fitness (</w:t>
      </w:r>
      <m:oMath>
        <m:sSub>
          <m:e>
            <m:r>
              <m:t>w</m:t>
            </m:r>
          </m:e>
          <m:sub>
            <m:r>
              <m:t>p</m:t>
            </m:r>
            <m:r>
              <m:t>u</m:t>
            </m:r>
            <m:r>
              <m:t>r</m:t>
            </m:r>
            <m:r>
              <m:t>i</m:t>
            </m:r>
            <m:r>
              <m:t>f</m:t>
            </m:r>
            <m:r>
              <m:t>i</m:t>
            </m:r>
            <m:r>
              <m:t>e</m:t>
            </m:r>
            <m:r>
              <m:t>d</m:t>
            </m:r>
          </m:sub>
        </m:sSub>
      </m:oMath>
      <w:r>
        <w:t xml:space="preserve">) removing extrinsic hypoxia and vascular confounders. (C) Empirical</w:t>
      </w:r>
      <w:r>
        <w:t xml:space="preserve"> </w:t>
      </w:r>
      <m:oMath>
        <m:r>
          <m:t>3</m:t>
        </m:r>
        <m:r>
          <m:rPr>
            <m:sty m:val="p"/>
          </m:rPr>
          <m:t>×</m:t>
        </m:r>
        <m:r>
          <m:t>3</m:t>
        </m:r>
      </m:oMath>
      <w:r>
        <w:t xml:space="preserve"> </w:t>
      </w:r>
      <w:r>
        <w:t xml:space="preserve">absorbed payoff matrix (</w:t>
      </w:r>
      <m:oMath>
        <m:sSub>
          <m:e>
            <m:acc>
              <m:accPr>
                <m:chr m:val="̃"/>
              </m:accPr>
              <m:e>
                <m:r>
                  <m:t>A</m:t>
                </m:r>
              </m:e>
            </m:acc>
          </m:e>
          <m:sub>
            <m:r>
              <m:t>i</m:t>
            </m:r>
            <m:r>
              <m:t>j</m:t>
            </m:r>
          </m:sub>
        </m:sSub>
      </m:oMath>
      <w:r>
        <w:t xml:space="preserve">) capturing direct and stroma-mediated subclonal interactions.</w:t>
      </w:r>
    </w:p>
    <w:bookmarkStart w:id="40" w:name="X16cc29217305f5f66deb18993413ed5799ed1a7"/>
    <w:p>
      <w:pPr>
        <w:pStyle w:val="Heading4"/>
      </w:pPr>
      <w:r>
        <w:t xml:space="preserve">Dynamical Interpretation of Inferred Regimes</w:t>
      </w:r>
    </w:p>
    <w:p>
      <w:pPr>
        <w:pStyle w:val="Compact"/>
        <w:numPr>
          <w:ilvl w:val="0"/>
          <w:numId w:val="1002"/>
        </w:numPr>
      </w:pPr>
      <w:r>
        <w:rPr>
          <w:b/>
          <w:bCs/>
        </w:rPr>
        <w:t xml:space="preserve">Breast IDC:</w:t>
      </w:r>
      <w:r>
        <w:t xml:space="preserve"> </w:t>
      </w:r>
      <w:r>
        <w:t xml:space="preserve">The absorbed matrix exhibits negative diagonal terms (</w:t>
      </w:r>
      <m:oMath>
        <m:sSub>
          <m:e>
            <m:acc>
              <m:accPr>
                <m:chr m:val="̃"/>
              </m:accPr>
              <m:e>
                <m:r>
                  <m:t>A</m:t>
                </m:r>
              </m:e>
            </m:acc>
          </m:e>
          <m:sub>
            <m:r>
              <m:t>S</m:t>
            </m:r>
            <m:r>
              <m:t>S</m:t>
            </m:r>
          </m:sub>
        </m:sSub>
        <m:r>
          <m:rPr>
            <m:sty m:val="p"/>
          </m:rPr>
          <m:t>=</m:t>
        </m:r>
        <m:r>
          <m:rPr>
            <m:sty m:val="p"/>
          </m:rPr>
          <m:t>−</m:t>
        </m:r>
        <m:r>
          <m:t>0.736</m:t>
        </m:r>
        <m:r>
          <m:rPr>
            <m:sty m:val="p"/>
          </m:rPr>
          <m:t>,</m:t>
        </m:r>
        <m:sSub>
          <m:e>
            <m:acc>
              <m:accPr>
                <m:chr m:val="̃"/>
              </m:accPr>
              <m:e>
                <m:r>
                  <m:t>A</m:t>
                </m:r>
              </m:e>
            </m:acc>
          </m:e>
          <m:sub>
            <m:r>
              <m:t>R</m:t>
            </m:r>
            <m:r>
              <m:t>R</m:t>
            </m:r>
          </m:sub>
        </m:sSub>
        <m:r>
          <m:rPr>
            <m:sty m:val="p"/>
          </m:rPr>
          <m:t>=</m:t>
        </m:r>
        <m:r>
          <m:rPr>
            <m:sty m:val="p"/>
          </m:rPr>
          <m:t>−</m:t>
        </m:r>
        <m:r>
          <m:t>1.772</m:t>
        </m:r>
      </m:oMath>
      <w:r>
        <w:t xml:space="preserve">) and positive cross-terms (</w:t>
      </w:r>
      <m:oMath>
        <m:sSub>
          <m:e>
            <m:acc>
              <m:accPr>
                <m:chr m:val="̃"/>
              </m:accPr>
              <m:e>
                <m:r>
                  <m:t>A</m:t>
                </m:r>
              </m:e>
            </m:acc>
          </m:e>
          <m:sub>
            <m:r>
              <m:t>S</m:t>
            </m:r>
            <m:r>
              <m:t>R</m:t>
            </m:r>
          </m:sub>
        </m:sSub>
        <m:r>
          <m:rPr>
            <m:sty m:val="p"/>
          </m:rPr>
          <m:t>=</m:t>
        </m:r>
        <m:r>
          <m:rPr>
            <m:sty m:val="p"/>
          </m:rPr>
          <m:t>+</m:t>
        </m:r>
        <m:r>
          <m:t>2.866</m:t>
        </m:r>
        <m:r>
          <m:rPr>
            <m:sty m:val="p"/>
          </m:rPr>
          <m:t>,</m:t>
        </m:r>
        <m:sSub>
          <m:e>
            <m:acc>
              <m:accPr>
                <m:chr m:val="̃"/>
              </m:accPr>
              <m:e>
                <m:r>
                  <m:t>A</m:t>
                </m:r>
              </m:e>
            </m:acc>
          </m:e>
          <m:sub>
            <m:r>
              <m:t>R</m:t>
            </m:r>
            <m:r>
              <m:t>S</m:t>
            </m:r>
          </m:sub>
        </m:sSub>
        <m:r>
          <m:rPr>
            <m:sty m:val="p"/>
          </m:rPr>
          <m:t>=</m:t>
        </m:r>
        <m:r>
          <m:rPr>
            <m:sty m:val="p"/>
          </m:rPr>
          <m:t>+</m:t>
        </m:r>
        <m:r>
          <m:t>2.188</m:t>
        </m:r>
      </m:oMath>
      <w:r>
        <w:t xml:space="preserve">), fulfilling the canonical conditions of a</w:t>
      </w:r>
      <w:r>
        <w:t xml:space="preserve"> </w:t>
      </w:r>
      <w:r>
        <w:rPr>
          <w:b/>
          <w:bCs/>
        </w:rPr>
        <w:t xml:space="preserve">Hawk-Dove / Snowdrift game</w:t>
      </w:r>
      <w:r>
        <w:t xml:space="preserve"> </w:t>
      </w:r>
      <w:r>
        <w:t xml:space="preserve">(</w:t>
      </w:r>
      <m:oMath>
        <m:sSub>
          <m:e>
            <m:acc>
              <m:accPr>
                <m:chr m:val="̃"/>
              </m:accPr>
              <m:e>
                <m:r>
                  <m:t>Δ</m:t>
                </m:r>
              </m:e>
            </m:acc>
          </m:e>
          <m:sub>
            <m:r>
              <m:t>S</m:t>
            </m:r>
          </m:sub>
        </m:sSub>
        <m:r>
          <m:rPr>
            <m:sty m:val="p"/>
          </m:rPr>
          <m:t>=</m:t>
        </m:r>
        <m:r>
          <m:rPr>
            <m:sty m:val="p"/>
          </m:rPr>
          <m:t>−</m:t>
        </m:r>
        <m:r>
          <m:t>2.924</m:t>
        </m:r>
        <m:r>
          <m:rPr>
            <m:sty m:val="p"/>
          </m:rPr>
          <m:t>&lt;</m:t>
        </m:r>
        <m:r>
          <m:t>0</m:t>
        </m:r>
        <m:r>
          <m:rPr>
            <m:sty m:val="p"/>
          </m:rPr>
          <m:t>,</m:t>
        </m:r>
        <m:sSub>
          <m:e>
            <m:acc>
              <m:accPr>
                <m:chr m:val="̃"/>
              </m:accPr>
              <m:e>
                <m:r>
                  <m:t>Δ</m:t>
                </m:r>
              </m:e>
            </m:acc>
          </m:e>
          <m:sub>
            <m:r>
              <m:t>R</m:t>
            </m:r>
          </m:sub>
        </m:sSub>
        <m:r>
          <m:rPr>
            <m:sty m:val="p"/>
          </m:rPr>
          <m:t>=</m:t>
        </m:r>
        <m:r>
          <m:rPr>
            <m:sty m:val="p"/>
          </m:rPr>
          <m:t>−</m:t>
        </m:r>
        <m:r>
          <m:t>4.638</m:t>
        </m:r>
        <m:r>
          <m:rPr>
            <m:sty m:val="p"/>
          </m:rPr>
          <m:t>&lt;</m:t>
        </m:r>
        <m:r>
          <m:t>0</m:t>
        </m:r>
      </m:oMath>
      <w:r>
        <w:t xml:space="preserve">) with a stable interior coexistence equilibrium at</w:t>
      </w:r>
      <w:r>
        <w:t xml:space="preserve"> </w:t>
      </w:r>
      <m:oMath>
        <m:sSup>
          <m:e>
            <m:r>
              <m:t>x</m:t>
            </m:r>
          </m:e>
          <m:sup>
            <m:r>
              <m:rPr>
                <m:sty m:val="p"/>
              </m:rPr>
              <m:t>*</m:t>
            </m:r>
          </m:sup>
        </m:sSup>
        <m:r>
          <m:rPr>
            <m:sty m:val="p"/>
          </m:rPr>
          <m:t>=</m:t>
        </m:r>
        <m:r>
          <m:t>61.3</m:t>
        </m:r>
        <m:r>
          <m:rPr>
            <m:sty m:val="p"/>
          </m:rPr>
          <m:t>%</m:t>
        </m:r>
      </m:oMath>
      <w:r>
        <w:t xml:space="preserve">. Spatial block bootstrap resamples confirm that this coexistence regime is highly stable across spatial block permutations, with 95% bootstrap confidence intervals for both selective parameters strictly negative (</w:t>
      </w:r>
      <m:oMath>
        <m:sSub>
          <m:e>
            <m:acc>
              <m:accPr>
                <m:chr m:val="̃"/>
              </m:accPr>
              <m:e>
                <m:r>
                  <m:t>Δ</m:t>
                </m:r>
              </m:e>
            </m:acc>
          </m:e>
          <m:sub>
            <m:r>
              <m:t>S</m:t>
            </m:r>
          </m:sub>
        </m:sSub>
        <m:r>
          <m:rPr>
            <m:sty m:val="p"/>
          </m:rPr>
          <m:t>∈</m:t>
        </m:r>
        <m:d>
          <m:dPr>
            <m:begChr m:val="["/>
            <m:endChr m:val="]"/>
            <m:sepChr m:val=""/>
            <m:grow/>
          </m:dPr>
          <m:e>
            <m:r>
              <m:rPr>
                <m:sty m:val="p"/>
              </m:rPr>
              <m:t>−</m:t>
            </m:r>
            <m:r>
              <m:t>3.929</m:t>
            </m:r>
            <m:r>
              <m:rPr>
                <m:sty m:val="p"/>
              </m:rPr>
              <m:t>,</m:t>
            </m:r>
            <m:r>
              <m:rPr>
                <m:sty m:val="p"/>
              </m:rPr>
              <m:t>−</m:t>
            </m:r>
            <m:r>
              <m:t>1.551</m:t>
            </m:r>
          </m:e>
        </m:d>
        <m:r>
          <m:rPr>
            <m:sty m:val="p"/>
          </m:rPr>
          <m:t>,</m:t>
        </m:r>
        <m:sSub>
          <m:e>
            <m:acc>
              <m:accPr>
                <m:chr m:val="̃"/>
              </m:accPr>
              <m:e>
                <m:r>
                  <m:t>Δ</m:t>
                </m:r>
              </m:e>
            </m:acc>
          </m:e>
          <m:sub>
            <m:r>
              <m:t>R</m:t>
            </m:r>
          </m:sub>
        </m:sSub>
        <m:r>
          <m:rPr>
            <m:sty m:val="p"/>
          </m:rPr>
          <m:t>∈</m:t>
        </m:r>
        <m:d>
          <m:dPr>
            <m:begChr m:val="["/>
            <m:endChr m:val="]"/>
            <m:sepChr m:val=""/>
            <m:grow/>
          </m:dPr>
          <m:e>
            <m:r>
              <m:rPr>
                <m:sty m:val="p"/>
              </m:rPr>
              <m:t>−</m:t>
            </m:r>
            <m:r>
              <m:t>6.366</m:t>
            </m:r>
            <m:r>
              <m:rPr>
                <m:sty m:val="p"/>
              </m:rPr>
              <m:t>,</m:t>
            </m:r>
            <m:r>
              <m:rPr>
                <m:sty m:val="p"/>
              </m:rPr>
              <m:t>−</m:t>
            </m:r>
            <m:r>
              <m:t>2.582</m:t>
            </m:r>
          </m:e>
        </m:d>
      </m:oMath>
      <w:r>
        <w:t xml:space="preserve">) and the interior Nash equilibrium strictly confined within the simplex (</w:t>
      </w:r>
      <m:oMath>
        <m:sSup>
          <m:e>
            <m:r>
              <m:t>x</m:t>
            </m:r>
          </m:e>
          <m:sup>
            <m:r>
              <m:rPr>
                <m:sty m:val="p"/>
              </m:rPr>
              <m:t>*</m:t>
            </m:r>
          </m:sup>
        </m:sSup>
        <m:r>
          <m:rPr>
            <m:sty m:val="p"/>
          </m:rPr>
          <m:t>∈</m:t>
        </m:r>
        <m:d>
          <m:dPr>
            <m:begChr m:val="["/>
            <m:endChr m:val="]"/>
            <m:sepChr m:val=""/>
            <m:grow/>
          </m:dPr>
          <m:e>
            <m:r>
              <m:t>0.526</m:t>
            </m:r>
            <m:r>
              <m:rPr>
                <m:sty m:val="p"/>
              </m:rPr>
              <m:t>,</m:t>
            </m:r>
            <m:r>
              <m:t>0.725</m:t>
            </m:r>
          </m:e>
        </m:d>
      </m:oMath>
      <w:r>
        <w:t xml:space="preserve">).</w:t>
      </w:r>
    </w:p>
    <w:p>
      <w:pPr>
        <w:pStyle w:val="Compact"/>
        <w:numPr>
          <w:ilvl w:val="0"/>
          <w:numId w:val="1002"/>
        </w:numPr>
      </w:pPr>
      <w:r>
        <w:rPr>
          <w:b/>
          <w:bCs/>
        </w:rPr>
        <w:t xml:space="preserve">Melanoma SKCM (Suggestive Stag Hunt / Bistability):</w:t>
      </w:r>
      <w:r>
        <w:t xml:space="preserve"> </w:t>
      </w:r>
      <w:r>
        <w:t xml:space="preserve">Point estimates of the absorbed matrix yield</w:t>
      </w:r>
      <w:r>
        <w:t xml:space="preserve"> </w:t>
      </w:r>
      <m:oMath>
        <m:sSub>
          <m:e>
            <m:acc>
              <m:accPr>
                <m:chr m:val="̃"/>
              </m:accPr>
              <m:e>
                <m:r>
                  <m:t>Δ</m:t>
                </m:r>
              </m:e>
            </m:acc>
          </m:e>
          <m:sub>
            <m:r>
              <m:t>S</m:t>
            </m:r>
          </m:sub>
        </m:sSub>
        <m:r>
          <m:rPr>
            <m:sty m:val="p"/>
          </m:rPr>
          <m:t>=</m:t>
        </m:r>
        <m:r>
          <m:rPr>
            <m:sty m:val="p"/>
          </m:rPr>
          <m:t>+</m:t>
        </m:r>
        <m:r>
          <m:t>1.633</m:t>
        </m:r>
      </m:oMath>
      <w:r>
        <w:t xml:space="preserve"> </w:t>
      </w:r>
      <w:r>
        <w:t xml:space="preserve">and</w:t>
      </w:r>
      <w:r>
        <w:t xml:space="preserve"> </w:t>
      </w:r>
      <m:oMath>
        <m:sSub>
          <m:e>
            <m:acc>
              <m:accPr>
                <m:chr m:val="̃"/>
              </m:accPr>
              <m:e>
                <m:r>
                  <m:t>Δ</m:t>
                </m:r>
              </m:e>
            </m:acc>
          </m:e>
          <m:sub>
            <m:r>
              <m:t>R</m:t>
            </m:r>
          </m:sub>
        </m:sSub>
        <m:r>
          <m:rPr>
            <m:sty m:val="p"/>
          </m:rPr>
          <m:t>=</m:t>
        </m:r>
        <m:r>
          <m:rPr>
            <m:sty m:val="p"/>
          </m:rPr>
          <m:t>+</m:t>
        </m:r>
        <m:r>
          <m:t>1.515</m:t>
        </m:r>
      </m:oMath>
      <w:r>
        <w:t xml:space="preserve">, suggesting a</w:t>
      </w:r>
      <w:r>
        <w:t xml:space="preserve"> </w:t>
      </w:r>
      <w:r>
        <w:rPr>
          <w:b/>
          <w:bCs/>
        </w:rPr>
        <w:t xml:space="preserve">Stag Hunt / Bistable game</w:t>
      </w:r>
      <w:r>
        <w:t xml:space="preserve"> </w:t>
      </w:r>
      <w:r>
        <w:t xml:space="preserve">with an unstable tipping threshold at</w:t>
      </w:r>
      <w:r>
        <w:t xml:space="preserve"> </w:t>
      </w:r>
      <m:oMath>
        <m:sSub>
          <m:e>
            <m:r>
              <m:t>x</m:t>
            </m:r>
          </m:e>
          <m:sub>
            <m:r>
              <m:t>s</m:t>
            </m:r>
            <m:r>
              <m:t>e</m:t>
            </m:r>
            <m:r>
              <m:t>p</m:t>
            </m:r>
          </m:sub>
        </m:sSub>
        <m:r>
          <m:rPr>
            <m:sty m:val="p"/>
          </m:rPr>
          <m:t>=</m:t>
        </m:r>
        <m:r>
          <m:t>48.1</m:t>
        </m:r>
        <m:r>
          <m:rPr>
            <m:sty m:val="p"/>
          </m:rPr>
          <m:t>%</m:t>
        </m:r>
      </m:oMath>
      <w:r>
        <w:t xml:space="preserve">. However, non-parametric spatial block bootstrapping demonstrates that while</w:t>
      </w:r>
      <w:r>
        <w:t xml:space="preserve"> </w:t>
      </w:r>
      <m:oMath>
        <m:sSub>
          <m:e>
            <m:acc>
              <m:accPr>
                <m:chr m:val="̃"/>
              </m:accPr>
              <m:e>
                <m:r>
                  <m:t>Δ</m:t>
                </m:r>
              </m:e>
            </m:acc>
          </m:e>
          <m:sub>
            <m:r>
              <m:t>S</m:t>
            </m:r>
          </m:sub>
        </m:sSub>
      </m:oMath>
      <w:r>
        <w:t xml:space="preserve"> </w:t>
      </w:r>
      <w:r>
        <w:t xml:space="preserve">is robustly positive (</w:t>
      </w:r>
      <m:oMath>
        <m:d>
          <m:dPr>
            <m:begChr m:val="["/>
            <m:endChr m:val="]"/>
            <m:sepChr m:val=""/>
            <m:grow/>
          </m:dPr>
          <m:e>
            <m:r>
              <m:rPr>
                <m:sty m:val="p"/>
              </m:rPr>
              <m:t>+</m:t>
            </m:r>
            <m:r>
              <m:t>0.465</m:t>
            </m:r>
            <m:r>
              <m:rPr>
                <m:sty m:val="p"/>
              </m:rPr>
              <m:t>,</m:t>
            </m:r>
            <m:r>
              <m:rPr>
                <m:sty m:val="p"/>
              </m:rPr>
              <m:t>+</m:t>
            </m:r>
            <m:r>
              <m:t>2.601</m:t>
            </m:r>
          </m:e>
        </m:d>
      </m:oMath>
      <w:r>
        <w:t xml:space="preserve">), the 95% confidence interval for</w:t>
      </w:r>
      <w:r>
        <w:t xml:space="preserve"> </w:t>
      </w:r>
      <m:oMath>
        <m:sSub>
          <m:e>
            <m:acc>
              <m:accPr>
                <m:chr m:val="̃"/>
              </m:accPr>
              <m:e>
                <m:r>
                  <m:t>Δ</m:t>
                </m:r>
              </m:e>
            </m:acc>
          </m:e>
          <m:sub>
            <m:r>
              <m:t>R</m:t>
            </m:r>
          </m:sub>
        </m:sSub>
      </m:oMath>
      <w:r>
        <w:t xml:space="preserve"> </w:t>
      </w:r>
      <w:r>
        <w:t xml:space="preserve">spans zero (</w:t>
      </w:r>
      <m:oMath>
        <m:d>
          <m:dPr>
            <m:begChr m:val="["/>
            <m:endChr m:val="]"/>
            <m:sepChr m:val=""/>
            <m:grow/>
          </m:dPr>
          <m:e>
            <m:r>
              <m:rPr>
                <m:sty m:val="p"/>
              </m:rPr>
              <m:t>−</m:t>
            </m:r>
            <m:r>
              <m:t>0.973</m:t>
            </m:r>
            <m:r>
              <m:rPr>
                <m:sty m:val="p"/>
              </m:rPr>
              <m:t>,</m:t>
            </m:r>
            <m:r>
              <m:rPr>
                <m:sty m:val="p"/>
              </m:rPr>
              <m:t>+</m:t>
            </m:r>
            <m:r>
              <m:t>3.571</m:t>
            </m:r>
          </m:e>
        </m:d>
      </m:oMath>
      <w:r>
        <w:t xml:space="preserve">). While the upper portion of the resamples supports bistability, this parameter uncertainty indicates that discrete classification in melanoma remains suggestive rather than definitive.</w:t>
      </w:r>
    </w:p>
    <w:p>
      <w:pPr>
        <w:pStyle w:val="Compact"/>
        <w:numPr>
          <w:ilvl w:val="0"/>
          <w:numId w:val="1002"/>
        </w:numPr>
      </w:pPr>
      <w:r>
        <w:rPr>
          <w:b/>
          <w:bCs/>
        </w:rPr>
        <w:t xml:space="preserve">Lung SCC (Indeterminate / Regional Composition):</w:t>
      </w:r>
      <w:r>
        <w:t xml:space="preserve"> </w:t>
      </w:r>
      <w:r>
        <w:t xml:space="preserve">In unperturbed baseline tissue, point estimates show</w:t>
      </w:r>
      <w:r>
        <w:t xml:space="preserve"> </w:t>
      </w:r>
      <m:oMath>
        <m:sSub>
          <m:e>
            <m:acc>
              <m:accPr>
                <m:chr m:val="̃"/>
              </m:accPr>
              <m:e>
                <m:r>
                  <m:t>Δ</m:t>
                </m:r>
              </m:e>
            </m:acc>
          </m:e>
          <m:sub>
            <m:r>
              <m:t>S</m:t>
            </m:r>
          </m:sub>
        </m:sSub>
        <m:r>
          <m:rPr>
            <m:sty m:val="p"/>
          </m:rPr>
          <m:t>=</m:t>
        </m:r>
        <m:r>
          <m:rPr>
            <m:sty m:val="p"/>
          </m:rPr>
          <m:t>+</m:t>
        </m:r>
        <m:r>
          <m:t>0.983</m:t>
        </m:r>
      </m:oMath>
      <w:r>
        <w:t xml:space="preserve"> </w:t>
      </w:r>
      <w:r>
        <w:t xml:space="preserve">and</w:t>
      </w:r>
      <w:r>
        <w:t xml:space="preserve"> </w:t>
      </w:r>
      <m:oMath>
        <m:sSub>
          <m:e>
            <m:acc>
              <m:accPr>
                <m:chr m:val="̃"/>
              </m:accPr>
              <m:e>
                <m:r>
                  <m:t>Δ</m:t>
                </m:r>
              </m:e>
            </m:acc>
          </m:e>
          <m:sub>
            <m:r>
              <m:t>R</m:t>
            </m:r>
          </m:sub>
        </m:sSub>
        <m:r>
          <m:rPr>
            <m:sty m:val="p"/>
          </m:rPr>
          <m:t>=</m:t>
        </m:r>
        <m:r>
          <m:rPr>
            <m:sty m:val="p"/>
          </m:rPr>
          <m:t>−</m:t>
        </m:r>
        <m:r>
          <m:t>0.244</m:t>
        </m:r>
      </m:oMath>
      <w:r>
        <w:t xml:space="preserve">. However, spatial block bootstrap reveals that the 95% confidence interval for</w:t>
      </w:r>
      <w:r>
        <w:t xml:space="preserve"> </w:t>
      </w:r>
      <m:oMath>
        <m:sSub>
          <m:e>
            <m:acc>
              <m:accPr>
                <m:chr m:val="̃"/>
              </m:accPr>
              <m:e>
                <m:r>
                  <m:t>Δ</m:t>
                </m:r>
              </m:e>
            </m:acc>
          </m:e>
          <m:sub>
            <m:r>
              <m:t>R</m:t>
            </m:r>
          </m:sub>
        </m:sSub>
      </m:oMath>
      <w:r>
        <w:t xml:space="preserve"> </w:t>
      </w:r>
      <w:r>
        <w:t xml:space="preserve">spans zero (</w:t>
      </w:r>
      <m:oMath>
        <m:d>
          <m:dPr>
            <m:begChr m:val="["/>
            <m:endChr m:val="]"/>
            <m:sepChr m:val=""/>
            <m:grow/>
          </m:dPr>
          <m:e>
            <m:r>
              <m:rPr>
                <m:sty m:val="p"/>
              </m:rPr>
              <m:t>−</m:t>
            </m:r>
            <m:r>
              <m:t>1.685</m:t>
            </m:r>
            <m:r>
              <m:rPr>
                <m:sty m:val="p"/>
              </m:rPr>
              <m:t>,</m:t>
            </m:r>
            <m:r>
              <m:rPr>
                <m:sty m:val="p"/>
              </m:rPr>
              <m:t>+</m:t>
            </m:r>
            <m:r>
              <m:t>1.168</m:t>
            </m:r>
          </m:e>
        </m:d>
      </m:oMath>
      <w:r>
        <w:t xml:space="preserve">), and Model 3 does not significantly improve over linear regional composition (</w:t>
      </w:r>
      <m:oMath>
        <m:r>
          <m:t>F</m:t>
        </m:r>
        <m:r>
          <m:rPr>
            <m:sty m:val="p"/>
          </m:rPr>
          <m:t>=</m:t>
        </m:r>
        <m:r>
          <m:t>1.30</m:t>
        </m:r>
        <m:r>
          <m:rPr>
            <m:sty m:val="p"/>
          </m:rPr>
          <m:t>,</m:t>
        </m:r>
        <m:r>
          <m:t>p</m:t>
        </m:r>
        <m:r>
          <m:rPr>
            <m:sty m:val="p"/>
          </m:rPr>
          <m:t>=</m:t>
        </m:r>
        <m:r>
          <m:t>0.266</m:t>
        </m:r>
      </m:oMath>
      <w:r>
        <w:t xml:space="preserve">;</w:t>
      </w:r>
      <w:r>
        <w:t xml:space="preserve"> </w:t>
      </w:r>
      <m:oMath>
        <m:sSubSup>
          <m:e>
            <m:r>
              <m:t>R</m:t>
            </m:r>
          </m:e>
          <m:sub>
            <m:r>
              <m:rPr>
                <m:nor/>
                <m:sty m:val="p"/>
              </m:rPr>
              <m:t>OOF</m:t>
            </m:r>
          </m:sub>
          <m:sup>
            <m:r>
              <m:t>2</m:t>
            </m:r>
          </m:sup>
        </m:sSubSup>
        <m:r>
          <m:rPr>
            <m:sty m:val="p"/>
          </m:rPr>
          <m:t>=</m:t>
        </m:r>
        <m:r>
          <m:t>26.07</m:t>
        </m:r>
        <m:r>
          <m:rPr>
            <m:sty m:val="p"/>
          </m:rPr>
          <m:t>%</m:t>
        </m:r>
      </m:oMath>
      <w:r>
        <w:t xml:space="preserve"> </w:t>
      </w:r>
      <w:r>
        <w:t xml:space="preserve">vs</w:t>
      </w:r>
      <w:r>
        <w:t xml:space="preserve"> </w:t>
      </w:r>
      <m:oMath>
        <m:r>
          <m:t>27.06</m:t>
        </m:r>
        <m:r>
          <m:rPr>
            <m:sty m:val="p"/>
          </m:rPr>
          <m:t>%</m:t>
        </m:r>
      </m:oMath>
      <w:r>
        <w:t xml:space="preserve">). Consequently, this specimen cannot be reliably classified into a discrete game regime, and its spatial proliferation variance is predominantly governed by regional composition rather than frequency-dependent subclonal cross-talk. Importantly, although Model 3 does not provide an incremental game benefit, the spatial feature set as a whole exhibits high binarized diagnostic discrimination for proliferative spots (DOR</w:t>
      </w:r>
      <w:r>
        <w:t xml:space="preserve"> </w:t>
      </w:r>
      <m:oMath>
        <m:r>
          <m:rPr>
            <m:sty m:val="p"/>
          </m:rPr>
          <m:t>=</m:t>
        </m:r>
        <m:r>
          <m:t>7.04</m:t>
        </m:r>
      </m:oMath>
      <w:r>
        <w:t xml:space="preserve"> </w:t>
      </w:r>
      <w:r>
        <w:t xml:space="preserve">[6.11–8.11],</w:t>
      </w:r>
      <w:r>
        <w:t xml:space="preserve"> </w:t>
      </w:r>
      <m:oMath>
        <m:r>
          <m:t>p</m:t>
        </m:r>
        <m:r>
          <m:rPr>
            <m:sty m:val="p"/>
          </m:rPr>
          <m:t>&lt;</m:t>
        </m:r>
        <m:sSup>
          <m:e>
            <m:r>
              <m:t>10</m:t>
            </m:r>
          </m:e>
          <m:sup>
            <m:r>
              <m:rPr>
                <m:sty m:val="p"/>
              </m:rPr>
              <m:t>−</m:t>
            </m:r>
            <m:r>
              <m:t>11</m:t>
            </m:r>
          </m:sup>
        </m:sSup>
      </m:oMath>
      <w:r>
        <w:t xml:space="preserve">), driven by the strong baseline explanatory power of regional composition (</w:t>
      </w:r>
      <m:oMath>
        <m:sSub>
          <m:e>
            <m:r>
              <m:t>M</m:t>
            </m:r>
          </m:e>
          <m:sub>
            <m:r>
              <m:t>2</m:t>
            </m:r>
            <m:r>
              <m:t>c</m:t>
            </m:r>
          </m:sub>
        </m:sSub>
        <m:r>
          <m:rPr>
            <m:sty m:val="p"/>
          </m:rPr>
          <m:t>=</m:t>
        </m:r>
        <m:r>
          <m:t>30.77</m:t>
        </m:r>
        <m:r>
          <m:rPr>
            <m:sty m:val="p"/>
          </m:rPr>
          <m:t>%</m:t>
        </m:r>
      </m:oMath>
      <w:r>
        <w:t xml:space="preserve">).</w:t>
      </w:r>
    </w:p>
    <w:tbl>
      <w:tblPr>
        <w:tblStyle w:val="FigureTable"/>
        <w:tblW w:type="auto" w:w="0"/>
        <w:jc w:val="center"/>
        <w:tblLook w:firstRow="0" w:lastRow="0" w:firstColumn="0" w:lastColumn="0"/>
      </w:tblPr>
      <w:tblGrid>
        <w:gridCol w:w="7920"/>
      </w:tblGrid>
      <w:tr>
        <w:tc>
          <w:tcPr/>
          <w:p>
            <w:pPr>
              <w:pStyle w:val="Compact"/>
              <w:jc w:val="center"/>
            </w:pPr>
            <w:r>
              <w:rPr>
                <w:b/>
                <w:bCs/>
              </w:rPr>
              <w:t xml:space="preserve">Pan-Cancer In Situ Spatial Evolutionary Game Atlas and Adaptive Therapy Dynamics.</w:t>
            </w:r>
            <w:r>
              <w:t xml:space="preserve"> </w:t>
            </w:r>
            <w:r>
              <w:t xml:space="preserve">Pan-cancer spatial game interaction landscapes across human Lung Squamous Cell Carcinoma (Lung SCC,</w:t>
            </w:r>
            <w:r>
              <w:t xml:space="preserve"> </w:t>
            </w:r>
            <m:oMath>
              <m:r>
                <m:t>N</m:t>
              </m:r>
              <m:r>
                <m:rPr>
                  <m:sty m:val="p"/>
                </m:rPr>
                <m:t>=</m:t>
              </m:r>
              <m:r>
                <m:t>3</m:t>
              </m:r>
              <m:r>
                <m:rPr>
                  <m:sty m:val="p"/>
                </m:rPr>
                <m:t>,</m:t>
              </m:r>
              <m:r>
                <m:t>858</m:t>
              </m:r>
            </m:oMath>
            <w:r>
              <w:t xml:space="preserve">), Invasive Ductal Breast Carcinoma (Breast IDC,</w:t>
            </w:r>
            <w:r>
              <w:t xml:space="preserve"> </w:t>
            </w:r>
            <m:oMath>
              <m:r>
                <m:t>N</m:t>
              </m:r>
              <m:r>
                <m:rPr>
                  <m:sty m:val="p"/>
                </m:rPr>
                <m:t>=</m:t>
              </m:r>
              <m:r>
                <m:t>4</m:t>
              </m:r>
              <m:r>
                <m:rPr>
                  <m:sty m:val="p"/>
                </m:rPr>
                <m:t>,</m:t>
              </m:r>
              <m:r>
                <m:t>992</m:t>
              </m:r>
            </m:oMath>
            <w:r>
              <w:t xml:space="preserve">), and Cutaneous Malignant Melanoma (Melanoma SKCM,</w:t>
            </w:r>
            <w:r>
              <w:t xml:space="preserve"> </w:t>
            </w:r>
            <m:oMath>
              <m:r>
                <m:t>N</m:t>
              </m:r>
              <m:r>
                <m:rPr>
                  <m:sty m:val="p"/>
                </m:rPr>
                <m:t>=</m:t>
              </m:r>
              <m:r>
                <m:t>3</m:t>
              </m:r>
              <m:r>
                <m:rPr>
                  <m:sty m:val="p"/>
                </m:rPr>
                <m:t>,</m:t>
              </m:r>
              <m:r>
                <m:t>458</m:t>
              </m:r>
            </m:oMath>
            <w:r>
              <w:t xml:space="preserve">).</w:t>
            </w:r>
            <w:r>
              <w:t xml:space="preserve"> </w:t>
            </w:r>
            <w:r>
              <w:rPr>
                <w:b/>
                <w:bCs/>
              </w:rPr>
              <w:t xml:space="preserve">Column 1:</w:t>
            </w:r>
            <w:r>
              <w:t xml:space="preserve"> </w:t>
            </w:r>
            <w:r>
              <w:t xml:space="preserve">Spot-level subclonal phenotypic architecture across intact tissue (Red: Resistant</w:t>
            </w:r>
            <w:r>
              <w:t xml:space="preserve"> </w:t>
            </w:r>
            <m:oMath>
              <m:sSub>
                <m:e>
                  <m:r>
                    <m:t>T</m:t>
                  </m:r>
                </m:e>
                <m:sub>
                  <m:r>
                    <m:t>R</m:t>
                  </m:r>
                </m:sub>
              </m:sSub>
            </m:oMath>
            <w:r>
              <w:t xml:space="preserve">, Green: Sensitive</w:t>
            </w:r>
            <w:r>
              <w:t xml:space="preserve"> </w:t>
            </w:r>
            <m:oMath>
              <m:sSub>
                <m:e>
                  <m:r>
                    <m:t>T</m:t>
                  </m:r>
                </m:e>
                <m:sub>
                  <m:r>
                    <m:t>S</m:t>
                  </m:r>
                </m:sub>
              </m:sSub>
            </m:oMath>
            <w:r>
              <w:t xml:space="preserve">, Blue: Stroma/CAF</w:t>
            </w:r>
            <w:r>
              <w:t xml:space="preserve"> </w:t>
            </w:r>
            <m:oMath>
              <m:sSub>
                <m:e>
                  <m:r>
                    <m:t>S</m:t>
                  </m:r>
                </m:e>
                <m:sub>
                  <m:r>
                    <m:t>C</m:t>
                  </m:r>
                  <m:r>
                    <m:t>A</m:t>
                  </m:r>
                  <m:r>
                    <m:t>F</m:t>
                  </m:r>
                </m:sub>
              </m:sSub>
            </m:oMath>
            <w:r>
              <w:t xml:space="preserve">).</w:t>
            </w:r>
            <w:r>
              <w:t xml:space="preserve"> </w:t>
            </w:r>
            <w:r>
              <w:rPr>
                <w:b/>
                <w:bCs/>
              </w:rPr>
              <w:t xml:space="preserve">Column 2:</w:t>
            </w:r>
            <w:r>
              <w:t xml:space="preserve"> </w:t>
            </w:r>
            <w:r>
              <w:t xml:space="preserve">Decoupled proliferation fitness (</w:t>
            </w:r>
            <m:oMath>
              <m:sSub>
                <m:e>
                  <m:r>
                    <m:t>w</m:t>
                  </m:r>
                </m:e>
                <m:sub>
                  <m:r>
                    <m:t>p</m:t>
                  </m:r>
                  <m:r>
                    <m:t>u</m:t>
                  </m:r>
                  <m:r>
                    <m:t>r</m:t>
                  </m:r>
                  <m:r>
                    <m:t>i</m:t>
                  </m:r>
                  <m:r>
                    <m:t>f</m:t>
                  </m:r>
                  <m:r>
                    <m:t>i</m:t>
                  </m:r>
                  <m:r>
                    <m:t>e</m:t>
                  </m:r>
                  <m:r>
                    <m:t>d</m:t>
                  </m:r>
                </m:sub>
              </m:sSub>
            </m:oMath>
            <w:r>
              <w:t xml:space="preserve">) spatial landscape after removing extrinsic hypoxia (</w:t>
            </w:r>
            <m:oMath>
              <m:sSub>
                <m:e>
                  <m:r>
                    <m:t>Z</m:t>
                  </m:r>
                </m:e>
                <m:sub>
                  <m:r>
                    <m:t>h</m:t>
                  </m:r>
                  <m:r>
                    <m:t>y</m:t>
                  </m:r>
                  <m:r>
                    <m:t>p</m:t>
                  </m:r>
                </m:sub>
              </m:sSub>
            </m:oMath>
            <w:r>
              <w:t xml:space="preserve">) and vascular density (</w:t>
            </w:r>
            <m:oMath>
              <m:sSub>
                <m:e>
                  <m:r>
                    <m:t>Z</m:t>
                  </m:r>
                </m:e>
                <m:sub>
                  <m:r>
                    <m:t>v</m:t>
                  </m:r>
                  <m:r>
                    <m:t>a</m:t>
                  </m:r>
                  <m:r>
                    <m:t>s</m:t>
                  </m:r>
                  <m:r>
                    <m:t>c</m:t>
                  </m:r>
                </m:sub>
              </m:sSub>
            </m:oMath>
            <w:r>
              <w:t xml:space="preserve">) confounders.</w:t>
            </w:r>
            <w:r>
              <w:t xml:space="preserve"> </w:t>
            </w:r>
            <w:r>
              <w:rPr>
                <w:b/>
                <w:bCs/>
              </w:rPr>
              <w:t xml:space="preserve">Column 3:</w:t>
            </w:r>
            <w:r>
              <w:t xml:space="preserve"> </w:t>
            </w:r>
            <w:r>
              <w:t xml:space="preserve">Inferred empirical</w:t>
            </w:r>
            <w:r>
              <w:t xml:space="preserve"> </w:t>
            </w:r>
            <m:oMath>
              <m:r>
                <m:t>3</m:t>
              </m:r>
              <m:r>
                <m:rPr>
                  <m:sty m:val="p"/>
                </m:rPr>
                <m:t>×</m:t>
              </m:r>
              <m:r>
                <m:t>3</m:t>
              </m:r>
            </m:oMath>
            <w:r>
              <w:t xml:space="preserve"> </w:t>
            </w:r>
            <w:r>
              <w:t xml:space="preserve">absorbed payoff matrix (</w:t>
            </w:r>
            <m:oMath>
              <m:sSub>
                <m:e>
                  <m:acc>
                    <m:accPr>
                      <m:chr m:val="̃"/>
                    </m:accPr>
                    <m:e>
                      <m:r>
                        <m:t>A</m:t>
                      </m:r>
                    </m:e>
                  </m:acc>
                </m:e>
                <m:sub>
                  <m:r>
                    <m:t>i</m:t>
                  </m:r>
                  <m:r>
                    <m:t>j</m:t>
                  </m:r>
                </m:sub>
              </m:sSub>
            </m:oMath>
            <w:r>
              <w:t xml:space="preserve">) heatmap capturing direct and stroma-mediated subclonal interactions.</w:t>
            </w:r>
            <w:r>
              <w:t xml:space="preserve"> </w:t>
            </w:r>
            <w:r>
              <w:rPr>
                <w:b/>
                <w:bCs/>
              </w:rPr>
              <w:t xml:space="preserve">Column 4:</w:t>
            </w:r>
            <w:r>
              <w:t xml:space="preserve"> </w:t>
            </w:r>
            <w:r>
              <w:t xml:space="preserve">Replicator dynamics forward simulations comparing continuous Maximum Tolerated Dose (MTD) chemotherapy against evolutionary adaptive therapy schedules (note: for Lung SCC, the adaptive trajectory is presented as an illustrative scenario given that the specimen exhibits indeterminate / regional composition dynamics,</w:t>
            </w:r>
            <w:r>
              <w:t xml:space="preserve"> </w:t>
            </w:r>
            <m:oMath>
              <m:r>
                <m:t>p</m:t>
              </m:r>
              <m:r>
                <m:rPr>
                  <m:sty m:val="p"/>
                </m:rPr>
                <m:t>=</m:t>
              </m:r>
              <m:r>
                <m:t>0.266</m:t>
              </m:r>
            </m:oMath>
            <w:r>
              <w:t xml:space="preserve">).</w:t>
            </w:r>
          </w:p>
        </w:tc>
      </w:tr>
    </w:tbl>
    <w:p>
      <w:pPr>
        <w:pStyle w:val="ImageCaption"/>
      </w:pPr>
      <w:r>
        <w:rPr>
          <w:b/>
          <w:bCs/>
        </w:rPr>
        <w:t xml:space="preserve">Pan-Cancer In Situ Spatial Evolutionary Game Atlas and Adaptive Therapy Dynamics.</w:t>
      </w:r>
      <w:r>
        <w:t xml:space="preserve"> </w:t>
      </w:r>
      <w:r>
        <w:t xml:space="preserve">Pan-cancer spatial game interaction landscapes across human Lung Squamous Cell Carcinoma (Lung SCC,</w:t>
      </w:r>
      <w:r>
        <w:t xml:space="preserve"> </w:t>
      </w:r>
      <m:oMath>
        <m:r>
          <m:t>N</m:t>
        </m:r>
        <m:r>
          <m:rPr>
            <m:sty m:val="p"/>
          </m:rPr>
          <m:t>=</m:t>
        </m:r>
        <m:r>
          <m:t>3</m:t>
        </m:r>
        <m:r>
          <m:rPr>
            <m:sty m:val="p"/>
          </m:rPr>
          <m:t>,</m:t>
        </m:r>
        <m:r>
          <m:t>858</m:t>
        </m:r>
      </m:oMath>
      <w:r>
        <w:t xml:space="preserve">), Invasive Ductal Breast Carcinoma (Breast IDC,</w:t>
      </w:r>
      <w:r>
        <w:t xml:space="preserve"> </w:t>
      </w:r>
      <m:oMath>
        <m:r>
          <m:t>N</m:t>
        </m:r>
        <m:r>
          <m:rPr>
            <m:sty m:val="p"/>
          </m:rPr>
          <m:t>=</m:t>
        </m:r>
        <m:r>
          <m:t>4</m:t>
        </m:r>
        <m:r>
          <m:rPr>
            <m:sty m:val="p"/>
          </m:rPr>
          <m:t>,</m:t>
        </m:r>
        <m:r>
          <m:t>992</m:t>
        </m:r>
      </m:oMath>
      <w:r>
        <w:t xml:space="preserve">), and Cutaneous Malignant Melanoma (Melanoma SKCM,</w:t>
      </w:r>
      <w:r>
        <w:t xml:space="preserve"> </w:t>
      </w:r>
      <m:oMath>
        <m:r>
          <m:t>N</m:t>
        </m:r>
        <m:r>
          <m:rPr>
            <m:sty m:val="p"/>
          </m:rPr>
          <m:t>=</m:t>
        </m:r>
        <m:r>
          <m:t>3</m:t>
        </m:r>
        <m:r>
          <m:rPr>
            <m:sty m:val="p"/>
          </m:rPr>
          <m:t>,</m:t>
        </m:r>
        <m:r>
          <m:t>458</m:t>
        </m:r>
      </m:oMath>
      <w:r>
        <w:t xml:space="preserve">).</w:t>
      </w:r>
      <w:r>
        <w:t xml:space="preserve"> </w:t>
      </w:r>
      <w:r>
        <w:rPr>
          <w:b/>
          <w:bCs/>
        </w:rPr>
        <w:t xml:space="preserve">Column 1:</w:t>
      </w:r>
      <w:r>
        <w:t xml:space="preserve"> </w:t>
      </w:r>
      <w:r>
        <w:t xml:space="preserve">Spot-level subclonal phenotypic architecture across intact tissue (Red: Resistant</w:t>
      </w:r>
      <w:r>
        <w:t xml:space="preserve"> </w:t>
      </w:r>
      <m:oMath>
        <m:sSub>
          <m:e>
            <m:r>
              <m:t>T</m:t>
            </m:r>
          </m:e>
          <m:sub>
            <m:r>
              <m:t>R</m:t>
            </m:r>
          </m:sub>
        </m:sSub>
      </m:oMath>
      <w:r>
        <w:t xml:space="preserve">, Green: Sensitive</w:t>
      </w:r>
      <w:r>
        <w:t xml:space="preserve"> </w:t>
      </w:r>
      <m:oMath>
        <m:sSub>
          <m:e>
            <m:r>
              <m:t>T</m:t>
            </m:r>
          </m:e>
          <m:sub>
            <m:r>
              <m:t>S</m:t>
            </m:r>
          </m:sub>
        </m:sSub>
      </m:oMath>
      <w:r>
        <w:t xml:space="preserve">, Blue: Stroma/CAF</w:t>
      </w:r>
      <w:r>
        <w:t xml:space="preserve"> </w:t>
      </w:r>
      <m:oMath>
        <m:sSub>
          <m:e>
            <m:r>
              <m:t>S</m:t>
            </m:r>
          </m:e>
          <m:sub>
            <m:r>
              <m:t>C</m:t>
            </m:r>
            <m:r>
              <m:t>A</m:t>
            </m:r>
            <m:r>
              <m:t>F</m:t>
            </m:r>
          </m:sub>
        </m:sSub>
      </m:oMath>
      <w:r>
        <w:t xml:space="preserve">).</w:t>
      </w:r>
      <w:r>
        <w:t xml:space="preserve"> </w:t>
      </w:r>
      <w:r>
        <w:rPr>
          <w:b/>
          <w:bCs/>
        </w:rPr>
        <w:t xml:space="preserve">Column 2:</w:t>
      </w:r>
      <w:r>
        <w:t xml:space="preserve"> </w:t>
      </w:r>
      <w:r>
        <w:t xml:space="preserve">Decoupled proliferation fitness (</w:t>
      </w:r>
      <m:oMath>
        <m:sSub>
          <m:e>
            <m:r>
              <m:t>w</m:t>
            </m:r>
          </m:e>
          <m:sub>
            <m:r>
              <m:t>p</m:t>
            </m:r>
            <m:r>
              <m:t>u</m:t>
            </m:r>
            <m:r>
              <m:t>r</m:t>
            </m:r>
            <m:r>
              <m:t>i</m:t>
            </m:r>
            <m:r>
              <m:t>f</m:t>
            </m:r>
            <m:r>
              <m:t>i</m:t>
            </m:r>
            <m:r>
              <m:t>e</m:t>
            </m:r>
            <m:r>
              <m:t>d</m:t>
            </m:r>
          </m:sub>
        </m:sSub>
      </m:oMath>
      <w:r>
        <w:t xml:space="preserve">) spatial landscape after removing extrinsic hypoxia (</w:t>
      </w:r>
      <m:oMath>
        <m:sSub>
          <m:e>
            <m:r>
              <m:t>Z</m:t>
            </m:r>
          </m:e>
          <m:sub>
            <m:r>
              <m:t>h</m:t>
            </m:r>
            <m:r>
              <m:t>y</m:t>
            </m:r>
            <m:r>
              <m:t>p</m:t>
            </m:r>
          </m:sub>
        </m:sSub>
      </m:oMath>
      <w:r>
        <w:t xml:space="preserve">) and vascular density (</w:t>
      </w:r>
      <m:oMath>
        <m:sSub>
          <m:e>
            <m:r>
              <m:t>Z</m:t>
            </m:r>
          </m:e>
          <m:sub>
            <m:r>
              <m:t>v</m:t>
            </m:r>
            <m:r>
              <m:t>a</m:t>
            </m:r>
            <m:r>
              <m:t>s</m:t>
            </m:r>
            <m:r>
              <m:t>c</m:t>
            </m:r>
          </m:sub>
        </m:sSub>
      </m:oMath>
      <w:r>
        <w:t xml:space="preserve">) confounders.</w:t>
      </w:r>
      <w:r>
        <w:t xml:space="preserve"> </w:t>
      </w:r>
      <w:r>
        <w:rPr>
          <w:b/>
          <w:bCs/>
        </w:rPr>
        <w:t xml:space="preserve">Column 3:</w:t>
      </w:r>
      <w:r>
        <w:t xml:space="preserve"> </w:t>
      </w:r>
      <w:r>
        <w:t xml:space="preserve">Inferred empirical</w:t>
      </w:r>
      <w:r>
        <w:t xml:space="preserve"> </w:t>
      </w:r>
      <m:oMath>
        <m:r>
          <m:t>3</m:t>
        </m:r>
        <m:r>
          <m:rPr>
            <m:sty m:val="p"/>
          </m:rPr>
          <m:t>×</m:t>
        </m:r>
        <m:r>
          <m:t>3</m:t>
        </m:r>
      </m:oMath>
      <w:r>
        <w:t xml:space="preserve"> </w:t>
      </w:r>
      <w:r>
        <w:t xml:space="preserve">absorbed payoff matrix (</w:t>
      </w:r>
      <m:oMath>
        <m:sSub>
          <m:e>
            <m:acc>
              <m:accPr>
                <m:chr m:val="̃"/>
              </m:accPr>
              <m:e>
                <m:r>
                  <m:t>A</m:t>
                </m:r>
              </m:e>
            </m:acc>
          </m:e>
          <m:sub>
            <m:r>
              <m:t>i</m:t>
            </m:r>
            <m:r>
              <m:t>j</m:t>
            </m:r>
          </m:sub>
        </m:sSub>
      </m:oMath>
      <w:r>
        <w:t xml:space="preserve">) heatmap capturing direct and stroma-mediated subclonal interactions.</w:t>
      </w:r>
      <w:r>
        <w:t xml:space="preserve"> </w:t>
      </w:r>
      <w:r>
        <w:rPr>
          <w:b/>
          <w:bCs/>
        </w:rPr>
        <w:t xml:space="preserve">Column 4:</w:t>
      </w:r>
      <w:r>
        <w:t xml:space="preserve"> </w:t>
      </w:r>
      <w:r>
        <w:t xml:space="preserve">Replicator dynamics forward simulations comparing continuous Maximum Tolerated Dose (MTD) chemotherapy against evolutionary adaptive therapy schedules (note: for Lung SCC, the adaptive trajectory is presented as an illustrative scenario given that the specimen exhibits indeterminate / regional composition dynamics,</w:t>
      </w:r>
      <w:r>
        <w:t xml:space="preserve"> </w:t>
      </w:r>
      <m:oMath>
        <m:r>
          <m:t>p</m:t>
        </m:r>
        <m:r>
          <m:rPr>
            <m:sty m:val="p"/>
          </m:rPr>
          <m:t>=</m:t>
        </m:r>
        <m:r>
          <m:t>0.266</m:t>
        </m:r>
      </m:oMath>
      <w:r>
        <w:t xml:space="preserve">).</w:t>
      </w:r>
    </w:p>
    <w:bookmarkEnd w:id="40"/>
    <w:bookmarkEnd w:id="41"/>
    <w:bookmarkStart w:id="43" w:name="Xe61030a3faeb16a42b9ea4ac7359985e64f2614"/>
    <w:p>
      <w:pPr>
        <w:pStyle w:val="Heading3"/>
      </w:pPr>
      <w:r>
        <w:t xml:space="preserve">3.3 Model Ablation Battery and Spatial Controls</w:t>
      </w:r>
    </w:p>
    <w:p>
      <w:pPr>
        <w:pStyle w:val="FirstParagraph"/>
      </w:pPr>
      <w:r>
        <w:t xml:space="preserve">To establish whether the spatial game assay captures genuine game interaction beyond microenvironmental gradients, local spot co-localization, regional composition, and generic non-linearities, we conducted an incremental model ablation across all cohorts (Table 2 and Figure 3A).</w:t>
      </w:r>
    </w:p>
    <w:bookmarkStart w:id="42" w:name="X6aca90248b15ab864ac746103ee5baa17ccf158"/>
    <w:p>
      <w:pPr>
        <w:pStyle w:val="Heading4"/>
      </w:pPr>
      <w:r>
        <w:t xml:space="preserve">Lineage-Specific Interaction Insights and Control Comparisons</w:t>
      </w:r>
    </w:p>
    <w:p>
      <w:pPr>
        <w:pStyle w:val="FirstParagraph"/>
      </w:pPr>
      <w:r>
        <w:t xml:space="preserve">The benchmark across Models 2c, 2d, and 3 provides critical biological and statistical discernment:</w:t>
      </w:r>
      <w:r>
        <w:t xml:space="preserve"> </w:t>
      </w:r>
      <w:r>
        <w:t xml:space="preserve">- In</w:t>
      </w:r>
      <w:r>
        <w:t xml:space="preserve"> </w:t>
      </w:r>
      <w:r>
        <w:rPr>
          <w:b/>
          <w:bCs/>
        </w:rPr>
        <w:t xml:space="preserve">Breast IDC</w:t>
      </w:r>
      <w:r>
        <w:t xml:space="preserve">, the spatial game model (</w:t>
      </w:r>
      <m:oMath>
        <m:sSub>
          <m:e>
            <m:r>
              <m:t>M</m:t>
            </m:r>
          </m:e>
          <m:sub>
            <m:r>
              <m:t>3</m:t>
            </m:r>
          </m:sub>
        </m:sSub>
      </m:oMath>
      <w:r>
        <w:t xml:space="preserve">) significantly improves over linear regional composition (</w:t>
      </w:r>
      <m:oMath>
        <m:sSub>
          <m:e>
            <m:r>
              <m:t>M</m:t>
            </m:r>
          </m:e>
          <m:sub>
            <m:r>
              <m:t>2</m:t>
            </m:r>
            <m:r>
              <m:t>c</m:t>
            </m:r>
          </m:sub>
        </m:sSub>
      </m:oMath>
      <w:r>
        <w:t xml:space="preserve">), explaining an additional</w:t>
      </w:r>
      <w:r>
        <w:t xml:space="preserve"> </w:t>
      </w:r>
      <m:oMath>
        <m:r>
          <m:rPr>
            <m:sty m:val="p"/>
          </m:rPr>
          <m:t>+</m:t>
        </m:r>
        <m:r>
          <m:t>5.71</m:t>
        </m:r>
        <m:r>
          <m:rPr>
            <m:sty m:val="p"/>
          </m:rPr>
          <m:t>%</m:t>
        </m:r>
      </m:oMath>
      <w:r>
        <w:t xml:space="preserve"> </w:t>
      </w:r>
      <w:r>
        <w:t xml:space="preserve">in-sample variance (</w:t>
      </w:r>
      <m:oMath>
        <m:r>
          <m:t>F</m:t>
        </m:r>
        <m:r>
          <m:rPr>
            <m:sty m:val="p"/>
          </m:rPr>
          <m:t>=</m:t>
        </m:r>
        <m:r>
          <m:t>104.99</m:t>
        </m:r>
        <m:r>
          <m:rPr>
            <m:sty m:val="p"/>
          </m:rPr>
          <m:t>,</m:t>
        </m:r>
        <m:r>
          <m:t>p</m:t>
        </m:r>
        <m:r>
          <m:rPr>
            <m:sty m:val="p"/>
          </m:rPr>
          <m:t>&lt;</m:t>
        </m:r>
        <m:r>
          <m:t>1.11</m:t>
        </m:r>
        <m:r>
          <m:rPr>
            <m:sty m:val="p"/>
          </m:rPr>
          <m:t>×</m:t>
        </m:r>
        <m:sSup>
          <m:e>
            <m:r>
              <m:t>10</m:t>
            </m:r>
          </m:e>
          <m:sup>
            <m:r>
              <m:rPr>
                <m:sty m:val="p"/>
              </m:rPr>
              <m:t>−</m:t>
            </m:r>
            <m:r>
              <m:t>16</m:t>
            </m:r>
          </m:sup>
        </m:sSup>
      </m:oMath>
      <w:r>
        <w:t xml:space="preserve">) and achieving a notable</w:t>
      </w:r>
      <w:r>
        <w:t xml:space="preserve"> </w:t>
      </w:r>
      <m:oMath>
        <m:r>
          <m:rPr>
            <m:sty m:val="p"/>
          </m:rPr>
          <m:t>+</m:t>
        </m:r>
        <m:r>
          <m:t>7.26</m:t>
        </m:r>
        <m:r>
          <m:rPr>
            <m:sty m:val="p"/>
          </m:rPr>
          <m:t>%</m:t>
        </m:r>
      </m:oMath>
      <w:r>
        <w:rPr>
          <w:b/>
          <w:bCs/>
        </w:rPr>
        <w:t xml:space="preserve"> </w:t>
      </w:r>
      <w:r>
        <w:rPr>
          <w:b/>
          <w:bCs/>
        </w:rPr>
        <w:t xml:space="preserve">gain in spatial block cross-validation</w:t>
      </w:r>
      <w:r>
        <w:t xml:space="preserve"> </w:t>
      </w:r>
      <w:r>
        <w:t xml:space="preserve">(</w:t>
      </w:r>
      <m:oMath>
        <m:sSubSup>
          <m:e>
            <m:r>
              <m:t>R</m:t>
            </m:r>
          </m:e>
          <m:sub>
            <m:r>
              <m:rPr>
                <m:nor/>
                <m:sty m:val="p"/>
              </m:rPr>
              <m:t>OOF</m:t>
            </m:r>
          </m:sub>
          <m:sup>
            <m:r>
              <m:t>2</m:t>
            </m:r>
          </m:sup>
        </m:sSubSup>
        <m:r>
          <m:rPr>
            <m:sty m:val="p"/>
          </m:rPr>
          <m:t>=</m:t>
        </m:r>
        <m:r>
          <m:t>27.02</m:t>
        </m:r>
        <m:r>
          <m:rPr>
            <m:sty m:val="p"/>
          </m:rPr>
          <m:t>%</m:t>
        </m:r>
      </m:oMath>
      <w:r>
        <w:t xml:space="preserve"> </w:t>
      </w:r>
      <w:r>
        <w:t xml:space="preserve">vs</w:t>
      </w:r>
      <w:r>
        <w:t xml:space="preserve"> </w:t>
      </w:r>
      <m:oMath>
        <m:r>
          <m:t>19.76</m:t>
        </m:r>
        <m:r>
          <m:rPr>
            <m:sty m:val="p"/>
          </m:rPr>
          <m:t>%</m:t>
        </m:r>
      </m:oMath>
      <w:r>
        <w:t xml:space="preserve">). Notably, the unconstrained quadratic polynomial</w:t>
      </w:r>
      <w:r>
        <w:t xml:space="preserve"> </w:t>
      </w:r>
      <m:oMath>
        <m:sSub>
          <m:e>
            <m:r>
              <m:t>M</m:t>
            </m:r>
          </m:e>
          <m:sub>
            <m:r>
              <m:t>2</m:t>
            </m:r>
            <m:r>
              <m:t>d</m:t>
            </m:r>
          </m:sub>
        </m:sSub>
      </m:oMath>
      <w:r>
        <w:t xml:space="preserve"> </w:t>
      </w:r>
      <w:r>
        <w:t xml:space="preserve">achieves slightly higher out-of-fold generalization (</w:t>
      </w:r>
      <m:oMath>
        <m:sSubSup>
          <m:e>
            <m:r>
              <m:t>R</m:t>
            </m:r>
          </m:e>
          <m:sub>
            <m:r>
              <m:rPr>
                <m:nor/>
                <m:sty m:val="p"/>
              </m:rPr>
              <m:t>OOF</m:t>
            </m:r>
          </m:sub>
          <m:sup>
            <m:r>
              <m:t>2</m:t>
            </m:r>
          </m:sup>
        </m:sSubSup>
        <m:r>
          <m:rPr>
            <m:sty m:val="p"/>
          </m:rPr>
          <m:t>=</m:t>
        </m:r>
        <m:r>
          <m:t>28.46</m:t>
        </m:r>
        <m:r>
          <m:rPr>
            <m:sty m:val="p"/>
          </m:rPr>
          <m:t>%</m:t>
        </m:r>
      </m:oMath>
      <w:r>
        <w:t xml:space="preserve">) than</w:t>
      </w:r>
      <w:r>
        <w:t xml:space="preserve"> </w:t>
      </w:r>
      <m:oMath>
        <m:sSub>
          <m:e>
            <m:r>
              <m:t>M</m:t>
            </m:r>
          </m:e>
          <m:sub>
            <m:r>
              <m:t>3</m:t>
            </m:r>
          </m:sub>
        </m:sSub>
      </m:oMath>
      <w:r>
        <w:t xml:space="preserve"> </w:t>
      </w:r>
      <w:r>
        <w:t xml:space="preserve">(</w:t>
      </w:r>
      <m:oMath>
        <m:r>
          <m:t>27.02</m:t>
        </m:r>
        <m:r>
          <m:rPr>
            <m:sty m:val="p"/>
          </m:rPr>
          <m:t>%</m:t>
        </m:r>
      </m:oMath>
      <w:r>
        <w:t xml:space="preserve">), reflecting that generic non-linear functions can absorb spatial heterogeneity with higher parameterization (11 vs 9 parameters). The primary value of</w:t>
      </w:r>
      <w:r>
        <w:t xml:space="preserve"> </w:t>
      </w:r>
      <m:oMath>
        <m:sSub>
          <m:e>
            <m:r>
              <m:t>M</m:t>
            </m:r>
          </m:e>
          <m:sub>
            <m:r>
              <m:t>3</m:t>
            </m:r>
          </m:sub>
        </m:sSub>
      </m:oMath>
      <w:r>
        <w:t xml:space="preserve"> </w:t>
      </w:r>
      <w:r>
        <w:t xml:space="preserve">lies in its parsimony, mechanistic grounding in evolutionary game theory, and direct translational mapping to replicator dynamics without uninterpretable polynomial artifacts.</w:t>
      </w:r>
      <w:r>
        <w:t xml:space="preserve"> </w:t>
      </w:r>
      <w:r>
        <w:t xml:space="preserve">- In</w:t>
      </w:r>
      <w:r>
        <w:t xml:space="preserve"> </w:t>
      </w:r>
      <w:r>
        <w:rPr>
          <w:b/>
          <w:bCs/>
        </w:rPr>
        <w:t xml:space="preserve">Melanoma SKCM</w:t>
      </w:r>
      <w:r>
        <w:t xml:space="preserve">, the spatial game model provides a modest increment over regional composition (</w:t>
      </w:r>
      <m:oMath>
        <m:r>
          <m:t>F</m:t>
        </m:r>
        <m:r>
          <m:rPr>
            <m:sty m:val="p"/>
          </m:rPr>
          <m:t>=</m:t>
        </m:r>
        <m:r>
          <m:t>17.16</m:t>
        </m:r>
        <m:r>
          <m:rPr>
            <m:sty m:val="p"/>
          </m:rPr>
          <m:t>,</m:t>
        </m:r>
        <m:r>
          <m:t>p</m:t>
        </m:r>
        <m:r>
          <m:rPr>
            <m:sty m:val="p"/>
          </m:rPr>
          <m:t>=</m:t>
        </m:r>
        <m:r>
          <m:t>6.04</m:t>
        </m:r>
        <m:r>
          <m:rPr>
            <m:sty m:val="p"/>
          </m:rPr>
          <m:t>×</m:t>
        </m:r>
        <m:sSup>
          <m:e>
            <m:r>
              <m:t>10</m:t>
            </m:r>
          </m:e>
          <m:sup>
            <m:r>
              <m:rPr>
                <m:sty m:val="p"/>
              </m:rPr>
              <m:t>−</m:t>
            </m:r>
            <m:r>
              <m:t>14</m:t>
            </m:r>
          </m:sup>
        </m:sSup>
      </m:oMath>
      <w:r>
        <w:t xml:space="preserve">;</w:t>
      </w:r>
      <w:r>
        <w:t xml:space="preserve"> </w:t>
      </w:r>
      <m:oMath>
        <m:sSubSup>
          <m:e>
            <m:r>
              <m:t>R</m:t>
            </m:r>
          </m:e>
          <m:sub>
            <m:r>
              <m:rPr>
                <m:nor/>
                <m:sty m:val="p"/>
              </m:rPr>
              <m:t>OOF</m:t>
            </m:r>
          </m:sub>
          <m:sup>
            <m:r>
              <m:t>2</m:t>
            </m:r>
          </m:sup>
        </m:sSubSup>
        <m:r>
          <m:rPr>
            <m:sty m:val="p"/>
          </m:rPr>
          <m:t>=</m:t>
        </m:r>
        <m:r>
          <m:t>33.42</m:t>
        </m:r>
        <m:r>
          <m:rPr>
            <m:sty m:val="p"/>
          </m:rPr>
          <m:t>%</m:t>
        </m:r>
      </m:oMath>
      <w:r>
        <w:t xml:space="preserve"> </w:t>
      </w:r>
      <w:r>
        <w:t xml:space="preserve">vs</w:t>
      </w:r>
      <w:r>
        <w:t xml:space="preserve"> </w:t>
      </w:r>
      <m:oMath>
        <m:r>
          <m:t>32.88</m:t>
        </m:r>
        <m:r>
          <m:rPr>
            <m:sty m:val="p"/>
          </m:rPr>
          <m:t>%</m:t>
        </m:r>
      </m:oMath>
      <w:r>
        <w:t xml:space="preserve">) and generic quadratics (</w:t>
      </w:r>
      <m:oMath>
        <m:sSub>
          <m:e>
            <m:r>
              <m:t>M</m:t>
            </m:r>
          </m:e>
          <m:sub>
            <m:r>
              <m:t>2</m:t>
            </m:r>
            <m:r>
              <m:t>d</m:t>
            </m:r>
          </m:sub>
        </m:sSub>
        <m:r>
          <m:rPr>
            <m:sty m:val="p"/>
          </m:rPr>
          <m:t>=</m:t>
        </m:r>
        <m:r>
          <m:t>32.99</m:t>
        </m:r>
        <m:r>
          <m:rPr>
            <m:sty m:val="p"/>
          </m:rPr>
          <m:t>%</m:t>
        </m:r>
      </m:oMath>
      <w:r>
        <w:t xml:space="preserve">).</w:t>
      </w:r>
      <w:r>
        <w:t xml:space="preserve"> </w:t>
      </w:r>
      <w:r>
        <w:t xml:space="preserve">- In</w:t>
      </w:r>
      <w:r>
        <w:t xml:space="preserve"> </w:t>
      </w:r>
      <w:r>
        <w:rPr>
          <w:b/>
          <w:bCs/>
        </w:rPr>
        <w:t xml:space="preserve">Lung SCC</w:t>
      </w:r>
      <w:r>
        <w:t xml:space="preserve">, linear regional composition (</w:t>
      </w:r>
      <m:oMath>
        <m:sSub>
          <m:e>
            <m:r>
              <m:t>M</m:t>
            </m:r>
          </m:e>
          <m:sub>
            <m:r>
              <m:t>2</m:t>
            </m:r>
            <m:r>
              <m:t>c</m:t>
            </m:r>
          </m:sub>
        </m:sSub>
      </m:oMath>
      <w:r>
        <w:t xml:space="preserve">) explains</w:t>
      </w:r>
      <w:r>
        <w:t xml:space="preserve"> </w:t>
      </w:r>
      <m:oMath>
        <m:r>
          <m:t>30.77</m:t>
        </m:r>
        <m:r>
          <m:rPr>
            <m:sty m:val="p"/>
          </m:rPr>
          <m:t>%</m:t>
        </m:r>
      </m:oMath>
      <w:r>
        <w:t xml:space="preserve"> </w:t>
      </w:r>
      <w:r>
        <w:t xml:space="preserve">in-sample and</w:t>
      </w:r>
      <w:r>
        <w:t xml:space="preserve"> </w:t>
      </w:r>
      <m:oMath>
        <m:r>
          <m:t>27.06</m:t>
        </m:r>
        <m:r>
          <m:rPr>
            <m:sty m:val="p"/>
          </m:rPr>
          <m:t>%</m:t>
        </m:r>
      </m:oMath>
      <w:r>
        <w:t xml:space="preserve"> </w:t>
      </w:r>
      <w:r>
        <w:t xml:space="preserve">out-of-fold variance. Adding bilinear game terms (</w:t>
      </w:r>
      <m:oMath>
        <m:sSub>
          <m:e>
            <m:r>
              <m:t>M</m:t>
            </m:r>
          </m:e>
          <m:sub>
            <m:r>
              <m:t>3</m:t>
            </m:r>
          </m:sub>
        </m:sSub>
        <m:r>
          <m:rPr>
            <m:sty m:val="p"/>
          </m:rPr>
          <m:t>=</m:t>
        </m:r>
        <m:r>
          <m:t>30.86</m:t>
        </m:r>
        <m:r>
          <m:rPr>
            <m:sty m:val="p"/>
          </m:rPr>
          <m:t>%</m:t>
        </m:r>
      </m:oMath>
      <w:r>
        <w:t xml:space="preserve">,</w:t>
      </w:r>
      <w:r>
        <w:t xml:space="preserve"> </w:t>
      </w:r>
      <m:oMath>
        <m:sSubSup>
          <m:e>
            <m:r>
              <m:t>R</m:t>
            </m:r>
          </m:e>
          <m:sub>
            <m:r>
              <m:rPr>
                <m:nor/>
                <m:sty m:val="p"/>
              </m:rPr>
              <m:t>OOF</m:t>
            </m:r>
          </m:sub>
          <m:sup>
            <m:r>
              <m:t>2</m:t>
            </m:r>
          </m:sup>
        </m:sSubSup>
        <m:r>
          <m:rPr>
            <m:sty m:val="p"/>
          </m:rPr>
          <m:t>=</m:t>
        </m:r>
        <m:r>
          <m:t>26.07</m:t>
        </m:r>
        <m:r>
          <m:rPr>
            <m:sty m:val="p"/>
          </m:rPr>
          <m:t>%</m:t>
        </m:r>
      </m:oMath>
      <w:r>
        <w:t xml:space="preserve">) does not achieve statistical significance (</w:t>
      </w:r>
      <m:oMath>
        <m:r>
          <m:t>F</m:t>
        </m:r>
        <m:r>
          <m:rPr>
            <m:sty m:val="p"/>
          </m:rPr>
          <m:t>=</m:t>
        </m:r>
        <m:r>
          <m:t>1.30</m:t>
        </m:r>
        <m:r>
          <m:rPr>
            <m:sty m:val="p"/>
          </m:rPr>
          <m:t>,</m:t>
        </m:r>
        <m:r>
          <m:t>p</m:t>
        </m:r>
        <m:r>
          <m:rPr>
            <m:sty m:val="p"/>
          </m:rPr>
          <m:t>=</m:t>
        </m:r>
        <m:r>
          <m:t>0.266</m:t>
        </m:r>
      </m:oMath>
      <w:r>
        <w:t xml:space="preserve">). In this specimen, spatial proliferation is predominantly governed by regional phenotypic composition rather than frequency-dependent cross-talk.</w:t>
      </w:r>
      <w:r>
        <w:t xml:space="preserve"> </w:t>
      </w:r>
      <w:r>
        <w:t xml:space="preserve">-</w:t>
      </w:r>
      <w:r>
        <w:t xml:space="preserve"> </w:t>
      </w:r>
      <w:r>
        <w:rPr>
          <w:b/>
          <w:bCs/>
        </w:rPr>
        <w:t xml:space="preserve">Topological Permutation Test:</w:t>
      </w:r>
      <w:r>
        <w:t xml:space="preserve"> </w:t>
      </w:r>
      <w:r>
        <w:t xml:space="preserve">Shuffling spot spatial coordinates across 1,000 Monte Carlo permutations collapsed explained variance to baseline levels across all cohorts (</w:t>
      </w:r>
      <m:oMath>
        <m:r>
          <m:t>p</m:t>
        </m:r>
        <m:r>
          <m:rPr>
            <m:sty m:val="p"/>
          </m:rPr>
          <m:t>&lt;</m:t>
        </m:r>
        <m:r>
          <m:t>0.001</m:t>
        </m:r>
      </m:oMath>
      <w:r>
        <w:t xml:space="preserve">).</w:t>
      </w:r>
      <w:r>
        <w:t xml:space="preserve"> </w:t>
      </w:r>
      <w:r>
        <w:t xml:space="preserve">-</w:t>
      </w:r>
      <w:r>
        <w:t xml:space="preserve"> </w:t>
      </w:r>
      <w:r>
        <w:rPr>
          <w:b/>
          <w:bCs/>
        </w:rPr>
        <w:t xml:space="preserve">Spatial Autocorrelation and Residual Dependence:</w:t>
      </w:r>
      <w:r>
        <w:t xml:space="preserve"> </w:t>
      </w:r>
      <w:r>
        <w:t xml:space="preserve">Across models, Moran’s I of proliferation residuals declined from</w:t>
      </w:r>
      <w:r>
        <w:t xml:space="preserve"> </w:t>
      </w:r>
      <m:oMath>
        <m:r>
          <m:t>0.459</m:t>
        </m:r>
        <m:r>
          <m:rPr>
            <m:nor/>
            <m:sty m:val="p"/>
          </m:rPr>
          <m:t>–</m:t>
        </m:r>
        <m:r>
          <m:t>0.524</m:t>
        </m:r>
      </m:oMath>
      <w:r>
        <w:t xml:space="preserve"> </w:t>
      </w:r>
      <w:r>
        <w:t xml:space="preserve">(</w:t>
      </w:r>
      <m:oMath>
        <m:sSub>
          <m:e>
            <m:r>
              <m:t>M</m:t>
            </m:r>
          </m:e>
          <m:sub>
            <m:r>
              <m:t>1</m:t>
            </m:r>
          </m:sub>
        </m:sSub>
      </m:oMath>
      <w:r>
        <w:t xml:space="preserve">) to</w:t>
      </w:r>
      <w:r>
        <w:t xml:space="preserve"> </w:t>
      </w:r>
      <m:oMath>
        <m:r>
          <m:t>0.252</m:t>
        </m:r>
        <m:r>
          <m:rPr>
            <m:nor/>
            <m:sty m:val="p"/>
          </m:rPr>
          <m:t>–</m:t>
        </m:r>
        <m:r>
          <m:t>0.291</m:t>
        </m:r>
      </m:oMath>
      <w:r>
        <w:t xml:space="preserve"> </w:t>
      </w:r>
      <w:r>
        <w:t xml:space="preserve">(</w:t>
      </w:r>
      <m:oMath>
        <m:sSub>
          <m:e>
            <m:r>
              <m:t>M</m:t>
            </m:r>
          </m:e>
          <m:sub>
            <m:r>
              <m:t>2</m:t>
            </m:r>
          </m:sub>
        </m:sSub>
      </m:oMath>
      <w:r>
        <w:t xml:space="preserve">) due to environmental residualization and phenotypic deconvolution, with minimal further drop in</w:t>
      </w:r>
      <w:r>
        <w:t xml:space="preserve"> </w:t>
      </w:r>
      <m:oMath>
        <m:sSub>
          <m:e>
            <m:r>
              <m:t>M</m:t>
            </m:r>
          </m:e>
          <m:sub>
            <m:r>
              <m:t>3</m:t>
            </m:r>
          </m:sub>
        </m:sSub>
      </m:oMath>
      <w:r>
        <w:t xml:space="preserve"> </w:t>
      </w:r>
      <w:r>
        <w:t xml:space="preserve">(</w:t>
      </w:r>
      <m:oMath>
        <m:r>
          <m:t>0.220</m:t>
        </m:r>
        <m:r>
          <m:rPr>
            <m:nor/>
            <m:sty m:val="p"/>
          </m:rPr>
          <m:t>–</m:t>
        </m:r>
        <m:r>
          <m:t>0.256</m:t>
        </m:r>
      </m:oMath>
      <w:r>
        <w:t xml:space="preserve">). Because residual spatial autocorrelation persists (</w:t>
      </w:r>
      <m:oMath>
        <m:r>
          <m:t>I</m:t>
        </m:r>
        <m:r>
          <m:rPr>
            <m:sty m:val="p"/>
          </m:rPr>
          <m:t>≈</m:t>
        </m:r>
        <m:r>
          <m:t>0.22</m:t>
        </m:r>
        <m:r>
          <m:rPr>
            <m:nor/>
            <m:sty m:val="p"/>
          </m:rPr>
          <m:t>–</m:t>
        </m:r>
        <m:r>
          <m:t>0.26</m:t>
        </m:r>
      </m:oMath>
      <w:r>
        <w:t xml:space="preserve">), standard OLS</w:t>
      </w:r>
      <w:r>
        <w:t xml:space="preserve"> </w:t>
      </w:r>
      <m:oMath>
        <m:r>
          <m:t>F</m:t>
        </m:r>
      </m:oMath>
      <w:r>
        <w:t xml:space="preserve">-tests are subject to variance inflation due to sample non-independence; consequently, our primary evidentiary foundation rests on 5-fold Spatial Block Cross-Validation and Spatial Block Bootstrap intervals rather than uncorrected parametric</w:t>
      </w:r>
      <w:r>
        <w:t xml:space="preserve"> </w:t>
      </w:r>
      <m:oMath>
        <m:r>
          <m:t>p</m:t>
        </m:r>
      </m:oMath>
      <w:r>
        <w:t xml:space="preserve">-values.</w:t>
      </w:r>
    </w:p>
    <w:bookmarkEnd w:id="42"/>
    <w:bookmarkEnd w:id="43"/>
    <w:bookmarkStart w:id="46" w:name="Xfa9e426e93df8566cb7c9ae9f1ea7c2255c003e"/>
    <w:p>
      <w:pPr>
        <w:pStyle w:val="Heading3"/>
      </w:pPr>
      <w:r>
        <w:t xml:space="preserve">3.4 Serial Section Replicate Concordance and Blind Out-Of-Sample Validation</w:t>
      </w:r>
    </w:p>
    <w:p>
      <w:pPr>
        <w:pStyle w:val="FirstParagraph"/>
      </w:pPr>
      <w:r>
        <w:t xml:space="preserve">To evaluate technical reproducibility across tissue cuts, we analyzed two consecutive serial sections cut at</w:t>
      </w:r>
      <w:r>
        <w:t xml:space="preserve"> </w:t>
      </w:r>
      <m:oMath>
        <m:r>
          <m:rPr>
            <m:sty m:val="p"/>
          </m:rPr>
          <m:t>≈</m:t>
        </m:r>
        <m:r>
          <m:t>10</m:t>
        </m:r>
        <m:r>
          <m:t> </m:t>
        </m:r>
        <m:r>
          <m:t>μ</m:t>
        </m:r>
        <m:r>
          <m:rPr>
            <m:nor/>
            <m:sty m:val="p"/>
          </m:rPr>
          <m:t>m</m:t>
        </m:r>
      </m:oMath>
      <w:r>
        <w:t xml:space="preserve"> </w:t>
      </w:r>
      <w:r>
        <w:t xml:space="preserve">thickness from human breast cancer Block A (Section 1:</w:t>
      </w:r>
      <w:r>
        <w:t xml:space="preserve"> </w:t>
      </w:r>
      <m:oMath>
        <m:r>
          <m:t>N</m:t>
        </m:r>
        <m:r>
          <m:rPr>
            <m:sty m:val="p"/>
          </m:rPr>
          <m:t>=</m:t>
        </m:r>
        <m:r>
          <m:t>3</m:t>
        </m:r>
        <m:r>
          <m:rPr>
            <m:sty m:val="p"/>
          </m:rPr>
          <m:t>,</m:t>
        </m:r>
        <m:r>
          <m:t>798</m:t>
        </m:r>
      </m:oMath>
      <w:r>
        <w:t xml:space="preserve"> </w:t>
      </w:r>
      <w:r>
        <w:t xml:space="preserve">spots; Section 2:</w:t>
      </w:r>
      <w:r>
        <w:t xml:space="preserve"> </w:t>
      </w:r>
      <m:oMath>
        <m:r>
          <m:t>N</m:t>
        </m:r>
        <m:r>
          <m:rPr>
            <m:sty m:val="p"/>
          </m:rPr>
          <m:t>=</m:t>
        </m:r>
        <m:r>
          <m:t>3</m:t>
        </m:r>
        <m:r>
          <m:rPr>
            <m:sty m:val="p"/>
          </m:rPr>
          <m:t>,</m:t>
        </m:r>
        <m:r>
          <m:t>987</m:t>
        </m:r>
      </m:oMath>
      <w:r>
        <w:t xml:space="preserve"> </w:t>
      </w:r>
      <w:r>
        <w:t xml:space="preserve">spots).</w:t>
      </w:r>
    </w:p>
    <w:p>
      <w:pPr>
        <w:pStyle w:val="BodyText"/>
      </w:pPr>
      <w:r>
        <w:t xml:space="preserve">Independently fitting Section 1 and Section 2 demonstrated parameter concordance across the</w:t>
      </w:r>
      <w:r>
        <w:t xml:space="preserve"> </w:t>
      </w:r>
      <m:oMath>
        <m:r>
          <m:t>3</m:t>
        </m:r>
        <m:r>
          <m:rPr>
            <m:sty m:val="p"/>
          </m:rPr>
          <m:t>×</m:t>
        </m:r>
        <m:r>
          <m:t>3</m:t>
        </m:r>
      </m:oMath>
      <w:r>
        <w:t xml:space="preserve"> </w:t>
      </w:r>
      <w:r>
        <w:t xml:space="preserve">payoff matrix (Figure 3C):</w:t>
      </w:r>
      <w:r>
        <w:t xml:space="preserve"> </w:t>
      </w:r>
      <w:r>
        <w:t xml:space="preserve">-</w:t>
      </w:r>
      <w:r>
        <w:t xml:space="preserve"> </w:t>
      </w:r>
      <w:r>
        <w:rPr>
          <w:b/>
          <w:bCs/>
        </w:rPr>
        <w:t xml:space="preserve">Matrix Correlation:</w:t>
      </w:r>
      <w:r>
        <w:t xml:space="preserve"> </w:t>
      </w:r>
      <w:r>
        <w:t xml:space="preserve">Pearson</w:t>
      </w:r>
      <w:r>
        <w:t xml:space="preserve"> </w:t>
      </w:r>
      <m:oMath>
        <m:r>
          <m:t>r</m:t>
        </m:r>
        <m:r>
          <m:rPr>
            <m:sty m:val="p"/>
          </m:rPr>
          <m:t>=</m:t>
        </m:r>
        <m:r>
          <m:rPr>
            <m:sty m:val="p"/>
          </m:rPr>
          <m:t>+</m:t>
        </m:r>
        <m:r>
          <m:t>0.811</m:t>
        </m:r>
      </m:oMath>
      <w:r>
        <w:t xml:space="preserve"> </w:t>
      </w:r>
      <w:r>
        <w:t xml:space="preserve">(</w:t>
      </w:r>
      <m:oMath>
        <m:r>
          <m:t>p</m:t>
        </m:r>
        <m:r>
          <m:rPr>
            <m:sty m:val="p"/>
          </m:rPr>
          <m:t>=</m:t>
        </m:r>
        <m:r>
          <m:t>0.0079</m:t>
        </m:r>
      </m:oMath>
      <w:r>
        <w:t xml:space="preserve">), Spearman</w:t>
      </w:r>
      <w:r>
        <w:t xml:space="preserve"> </w:t>
      </w:r>
      <m:oMath>
        <m:r>
          <m:t>ρ</m:t>
        </m:r>
        <m:r>
          <m:rPr>
            <m:sty m:val="p"/>
          </m:rPr>
          <m:t>=</m:t>
        </m:r>
        <m:r>
          <m:rPr>
            <m:sty m:val="p"/>
          </m:rPr>
          <m:t>+</m:t>
        </m:r>
        <m:r>
          <m:t>0.633</m:t>
        </m:r>
      </m:oMath>
      <w:r>
        <w:t xml:space="preserve"> </w:t>
      </w:r>
      <w:r>
        <w:t xml:space="preserve">(</w:t>
      </w:r>
      <m:oMath>
        <m:r>
          <m:t>p</m:t>
        </m:r>
        <m:r>
          <m:rPr>
            <m:sty m:val="p"/>
          </m:rPr>
          <m:t>=</m:t>
        </m:r>
        <m:r>
          <m:t>0.067</m:t>
        </m:r>
      </m:oMath>
      <w:r>
        <w:t xml:space="preserve">), Mean Absolute Error (MAE)</w:t>
      </w:r>
      <w:r>
        <w:t xml:space="preserve"> </w:t>
      </w:r>
      <m:oMath>
        <m:r>
          <m:rPr>
            <m:sty m:val="p"/>
          </m:rPr>
          <m:t>=</m:t>
        </m:r>
        <m:r>
          <m:t>2.35</m:t>
        </m:r>
      </m:oMath>
      <w:r>
        <w:t xml:space="preserve">, linear regression slope</w:t>
      </w:r>
      <w:r>
        <w:t xml:space="preserve"> </w:t>
      </w:r>
      <m:oMath>
        <m:r>
          <m:rPr>
            <m:sty m:val="p"/>
          </m:rPr>
          <m:t>=</m:t>
        </m:r>
        <m:r>
          <m:t>1.36</m:t>
        </m:r>
      </m:oMath>
      <w:r>
        <w:t xml:space="preserve">.</w:t>
      </w:r>
      <w:r>
        <w:t xml:space="preserve"> </w:t>
      </w:r>
      <w:r>
        <w:t xml:space="preserve">-</w:t>
      </w:r>
      <w:r>
        <w:t xml:space="preserve"> </w:t>
      </w:r>
      <w:r>
        <w:rPr>
          <w:b/>
          <w:bCs/>
        </w:rPr>
        <w:t xml:space="preserve">Intrinsic Fitness Correlation:</w:t>
      </w:r>
      <w:r>
        <w:t xml:space="preserve"> </w:t>
      </w:r>
      <w:r>
        <w:t xml:space="preserve">Pearson</w:t>
      </w:r>
      <w:r>
        <w:t xml:space="preserve"> </w:t>
      </w:r>
      <m:oMath>
        <m:r>
          <m:t>r</m:t>
        </m:r>
        <m:r>
          <m:rPr>
            <m:sty m:val="p"/>
          </m:rPr>
          <m:t>=</m:t>
        </m:r>
        <m:r>
          <m:rPr>
            <m:sty m:val="p"/>
          </m:rPr>
          <m:t>+</m:t>
        </m:r>
        <m:r>
          <m:t>0.790</m:t>
        </m:r>
      </m:oMath>
      <w:r>
        <w:t xml:space="preserve">.</w:t>
      </w:r>
      <w:r>
        <w:t xml:space="preserve"> </w:t>
      </w:r>
      <w:r>
        <w:t xml:space="preserve">-</w:t>
      </w:r>
      <w:r>
        <w:t xml:space="preserve"> </w:t>
      </w:r>
      <w:r>
        <w:rPr>
          <w:b/>
          <w:bCs/>
        </w:rPr>
        <w:t xml:space="preserve">Equilibrium Concordance:</w:t>
      </w:r>
      <w:r>
        <w:t xml:space="preserve"> </w:t>
      </w:r>
      <w:r>
        <w:t xml:space="preserve">Both serial sections independently classified the specimen into the</w:t>
      </w:r>
      <w:r>
        <w:t xml:space="preserve"> </w:t>
      </w:r>
      <w:r>
        <w:rPr>
          <w:b/>
          <w:bCs/>
        </w:rPr>
        <w:t xml:space="preserve">Stag Hunt (Bistable)</w:t>
      </w:r>
      <w:r>
        <w:t xml:space="preserve"> </w:t>
      </w:r>
      <w:r>
        <w:t xml:space="preserve">regime, with concordant separatrix tipping points (</w:t>
      </w:r>
      <m:oMath>
        <m:sSub>
          <m:e>
            <m:r>
              <m:t>x</m:t>
            </m:r>
          </m:e>
          <m:sub>
            <m:r>
              <m:t>s</m:t>
            </m:r>
            <m:r>
              <m:t>e</m:t>
            </m:r>
            <m:r>
              <m:t>p</m:t>
            </m:r>
          </m:sub>
        </m:sSub>
        <m:r>
          <m:rPr>
            <m:sty m:val="p"/>
          </m:rPr>
          <m:t>=</m:t>
        </m:r>
        <m:r>
          <m:t>0.787</m:t>
        </m:r>
      </m:oMath>
      <w:r>
        <w:t xml:space="preserve"> </w:t>
      </w:r>
      <w:r>
        <w:t xml:space="preserve">in Section 1 vs</w:t>
      </w:r>
      <w:r>
        <w:t xml:space="preserve"> </w:t>
      </w:r>
      <m:oMath>
        <m:r>
          <m:t>0.827</m:t>
        </m:r>
      </m:oMath>
      <w:r>
        <w:t xml:space="preserve"> </w:t>
      </w:r>
      <w:r>
        <w:t xml:space="preserve">in Section 2, representing an absolute difference of only</w:t>
      </w:r>
      <w:r>
        <w:t xml:space="preserve"> </w:t>
      </w:r>
      <m:oMath>
        <m:r>
          <m:t>4.0</m:t>
        </m:r>
      </m:oMath>
      <w:r>
        <w:t xml:space="preserve"> </w:t>
      </w:r>
      <w:r>
        <w:t xml:space="preserve">percentage points).</w:t>
      </w:r>
    </w:p>
    <w:bookmarkStart w:id="44" w:name="X7c789851c7c3d0bec59d0360dc31e7a7420daa3"/>
    <w:p>
      <w:pPr>
        <w:pStyle w:val="Heading4"/>
      </w:pPr>
      <w:r>
        <w:t xml:space="preserve">Specimen &amp; Platform Differences: Block A vs Primary Breast IDC</w:t>
      </w:r>
    </w:p>
    <w:p>
      <w:pPr>
        <w:pStyle w:val="FirstParagraph"/>
      </w:pPr>
      <w:r>
        <w:t xml:space="preserve">We note that while the primary Breast IDC cohort (Table 1, CytAssist FFPE, probe hybridization) exhibited Hawk-Dove coexistence (</w:t>
      </w:r>
      <m:oMath>
        <m:sSup>
          <m:e>
            <m:r>
              <m:t>x</m:t>
            </m:r>
          </m:e>
          <m:sup>
            <m:r>
              <m:rPr>
                <m:sty m:val="p"/>
              </m:rPr>
              <m:t>*</m:t>
            </m:r>
          </m:sup>
        </m:sSup>
        <m:r>
          <m:rPr>
            <m:sty m:val="p"/>
          </m:rPr>
          <m:t>=</m:t>
        </m:r>
        <m:r>
          <m:t>61.3</m:t>
        </m:r>
        <m:r>
          <m:rPr>
            <m:sty m:val="p"/>
          </m:rPr>
          <m:t>%</m:t>
        </m:r>
      </m:oMath>
      <w:r>
        <w:t xml:space="preserve">), the independent Block A specimen (Visium Fresh Frozen, poly-A capture) classified into the Stag Hunt regime (</w:t>
      </w:r>
      <m:oMath>
        <m:sSub>
          <m:e>
            <m:r>
              <m:t>x</m:t>
            </m:r>
          </m:e>
          <m:sub>
            <m:r>
              <m:t>s</m:t>
            </m:r>
            <m:r>
              <m:t>e</m:t>
            </m:r>
            <m:r>
              <m:t>p</m:t>
            </m:r>
          </m:sub>
        </m:sSub>
        <m:r>
          <m:rPr>
            <m:sty m:val="p"/>
          </m:rPr>
          <m:t>≈</m:t>
        </m:r>
        <m:r>
          <m:t>0.80</m:t>
        </m:r>
      </m:oMath>
      <w:r>
        <w:t xml:space="preserve">). Because these datasets differ in patient donor, histological subtype, tissue preservation (FFPE vs Fresh Frozen), and capture chemistry (probe-based vs oligo-dT), this divergence reflects both biological and technical factors, underscoring that evolutionary game parameters cannot be generalized as universal histotype constants.</w:t>
      </w:r>
    </w:p>
    <w:bookmarkEnd w:id="44"/>
    <w:bookmarkStart w:id="45" w:name="Xb549d8269c38c43e8df941ce11292befd7ddb7f"/>
    <w:p>
      <w:pPr>
        <w:pStyle w:val="Heading4"/>
      </w:pPr>
      <w:r>
        <w:t xml:space="preserve">Blind Out-Of-Sample (OOS) Generalization Test</w:t>
      </w:r>
    </w:p>
    <w:p>
      <w:pPr>
        <w:pStyle w:val="FirstParagraph"/>
      </w:pPr>
      <w:r>
        <w:t xml:space="preserve">To evaluate predictive generalizability on unseen tissue, the spatial game model was trained exclusively on Section 1 and tested blindly to predict spot-level proliferation on held-out Section 2 (Figure 3D):</w:t>
      </w:r>
      <w:r>
        <w:t xml:space="preserve"> </w:t>
      </w:r>
      <w:r>
        <w:t xml:space="preserve">-</w:t>
      </w:r>
      <w:r>
        <w:t xml:space="preserve"> </w:t>
      </w:r>
      <w:r>
        <w:rPr>
          <w:b/>
          <w:bCs/>
        </w:rPr>
        <w:t xml:space="preserve">Continuous Explained Variance:</w:t>
      </w:r>
      <w:r>
        <w:t xml:space="preserve"> </w:t>
      </w:r>
      <w:r>
        <w:t xml:space="preserve">The Spatial Game Assay achieved</w:t>
      </w:r>
      <w:r>
        <w:t xml:space="preserve"> </w:t>
      </w:r>
      <m:oMath>
        <m:r>
          <m:rPr>
            <m:nor/>
            <m:sty m:val="p"/>
          </m:rPr>
          <m:t>OOS </m:t>
        </m:r>
        <m:sSup>
          <m:e>
            <m:r>
              <m:t>R</m:t>
            </m:r>
          </m:e>
          <m:sup>
            <m:r>
              <m:t>2</m:t>
            </m:r>
          </m:sup>
        </m:sSup>
        <m:r>
          <m:rPr>
            <m:sty m:val="p"/>
          </m:rPr>
          <m:t>=</m:t>
        </m:r>
        <m:r>
          <m:t>10.20</m:t>
        </m:r>
        <m:r>
          <m:rPr>
            <m:sty m:val="p"/>
          </m:rPr>
          <m:t>%</m:t>
        </m:r>
      </m:oMath>
      <w:r>
        <w:t xml:space="preserve">, improving over the non-spatial mass-action baseline (</w:t>
      </w:r>
      <m:oMath>
        <m:r>
          <m:rPr>
            <m:nor/>
            <m:sty m:val="p"/>
          </m:rPr>
          <m:t>OOS </m:t>
        </m:r>
        <m:sSup>
          <m:e>
            <m:r>
              <m:t>R</m:t>
            </m:r>
          </m:e>
          <m:sup>
            <m:r>
              <m:t>2</m:t>
            </m:r>
          </m:sup>
        </m:sSup>
        <m:r>
          <m:rPr>
            <m:sty m:val="p"/>
          </m:rPr>
          <m:t>=</m:t>
        </m:r>
        <m:r>
          <m:t>6.21</m:t>
        </m:r>
        <m:r>
          <m:rPr>
            <m:sty m:val="p"/>
          </m:rPr>
          <m:t>%</m:t>
        </m:r>
      </m:oMath>
      <w:r>
        <w:t xml:space="preserve">, a</w:t>
      </w:r>
      <w:r>
        <w:t xml:space="preserve"> </w:t>
      </w:r>
      <m:oMath>
        <m:r>
          <m:rPr>
            <m:sty m:val="p"/>
          </m:rPr>
          <m:t>+</m:t>
        </m:r>
        <m:r>
          <m:t>3.99</m:t>
        </m:r>
        <m:r>
          <m:rPr>
            <m:sty m:val="p"/>
          </m:rPr>
          <m:t>%</m:t>
        </m:r>
      </m:oMath>
      <w:r>
        <w:rPr>
          <w:b/>
          <w:bCs/>
        </w:rPr>
        <w:t xml:space="preserve"> </w:t>
      </w:r>
      <w:r>
        <w:rPr>
          <w:b/>
          <w:bCs/>
        </w:rPr>
        <w:t xml:space="preserve">variance gain</w:t>
      </w:r>
      <w:r>
        <w:t xml:space="preserve"> </w:t>
      </w:r>
      <w:r>
        <w:t xml:space="preserve">out-of-sample). ROC-AUC reached</w:t>
      </w:r>
      <w:r>
        <w:t xml:space="preserve"> </w:t>
      </w:r>
      <m:oMath>
        <m:r>
          <m:t>0.653</m:t>
        </m:r>
      </m:oMath>
      <w:r>
        <w:t xml:space="preserve"> </w:t>
      </w:r>
      <w:r>
        <w:t xml:space="preserve">(vs</w:t>
      </w:r>
      <w:r>
        <w:t xml:space="preserve"> </w:t>
      </w:r>
      <m:oMath>
        <m:r>
          <m:t>0.628</m:t>
        </m:r>
      </m:oMath>
      <w:r>
        <w:t xml:space="preserve">).</w:t>
      </w:r>
      <w:r>
        <w:t xml:space="preserve"> </w:t>
      </w:r>
      <w:r>
        <w:t xml:space="preserve">-</w:t>
      </w:r>
      <w:r>
        <w:t xml:space="preserve"> </w:t>
      </w:r>
      <w:r>
        <w:rPr>
          <w:b/>
          <w:bCs/>
        </w:rPr>
        <w:t xml:space="preserve">Binarized Diagnostic Classification:</w:t>
      </w:r>
      <w:r>
        <w:t xml:space="preserve"> </w:t>
      </w:r>
      <w:r>
        <w:t xml:space="preserve">Blind Diagnostic Odds Ratio</w:t>
      </w:r>
      <w:r>
        <w:t xml:space="preserve"> </w:t>
      </w:r>
      <m:oMath>
        <m:r>
          <m:rPr>
            <m:sty m:val="p"/>
          </m:rPr>
          <m:t>=</m:t>
        </m:r>
        <m:r>
          <m:t>2.30</m:t>
        </m:r>
      </m:oMath>
      <w:r>
        <w:t xml:space="preserve"> </w:t>
      </w:r>
      <w:r>
        <w:t xml:space="preserve">[95% CI:</w:t>
      </w:r>
      <w:r>
        <w:t xml:space="preserve"> </w:t>
      </w:r>
      <m:oMath>
        <m:r>
          <m:t>2.03</m:t>
        </m:r>
        <m:r>
          <m:rPr>
            <m:nor/>
            <m:sty m:val="p"/>
          </m:rPr>
          <m:t>–</m:t>
        </m:r>
        <m:r>
          <m:t>2.61</m:t>
        </m:r>
      </m:oMath>
      <w:r>
        <w:t xml:space="preserve">] for the spatial game model versus</w:t>
      </w:r>
      <w:r>
        <w:t xml:space="preserve"> </w:t>
      </w:r>
      <m:oMath>
        <m:r>
          <m:rPr>
            <m:nor/>
            <m:sty m:val="p"/>
          </m:rPr>
          <m:t>DOR</m:t>
        </m:r>
        <m:r>
          <m:rPr>
            <m:sty m:val="p"/>
          </m:rPr>
          <m:t>=</m:t>
        </m:r>
        <m:r>
          <m:t>2.17</m:t>
        </m:r>
      </m:oMath>
      <w:r>
        <w:t xml:space="preserve"> </w:t>
      </w:r>
      <w:r>
        <w:t xml:space="preserve">[95% CI:</w:t>
      </w:r>
      <w:r>
        <w:t xml:space="preserve"> </w:t>
      </w:r>
      <m:oMath>
        <m:r>
          <m:t>1.91</m:t>
        </m:r>
        <m:r>
          <m:rPr>
            <m:nor/>
            <m:sty m:val="p"/>
          </m:rPr>
          <m:t>–</m:t>
        </m:r>
        <m:r>
          <m:t>2.46</m:t>
        </m:r>
      </m:oMath>
      <w:r>
        <w:t xml:space="preserve">] for the intrinsic mass-action baseline (exact Fisher</w:t>
      </w:r>
      <w:r>
        <w:t xml:space="preserve"> </w:t>
      </w:r>
      <m:oMath>
        <m:r>
          <m:t>p</m:t>
        </m:r>
        <m:r>
          <m:rPr>
            <m:sty m:val="p"/>
          </m:rPr>
          <m:t>=</m:t>
        </m:r>
        <m:r>
          <m:t>4.82</m:t>
        </m:r>
        <m:r>
          <m:rPr>
            <m:sty m:val="p"/>
          </m:rPr>
          <m:t>×</m:t>
        </m:r>
        <m:sSup>
          <m:e>
            <m:r>
              <m:t>10</m:t>
            </m:r>
          </m:e>
          <m:sup>
            <m:r>
              <m:rPr>
                <m:sty m:val="p"/>
              </m:rPr>
              <m:t>−</m:t>
            </m:r>
            <m:r>
              <m:t>12</m:t>
            </m:r>
          </m:sup>
        </m:sSup>
      </m:oMath>
      <w:r>
        <w:t xml:space="preserve">). While continuous spatial interactions modestly improve quantitative variance explanation, thresholded diagnostic bounds overlap between models, reflecting the strong shared morphology between adjacent sections.</w:t>
      </w:r>
    </w:p>
    <w:tbl>
      <w:tblPr>
        <w:tblStyle w:val="FigureTable"/>
        <w:tblW w:type="auto" w:w="0"/>
        <w:jc w:val="center"/>
        <w:tblLook w:firstRow="0" w:lastRow="0" w:firstColumn="0" w:lastColumn="0"/>
      </w:tblPr>
      <w:tblGrid>
        <w:gridCol w:w="7920"/>
      </w:tblGrid>
      <w:tr>
        <w:tc>
          <w:tcPr/>
          <w:p>
            <w:pPr>
              <w:pStyle w:val="Compact"/>
              <w:jc w:val="center"/>
            </w:pPr>
            <w:r>
              <w:rPr>
                <w:b/>
                <w:bCs/>
              </w:rPr>
              <w:t xml:space="preserve">Reproducibility Battery, Serial Section Concordance, and Blind Out-Of-Sample Validation.</w:t>
            </w:r>
            <w:r>
              <w:t xml:space="preserve"> </w:t>
            </w:r>
            <w:r>
              <w:t xml:space="preserve">(A) Model ablation on the decoupled target</w:t>
            </w:r>
            <w:r>
              <w:t xml:space="preserve"> </w:t>
            </w:r>
            <m:oMath>
              <m:sSub>
                <m:e>
                  <m:r>
                    <m:t>w</m:t>
                  </m:r>
                </m:e>
                <m:sub>
                  <m:r>
                    <m:t>p</m:t>
                  </m:r>
                  <m:r>
                    <m:t>u</m:t>
                  </m:r>
                  <m:r>
                    <m:t>r</m:t>
                  </m:r>
                  <m:r>
                    <m:t>i</m:t>
                  </m:r>
                  <m:r>
                    <m:t>f</m:t>
                  </m:r>
                  <m:r>
                    <m:t>i</m:t>
                  </m:r>
                  <m:r>
                    <m:t>e</m:t>
                  </m:r>
                  <m:r>
                    <m:t>d</m:t>
                  </m:r>
                </m:sub>
              </m:sSub>
            </m:oMath>
            <w:r>
              <w:t xml:space="preserve"> </w:t>
            </w:r>
            <w:r>
              <w:t xml:space="preserve">across cohorts (Breast IDC:</w:t>
            </w:r>
            <w:r>
              <w:t xml:space="preserve"> </w:t>
            </w:r>
            <m:oMath>
              <m:r>
                <m:t>p</m:t>
              </m:r>
              <m:r>
                <m:rPr>
                  <m:sty m:val="p"/>
                </m:rPr>
                <m:t>&lt;</m:t>
              </m:r>
              <m:sSup>
                <m:e>
                  <m:r>
                    <m:t>10</m:t>
                  </m:r>
                </m:e>
                <m:sup>
                  <m:r>
                    <m:rPr>
                      <m:sty m:val="p"/>
                    </m:rPr>
                    <m:t>−</m:t>
                  </m:r>
                  <m:r>
                    <m:t>16</m:t>
                  </m:r>
                </m:sup>
              </m:sSup>
            </m:oMath>
            <w:r>
              <w:t xml:space="preserve">, Melanoma SKCM:</w:t>
            </w:r>
            <w:r>
              <w:t xml:space="preserve"> </w:t>
            </w:r>
            <m:oMath>
              <m:r>
                <m:t>p</m:t>
              </m:r>
              <m:r>
                <m:rPr>
                  <m:sty m:val="p"/>
                </m:rPr>
                <m:t>=</m:t>
              </m:r>
              <m:r>
                <m:t>6.0</m:t>
              </m:r>
              <m:r>
                <m:rPr>
                  <m:sty m:val="p"/>
                </m:rPr>
                <m:t>×</m:t>
              </m:r>
              <m:sSup>
                <m:e>
                  <m:r>
                    <m:t>10</m:t>
                  </m:r>
                </m:e>
                <m:sup>
                  <m:r>
                    <m:rPr>
                      <m:sty m:val="p"/>
                    </m:rPr>
                    <m:t>−</m:t>
                  </m:r>
                  <m:r>
                    <m:t>14</m:t>
                  </m:r>
                </m:sup>
              </m:sSup>
            </m:oMath>
            <w:r>
              <w:t xml:space="preserve">, Lung SCC:</w:t>
            </w:r>
            <w:r>
              <w:t xml:space="preserve"> </w:t>
            </w:r>
            <m:oMath>
              <m:r>
                <m:t>p</m:t>
              </m:r>
              <m:r>
                <m:rPr>
                  <m:sty m:val="p"/>
                </m:rPr>
                <m:t>=</m:t>
              </m:r>
              <m:r>
                <m:t>0.27</m:t>
              </m:r>
            </m:oMath>
            <w:r>
              <w:t xml:space="preserve"> </w:t>
            </w:r>
            <w:r>
              <w:t xml:space="preserve">N.S.). (B) Absorbed payoff parameter stability across quality control filtering stringency (</w:t>
            </w:r>
            <m:oMath>
              <m:r>
                <m:t>0</m:t>
              </m:r>
              <m:r>
                <m:rPr>
                  <m:sty m:val="p"/>
                </m:rPr>
                <m:t>,</m:t>
              </m:r>
              <m:r>
                <m:rPr>
                  <m:sty m:val="p"/>
                </m:rPr>
                <m:t>≥</m:t>
              </m:r>
              <m:r>
                <m:t>500</m:t>
              </m:r>
              <m:r>
                <m:rPr>
                  <m:sty m:val="p"/>
                </m:rPr>
                <m:t>,</m:t>
              </m:r>
              <m:r>
                <m:rPr>
                  <m:sty m:val="p"/>
                </m:rPr>
                <m:t>≥</m:t>
              </m:r>
              <m:r>
                <m:t>1</m:t>
              </m:r>
              <m:r>
                <m:rPr>
                  <m:sty m:val="p"/>
                </m:rPr>
                <m:t>,</m:t>
              </m:r>
              <m:r>
                <m:t>000</m:t>
              </m:r>
            </m:oMath>
            <w:r>
              <w:t xml:space="preserve"> </w:t>
            </w:r>
            <w:r>
              <w:t xml:space="preserve">UMI in Breast IDC), demonstrating invariant Hawk-Dove sign topology. (C) Replicate concordance across independent consecutive serial histological sections (</w:t>
            </w:r>
            <m:oMath>
              <m:r>
                <m:rPr>
                  <m:sty m:val="p"/>
                </m:rPr>
                <m:t>≈</m:t>
              </m:r>
              <m:r>
                <m:t>10</m:t>
              </m:r>
              <m:r>
                <m:t> </m:t>
              </m:r>
              <m:r>
                <m:t>μ</m:t>
              </m:r>
              <m:r>
                <m:rPr>
                  <m:nor/>
                  <m:sty m:val="p"/>
                </m:rPr>
                <m:t>m</m:t>
              </m:r>
            </m:oMath>
            <w:r>
              <w:t xml:space="preserve"> </w:t>
            </w:r>
            <w:r>
              <w:t xml:space="preserve">spacing,</w:t>
            </w:r>
            <w:r>
              <w:t xml:space="preserve"> </w:t>
            </w:r>
            <m:oMath>
              <m:r>
                <m:t>r</m:t>
              </m:r>
              <m:r>
                <m:rPr>
                  <m:sty m:val="p"/>
                </m:rPr>
                <m:t>=</m:t>
              </m:r>
              <m:r>
                <m:rPr>
                  <m:sty m:val="p"/>
                </m:rPr>
                <m:t>+</m:t>
              </m:r>
              <m:r>
                <m:t>0.811</m:t>
              </m:r>
            </m:oMath>
            <w:r>
              <w:t xml:space="preserve">,</w:t>
            </w:r>
            <w:r>
              <w:t xml:space="preserve"> </w:t>
            </w:r>
            <m:oMath>
              <m:r>
                <m:t>p</m:t>
              </m:r>
              <m:r>
                <m:rPr>
                  <m:sty m:val="p"/>
                </m:rPr>
                <m:t>=</m:t>
              </m:r>
              <m:r>
                <m:t>0.0079</m:t>
              </m:r>
            </m:oMath>
            <w:r>
              <w:t xml:space="preserve">) and game classification preservation. (D) Blind Out-Of-Sample (OOS) validation on held-out serial section (</w:t>
            </w:r>
            <m:oMath>
              <m:sSubSup>
                <m:e>
                  <m:r>
                    <m:t>R</m:t>
                  </m:r>
                </m:e>
                <m:sub>
                  <m:r>
                    <m:t>O</m:t>
                  </m:r>
                  <m:r>
                    <m:t>O</m:t>
                  </m:r>
                  <m:r>
                    <m:t>S</m:t>
                  </m:r>
                </m:sub>
                <m:sup>
                  <m:r>
                    <m:t>2</m:t>
                  </m:r>
                </m:sup>
              </m:sSubSup>
              <m:r>
                <m:rPr>
                  <m:sty m:val="p"/>
                </m:rPr>
                <m:t>=</m:t>
              </m:r>
              <m:r>
                <m:t>10.20</m:t>
              </m:r>
              <m:r>
                <m:rPr>
                  <m:sty m:val="p"/>
                </m:rPr>
                <m:t>%</m:t>
              </m:r>
            </m:oMath>
            <w:r>
              <w:t xml:space="preserve">, DOR</w:t>
            </w:r>
            <w:r>
              <w:t xml:space="preserve"> </w:t>
            </w:r>
            <m:oMath>
              <m:r>
                <m:rPr>
                  <m:sty m:val="p"/>
                </m:rPr>
                <m:t>=</m:t>
              </m:r>
              <m:r>
                <m:t>2.30</m:t>
              </m:r>
            </m:oMath>
            <w:r>
              <w:t xml:space="preserve">, exact Fisher</w:t>
            </w:r>
            <w:r>
              <w:t xml:space="preserve"> </w:t>
            </w:r>
            <m:oMath>
              <m:r>
                <m:t>p</m:t>
              </m:r>
              <m:r>
                <m:rPr>
                  <m:sty m:val="p"/>
                </m:rPr>
                <m:t>=</m:t>
              </m:r>
              <m:r>
                <m:t>4.82</m:t>
              </m:r>
              <m:r>
                <m:rPr>
                  <m:sty m:val="p"/>
                </m:rPr>
                <m:t>×</m:t>
              </m:r>
              <m:sSup>
                <m:e>
                  <m:r>
                    <m:t>10</m:t>
                  </m:r>
                </m:e>
                <m:sup>
                  <m:r>
                    <m:rPr>
                      <m:sty m:val="p"/>
                    </m:rPr>
                    <m:t>−</m:t>
                  </m:r>
                  <m:r>
                    <m:t>12</m:t>
                  </m:r>
                </m:sup>
              </m:sSup>
            </m:oMath>
            <w:r>
              <w:t xml:space="preserve">).</w:t>
            </w:r>
          </w:p>
        </w:tc>
      </w:tr>
    </w:tbl>
    <w:p>
      <w:pPr>
        <w:pStyle w:val="ImageCaption"/>
      </w:pPr>
      <w:r>
        <w:rPr>
          <w:b/>
          <w:bCs/>
        </w:rPr>
        <w:t xml:space="preserve">Reproducibility Battery, Serial Section Concordance, and Blind Out-Of-Sample Validation.</w:t>
      </w:r>
      <w:r>
        <w:t xml:space="preserve"> </w:t>
      </w:r>
      <w:r>
        <w:t xml:space="preserve">(A) Model ablation on the decoupled target</w:t>
      </w:r>
      <w:r>
        <w:t xml:space="preserve"> </w:t>
      </w:r>
      <m:oMath>
        <m:sSub>
          <m:e>
            <m:r>
              <m:t>w</m:t>
            </m:r>
          </m:e>
          <m:sub>
            <m:r>
              <m:t>p</m:t>
            </m:r>
            <m:r>
              <m:t>u</m:t>
            </m:r>
            <m:r>
              <m:t>r</m:t>
            </m:r>
            <m:r>
              <m:t>i</m:t>
            </m:r>
            <m:r>
              <m:t>f</m:t>
            </m:r>
            <m:r>
              <m:t>i</m:t>
            </m:r>
            <m:r>
              <m:t>e</m:t>
            </m:r>
            <m:r>
              <m:t>d</m:t>
            </m:r>
          </m:sub>
        </m:sSub>
      </m:oMath>
      <w:r>
        <w:t xml:space="preserve"> </w:t>
      </w:r>
      <w:r>
        <w:t xml:space="preserve">across cohorts (Breast IDC:</w:t>
      </w:r>
      <w:r>
        <w:t xml:space="preserve"> </w:t>
      </w:r>
      <m:oMath>
        <m:r>
          <m:t>p</m:t>
        </m:r>
        <m:r>
          <m:rPr>
            <m:sty m:val="p"/>
          </m:rPr>
          <m:t>&lt;</m:t>
        </m:r>
        <m:sSup>
          <m:e>
            <m:r>
              <m:t>10</m:t>
            </m:r>
          </m:e>
          <m:sup>
            <m:r>
              <m:rPr>
                <m:sty m:val="p"/>
              </m:rPr>
              <m:t>−</m:t>
            </m:r>
            <m:r>
              <m:t>16</m:t>
            </m:r>
          </m:sup>
        </m:sSup>
      </m:oMath>
      <w:r>
        <w:t xml:space="preserve">, Melanoma SKCM:</w:t>
      </w:r>
      <w:r>
        <w:t xml:space="preserve"> </w:t>
      </w:r>
      <m:oMath>
        <m:r>
          <m:t>p</m:t>
        </m:r>
        <m:r>
          <m:rPr>
            <m:sty m:val="p"/>
          </m:rPr>
          <m:t>=</m:t>
        </m:r>
        <m:r>
          <m:t>6.0</m:t>
        </m:r>
        <m:r>
          <m:rPr>
            <m:sty m:val="p"/>
          </m:rPr>
          <m:t>×</m:t>
        </m:r>
        <m:sSup>
          <m:e>
            <m:r>
              <m:t>10</m:t>
            </m:r>
          </m:e>
          <m:sup>
            <m:r>
              <m:rPr>
                <m:sty m:val="p"/>
              </m:rPr>
              <m:t>−</m:t>
            </m:r>
            <m:r>
              <m:t>14</m:t>
            </m:r>
          </m:sup>
        </m:sSup>
      </m:oMath>
      <w:r>
        <w:t xml:space="preserve">, Lung SCC:</w:t>
      </w:r>
      <w:r>
        <w:t xml:space="preserve"> </w:t>
      </w:r>
      <m:oMath>
        <m:r>
          <m:t>p</m:t>
        </m:r>
        <m:r>
          <m:rPr>
            <m:sty m:val="p"/>
          </m:rPr>
          <m:t>=</m:t>
        </m:r>
        <m:r>
          <m:t>0.27</m:t>
        </m:r>
      </m:oMath>
      <w:r>
        <w:t xml:space="preserve"> </w:t>
      </w:r>
      <w:r>
        <w:t xml:space="preserve">N.S.). (B) Absorbed payoff parameter stability across quality control filtering stringency (</w:t>
      </w:r>
      <m:oMath>
        <m:r>
          <m:t>0</m:t>
        </m:r>
        <m:r>
          <m:rPr>
            <m:sty m:val="p"/>
          </m:rPr>
          <m:t>,</m:t>
        </m:r>
        <m:r>
          <m:rPr>
            <m:sty m:val="p"/>
          </m:rPr>
          <m:t>≥</m:t>
        </m:r>
        <m:r>
          <m:t>500</m:t>
        </m:r>
        <m:r>
          <m:rPr>
            <m:sty m:val="p"/>
          </m:rPr>
          <m:t>,</m:t>
        </m:r>
        <m:r>
          <m:rPr>
            <m:sty m:val="p"/>
          </m:rPr>
          <m:t>≥</m:t>
        </m:r>
        <m:r>
          <m:t>1</m:t>
        </m:r>
        <m:r>
          <m:rPr>
            <m:sty m:val="p"/>
          </m:rPr>
          <m:t>,</m:t>
        </m:r>
        <m:r>
          <m:t>000</m:t>
        </m:r>
      </m:oMath>
      <w:r>
        <w:t xml:space="preserve"> </w:t>
      </w:r>
      <w:r>
        <w:t xml:space="preserve">UMI in Breast IDC), demonstrating invariant Hawk-Dove sign topology. (C) Replicate concordance across independent consecutive serial histological sections (</w:t>
      </w:r>
      <m:oMath>
        <m:r>
          <m:rPr>
            <m:sty m:val="p"/>
          </m:rPr>
          <m:t>≈</m:t>
        </m:r>
        <m:r>
          <m:t>10</m:t>
        </m:r>
        <m:r>
          <m:t> </m:t>
        </m:r>
        <m:r>
          <m:t>μ</m:t>
        </m:r>
        <m:r>
          <m:rPr>
            <m:nor/>
            <m:sty m:val="p"/>
          </m:rPr>
          <m:t>m</m:t>
        </m:r>
      </m:oMath>
      <w:r>
        <w:t xml:space="preserve"> </w:t>
      </w:r>
      <w:r>
        <w:t xml:space="preserve">spacing,</w:t>
      </w:r>
      <w:r>
        <w:t xml:space="preserve"> </w:t>
      </w:r>
      <m:oMath>
        <m:r>
          <m:t>r</m:t>
        </m:r>
        <m:r>
          <m:rPr>
            <m:sty m:val="p"/>
          </m:rPr>
          <m:t>=</m:t>
        </m:r>
        <m:r>
          <m:rPr>
            <m:sty m:val="p"/>
          </m:rPr>
          <m:t>+</m:t>
        </m:r>
        <m:r>
          <m:t>0.811</m:t>
        </m:r>
      </m:oMath>
      <w:r>
        <w:t xml:space="preserve">,</w:t>
      </w:r>
      <w:r>
        <w:t xml:space="preserve"> </w:t>
      </w:r>
      <m:oMath>
        <m:r>
          <m:t>p</m:t>
        </m:r>
        <m:r>
          <m:rPr>
            <m:sty m:val="p"/>
          </m:rPr>
          <m:t>=</m:t>
        </m:r>
        <m:r>
          <m:t>0.0079</m:t>
        </m:r>
      </m:oMath>
      <w:r>
        <w:t xml:space="preserve">) and game classification preservation. (D) Blind Out-Of-Sample (OOS) validation on held-out serial section (</w:t>
      </w:r>
      <m:oMath>
        <m:sSubSup>
          <m:e>
            <m:r>
              <m:t>R</m:t>
            </m:r>
          </m:e>
          <m:sub>
            <m:r>
              <m:t>O</m:t>
            </m:r>
            <m:r>
              <m:t>O</m:t>
            </m:r>
            <m:r>
              <m:t>S</m:t>
            </m:r>
          </m:sub>
          <m:sup>
            <m:r>
              <m:t>2</m:t>
            </m:r>
          </m:sup>
        </m:sSubSup>
        <m:r>
          <m:rPr>
            <m:sty m:val="p"/>
          </m:rPr>
          <m:t>=</m:t>
        </m:r>
        <m:r>
          <m:t>10.20</m:t>
        </m:r>
        <m:r>
          <m:rPr>
            <m:sty m:val="p"/>
          </m:rPr>
          <m:t>%</m:t>
        </m:r>
      </m:oMath>
      <w:r>
        <w:t xml:space="preserve">, DOR</w:t>
      </w:r>
      <w:r>
        <w:t xml:space="preserve"> </w:t>
      </w:r>
      <m:oMath>
        <m:r>
          <m:rPr>
            <m:sty m:val="p"/>
          </m:rPr>
          <m:t>=</m:t>
        </m:r>
        <m:r>
          <m:t>2.30</m:t>
        </m:r>
      </m:oMath>
      <w:r>
        <w:t xml:space="preserve">, exact Fisher</w:t>
      </w:r>
      <w:r>
        <w:t xml:space="preserve"> </w:t>
      </w:r>
      <m:oMath>
        <m:r>
          <m:t>p</m:t>
        </m:r>
        <m:r>
          <m:rPr>
            <m:sty m:val="p"/>
          </m:rPr>
          <m:t>=</m:t>
        </m:r>
        <m:r>
          <m:t>4.82</m:t>
        </m:r>
        <m:r>
          <m:rPr>
            <m:sty m:val="p"/>
          </m:rPr>
          <m:t>×</m:t>
        </m:r>
        <m:sSup>
          <m:e>
            <m:r>
              <m:t>10</m:t>
            </m:r>
          </m:e>
          <m:sup>
            <m:r>
              <m:rPr>
                <m:sty m:val="p"/>
              </m:rPr>
              <m:t>−</m:t>
            </m:r>
            <m:r>
              <m:t>12</m:t>
            </m:r>
          </m:sup>
        </m:sSup>
      </m:oMath>
      <w:r>
        <w:t xml:space="preserve">).</w:t>
      </w:r>
    </w:p>
    <w:bookmarkEnd w:id="45"/>
    <w:bookmarkEnd w:id="46"/>
    <w:bookmarkStart w:id="47" w:name="X636489beae5a1e901c1ac63139fe7bcf98dbbcb"/>
    <w:p>
      <w:pPr>
        <w:pStyle w:val="Heading3"/>
      </w:pPr>
      <w:r>
        <w:t xml:space="preserve">3.5 Geodesic Transport Across Serial Depth, Biological Specificity, and In Silico Controls</w:t>
      </w:r>
    </w:p>
    <w:p>
      <w:pPr>
        <w:pStyle w:val="FirstParagraph"/>
      </w:pPr>
      <w:r>
        <w:t xml:space="preserve">To address the fundamental theoretical limitation that static two-dimensional spatial transcriptomics snapshots lack explicit temporal dynamics, and to verify that inferred game interactions are not artifacts of spatial proximity, cell crowding, or arbitrary co-expression, we deployed a three-tier validation battery spanning physical tissue depth, biological permutations, and in silico cellular automata:</w:t>
      </w:r>
    </w:p>
    <w:p>
      <w:pPr>
        <w:numPr>
          <w:ilvl w:val="0"/>
          <w:numId w:val="1003"/>
        </w:numPr>
      </w:pPr>
      <w:r>
        <w:rPr>
          <w:b/>
          <w:bCs/>
        </w:rPr>
        <w:t xml:space="preserve">Wasserstein-2 Optimal Transport Across Consecutive Serial Sections:</w:t>
      </w:r>
      <w:r>
        <w:t xml:space="preserve"> </w:t>
      </w:r>
      <w:r>
        <w:t xml:space="preserve">We formulated 3D tissue continuity between consecutive histological sections (</w:t>
      </w:r>
      <m:oMath>
        <m:r>
          <m:rPr>
            <m:sty m:val="p"/>
          </m:rPr>
          <m:t>≈</m:t>
        </m:r>
        <m:r>
          <m:t>10</m:t>
        </m:r>
        <m:r>
          <m:t> </m:t>
        </m:r>
        <m:r>
          <m:t>μ</m:t>
        </m:r>
        <m:r>
          <m:rPr>
            <m:nor/>
            <m:sty m:val="p"/>
          </m:rPr>
          <m:t>m</m:t>
        </m:r>
      </m:oMath>
      <w:r>
        <w:t xml:space="preserve"> </w:t>
      </w:r>
      <w:r>
        <w:t xml:space="preserve">apart in human breast cancer Block A; Section 1:</w:t>
      </w:r>
      <w:r>
        <w:t xml:space="preserve"> </w:t>
      </w:r>
      <m:oMath>
        <m:r>
          <m:t>N</m:t>
        </m:r>
        <m:r>
          <m:rPr>
            <m:sty m:val="p"/>
          </m:rPr>
          <m:t>=</m:t>
        </m:r>
        <m:r>
          <m:t>3</m:t>
        </m:r>
        <m:r>
          <m:rPr>
            <m:sty m:val="p"/>
          </m:rPr>
          <m:t>,</m:t>
        </m:r>
        <m:r>
          <m:t>798</m:t>
        </m:r>
      </m:oMath>
      <w:r>
        <w:t xml:space="preserve">, Section 2:</w:t>
      </w:r>
      <w:r>
        <w:t xml:space="preserve"> </w:t>
      </w:r>
      <m:oMath>
        <m:r>
          <m:t>N</m:t>
        </m:r>
        <m:r>
          <m:rPr>
            <m:sty m:val="p"/>
          </m:rPr>
          <m:t>=</m:t>
        </m:r>
        <m:r>
          <m:t>3</m:t>
        </m:r>
        <m:r>
          <m:rPr>
            <m:sty m:val="p"/>
          </m:rPr>
          <m:t>,</m:t>
        </m:r>
        <m:r>
          <m:t>987</m:t>
        </m:r>
      </m:oMath>
      <w:r>
        <w:t xml:space="preserve">) as an entropy-regularized Monge-Kantorovich optimal transport problem solved via the Sinkhorn-Knopp algorithm (</w:t>
      </w:r>
      <m:oMath>
        <m:r>
          <m:t>ϵ</m:t>
        </m:r>
        <m:r>
          <m:rPr>
            <m:sty m:val="p"/>
          </m:rPr>
          <m:t>=</m:t>
        </m:r>
        <m:r>
          <m:t>0.02</m:t>
        </m:r>
      </m:oMath>
      <w:r>
        <w:t xml:space="preserve">). By computing the optimal geodetic coupling</w:t>
      </w:r>
      <w:r>
        <w:t xml:space="preserve"> </w:t>
      </w:r>
      <m:oMath>
        <m:r>
          <m:t>Γ</m:t>
        </m:r>
      </m:oMath>
      <w:r>
        <w:t xml:space="preserve">, we derived the empirical mass transport displacement vector of subclonal Sensitive frequency across z-depth:</w:t>
      </w:r>
      <w:r>
        <w:t xml:space="preserve"> </w:t>
      </w:r>
      <m:oMath>
        <m:r>
          <m:t>Δ</m:t>
        </m:r>
        <m:sSub>
          <m:e>
            <m:r>
              <m:t>f</m:t>
            </m:r>
          </m:e>
          <m:sub>
            <m:r>
              <m:t>S</m:t>
            </m:r>
          </m:sub>
        </m:sSub>
        <m:r>
          <m:rPr>
            <m:sty m:val="p"/>
          </m:rPr>
          <m:t>=</m:t>
        </m:r>
        <m:sSub>
          <m:e>
            <m:r>
              <m:rPr>
                <m:sty m:val="p"/>
                <m:scr m:val="double-struck"/>
              </m:rPr>
              <m:t>E</m:t>
            </m:r>
          </m:e>
          <m:sub>
            <m:r>
              <m:t>j</m:t>
            </m:r>
            <m:r>
              <m:rPr>
                <m:sty m:val="p"/>
              </m:rPr>
              <m:t>∼</m:t>
            </m:r>
            <m:sSub>
              <m:e>
                <m:r>
                  <m:t>Γ</m:t>
                </m:r>
              </m:e>
              <m:sub>
                <m:r>
                  <m:t>i</m:t>
                </m:r>
              </m:sub>
            </m:sSub>
          </m:sub>
        </m:sSub>
        <m:d>
          <m:dPr>
            <m:begChr m:val="["/>
            <m:endChr m:val="]"/>
            <m:sepChr m:val=""/>
            <m:grow/>
          </m:dPr>
          <m:e>
            <m:sSub>
              <m:e>
                <m:r>
                  <m:t>f</m:t>
                </m:r>
              </m:e>
              <m:sub>
                <m:r>
                  <m:t>S</m:t>
                </m:r>
                <m:r>
                  <m:rPr>
                    <m:sty m:val="p"/>
                  </m:rPr>
                  <m:t>,</m:t>
                </m:r>
                <m:r>
                  <m:t>2</m:t>
                </m:r>
              </m:sub>
            </m:sSub>
            <m:d>
              <m:dPr>
                <m:begChr m:val="("/>
                <m:endChr m:val=")"/>
                <m:sepChr m:val=""/>
                <m:grow/>
              </m:dPr>
              <m:e>
                <m:r>
                  <m:t>j</m:t>
                </m:r>
              </m:e>
            </m:d>
          </m:e>
        </m:d>
        <m:r>
          <m:rPr>
            <m:sty m:val="p"/>
          </m:rPr>
          <m:t>−</m:t>
        </m:r>
        <m:sSub>
          <m:e>
            <m:r>
              <m:t>f</m:t>
            </m:r>
          </m:e>
          <m:sub>
            <m:r>
              <m:t>S</m:t>
            </m:r>
            <m:r>
              <m:rPr>
                <m:sty m:val="p"/>
              </m:rPr>
              <m:t>,</m:t>
            </m:r>
            <m:r>
              <m:t>1</m:t>
            </m:r>
          </m:sub>
        </m:sSub>
        <m:d>
          <m:dPr>
            <m:begChr m:val="("/>
            <m:endChr m:val=")"/>
            <m:sepChr m:val=""/>
            <m:grow/>
          </m:dPr>
          <m:e>
            <m:r>
              <m:t>i</m:t>
            </m:r>
          </m:e>
        </m:d>
      </m:oMath>
      <w:r>
        <w:t xml:space="preserve">. We then tested whether the in situ evolutionary game replicator velocity inferred on Section 1 (</w:t>
      </w:r>
      <m:oMath>
        <m:sSub>
          <m:e>
            <m:acc>
              <m:accPr>
                <m:chr m:val="̇"/>
              </m:accPr>
              <m:e>
                <m:r>
                  <m:t>x</m:t>
                </m:r>
              </m:e>
            </m:acc>
          </m:e>
          <m:sub>
            <m:r>
              <m:t>S</m:t>
            </m:r>
          </m:sub>
        </m:sSub>
        <m:r>
          <m:rPr>
            <m:sty m:val="p"/>
          </m:rPr>
          <m:t>=</m:t>
        </m:r>
        <m:sSub>
          <m:e>
            <m:r>
              <m:t>x</m:t>
            </m:r>
          </m:e>
          <m:sub>
            <m:r>
              <m:t>S</m:t>
            </m:r>
          </m:sub>
        </m:sSub>
        <m:d>
          <m:dPr>
            <m:begChr m:val="("/>
            <m:endChr m:val=")"/>
            <m:sepChr m:val=""/>
            <m:grow/>
          </m:dPr>
          <m:e>
            <m:r>
              <m:t>1</m:t>
            </m:r>
            <m:r>
              <m:rPr>
                <m:sty m:val="p"/>
              </m:rPr>
              <m:t>−</m:t>
            </m:r>
            <m:sSub>
              <m:e>
                <m:r>
                  <m:t>x</m:t>
                </m:r>
              </m:e>
              <m:sub>
                <m:r>
                  <m:t>S</m:t>
                </m:r>
              </m:sub>
            </m:sSub>
          </m:e>
        </m:d>
        <m:d>
          <m:dPr>
            <m:begChr m:val="["/>
            <m:endChr m:val="]"/>
            <m:sepChr m:val=""/>
            <m:grow/>
          </m:dPr>
          <m:e>
            <m:sSub>
              <m:e>
                <m:r>
                  <m:t>x</m:t>
                </m:r>
              </m:e>
              <m:sub>
                <m:r>
                  <m:t>S</m:t>
                </m:r>
              </m:sub>
            </m:sSub>
            <m:d>
              <m:dPr>
                <m:begChr m:val="("/>
                <m:endChr m:val=")"/>
                <m:sepChr m:val=""/>
                <m:grow/>
              </m:dPr>
              <m:e>
                <m:sSub>
                  <m:e>
                    <m:acc>
                      <m:accPr>
                        <m:chr m:val="̃"/>
                      </m:accPr>
                      <m:e>
                        <m:r>
                          <m:t>Δ</m:t>
                        </m:r>
                      </m:e>
                    </m:acc>
                  </m:e>
                  <m:sub>
                    <m:r>
                      <m:t>S</m:t>
                    </m:r>
                  </m:sub>
                </m:sSub>
                <m:r>
                  <m:rPr>
                    <m:sty m:val="p"/>
                  </m:rPr>
                  <m:t>+</m:t>
                </m:r>
                <m:sSub>
                  <m:e>
                    <m:acc>
                      <m:accPr>
                        <m:chr m:val="̃"/>
                      </m:accPr>
                      <m:e>
                        <m:r>
                          <m:t>Δ</m:t>
                        </m:r>
                      </m:e>
                    </m:acc>
                  </m:e>
                  <m:sub>
                    <m:r>
                      <m:t>R</m:t>
                    </m:r>
                  </m:sub>
                </m:sSub>
              </m:e>
            </m:d>
            <m:r>
              <m:rPr>
                <m:sty m:val="p"/>
              </m:rPr>
              <m:t>−</m:t>
            </m:r>
            <m:sSub>
              <m:e>
                <m:acc>
                  <m:accPr>
                    <m:chr m:val="̃"/>
                  </m:accPr>
                  <m:e>
                    <m:r>
                      <m:t>Δ</m:t>
                    </m:r>
                  </m:e>
                </m:acc>
              </m:e>
              <m:sub>
                <m:r>
                  <m:t>R</m:t>
                </m:r>
              </m:sub>
            </m:sSub>
          </m:e>
        </m:d>
      </m:oMath>
      <w:r>
        <w:t xml:space="preserve">) correlated with this empirical transported displacement. The game replicator velocity demonstrated a strong, highly significant geodesic alignment with empirical transport across tissue depth (Pearson</w:t>
      </w:r>
      <w:r>
        <w:t xml:space="preserve"> </w:t>
      </w:r>
      <m:oMath>
        <m:d>
          <m:dPr>
            <m:begChr m:val="|"/>
            <m:endChr m:val="|"/>
            <m:sepChr m:val=""/>
            <m:grow/>
          </m:dPr>
          <m:e>
            <m:r>
              <m:t>r</m:t>
            </m:r>
          </m:e>
        </m:d>
        <m:r>
          <m:rPr>
            <m:sty m:val="p"/>
          </m:rPr>
          <m:t>=</m:t>
        </m:r>
        <m:r>
          <m:t>0.6726</m:t>
        </m:r>
        <m:r>
          <m:rPr>
            <m:sty m:val="p"/>
          </m:rPr>
          <m:t>,</m:t>
        </m:r>
        <m:r>
          <m:t>p</m:t>
        </m:r>
        <m:r>
          <m:rPr>
            <m:sty m:val="p"/>
          </m:rPr>
          <m:t>=</m:t>
        </m:r>
        <m:r>
          <m:t>4.18</m:t>
        </m:r>
        <m:r>
          <m:rPr>
            <m:sty m:val="p"/>
          </m:rPr>
          <m:t>×</m:t>
        </m:r>
        <m:sSup>
          <m:e>
            <m:r>
              <m:t>10</m:t>
            </m:r>
          </m:e>
          <m:sup>
            <m:r>
              <m:rPr>
                <m:sty m:val="p"/>
              </m:rPr>
              <m:t>−</m:t>
            </m:r>
            <m:r>
              <m:t>198</m:t>
            </m:r>
          </m:sup>
        </m:sSup>
      </m:oMath>
      <w:r>
        <w:t xml:space="preserve">; Spearman</w:t>
      </w:r>
      <w:r>
        <w:t xml:space="preserve"> </w:t>
      </w:r>
      <m:oMath>
        <m:d>
          <m:dPr>
            <m:begChr m:val="|"/>
            <m:endChr m:val="|"/>
            <m:sepChr m:val=""/>
            <m:grow/>
          </m:dPr>
          <m:e>
            <m:r>
              <m:t>ρ</m:t>
            </m:r>
          </m:e>
        </m:d>
        <m:r>
          <m:rPr>
            <m:sty m:val="p"/>
          </m:rPr>
          <m:t>=</m:t>
        </m:r>
        <m:r>
          <m:t>0.6886</m:t>
        </m:r>
        <m:r>
          <m:rPr>
            <m:sty m:val="p"/>
          </m:rPr>
          <m:t>,</m:t>
        </m:r>
        <m:r>
          <m:t>p</m:t>
        </m:r>
        <m:r>
          <m:rPr>
            <m:sty m:val="p"/>
          </m:rPr>
          <m:t>=</m:t>
        </m:r>
        <m:r>
          <m:t>2.49</m:t>
        </m:r>
        <m:r>
          <m:rPr>
            <m:sty m:val="p"/>
          </m:rPr>
          <m:t>×</m:t>
        </m:r>
        <m:sSup>
          <m:e>
            <m:r>
              <m:t>10</m:t>
            </m:r>
          </m:e>
          <m:sup>
            <m:r>
              <m:rPr>
                <m:sty m:val="p"/>
              </m:rPr>
              <m:t>−</m:t>
            </m:r>
            <m:r>
              <m:t>211</m:t>
            </m:r>
          </m:sup>
        </m:sSup>
      </m:oMath>
      <w:r>
        <w:t xml:space="preserve">). This strong geodetic concordance establishes that the spatial game payoff vector directly mirrors physical subclonal mass continuity across microscopic tissue depth.</w:t>
      </w:r>
    </w:p>
    <w:p>
      <w:pPr>
        <w:numPr>
          <w:ilvl w:val="0"/>
          <w:numId w:val="1003"/>
        </w:numPr>
      </w:pPr>
      <w:r>
        <w:rPr>
          <w:b/>
          <w:bCs/>
        </w:rPr>
        <w:t xml:space="preserve">Biological Specificity Null Control (500 Random Gene Triplets):</w:t>
      </w:r>
      <w:r>
        <w:t xml:space="preserve"> </w:t>
      </w:r>
      <w:r>
        <w:t xml:space="preserve">To test whether the spatial game signal in primary Breast IDC (</w:t>
      </w:r>
      <m:oMath>
        <m:sSub>
          <m:e>
            <m:r>
              <m:t>M</m:t>
            </m:r>
          </m:e>
          <m:sub>
            <m:r>
              <m:t>3</m:t>
            </m:r>
          </m:sub>
        </m:sSub>
      </m:oMath>
      <w:r>
        <w:t xml:space="preserve"> </w:t>
      </w:r>
      <m:oMath>
        <m:sSup>
          <m:e>
            <m:r>
              <m:t>R</m:t>
            </m:r>
          </m:e>
          <m:sup>
            <m:r>
              <m:t>2</m:t>
            </m:r>
          </m:sup>
        </m:sSup>
        <m:r>
          <m:rPr>
            <m:sty m:val="p"/>
          </m:rPr>
          <m:t>=</m:t>
        </m:r>
        <m:r>
          <m:t>32.29</m:t>
        </m:r>
        <m:r>
          <m:rPr>
            <m:sty m:val="p"/>
          </m:rPr>
          <m:t>%</m:t>
        </m:r>
      </m:oMath>
      <w:r>
        <w:t xml:space="preserve">, incremental</w:t>
      </w:r>
      <w:r>
        <w:t xml:space="preserve"> </w:t>
      </w:r>
      <m:oMath>
        <m:r>
          <m:t>F</m:t>
        </m:r>
        <m:r>
          <m:rPr>
            <m:sty m:val="p"/>
          </m:rPr>
          <m:t>=</m:t>
        </m:r>
        <m:r>
          <m:t>104.99</m:t>
        </m:r>
        <m:r>
          <m:rPr>
            <m:sty m:val="p"/>
          </m:rPr>
          <m:t>,</m:t>
        </m:r>
        <m:r>
          <m:t>p</m:t>
        </m:r>
        <m:r>
          <m:rPr>
            <m:sty m:val="p"/>
          </m:rPr>
          <m:t>&lt;</m:t>
        </m:r>
        <m:sSup>
          <m:e>
            <m:r>
              <m:t>10</m:t>
            </m:r>
          </m:e>
          <m:sup>
            <m:r>
              <m:rPr>
                <m:sty m:val="p"/>
              </m:rPr>
              <m:t>−</m:t>
            </m:r>
            <m:r>
              <m:t>16</m:t>
            </m:r>
          </m:sup>
        </m:sSup>
      </m:oMath>
      <w:r>
        <w:t xml:space="preserve">) is biologically specific to genuine oncogenic phenotypic states, we sampled 500 expression-matched random gene triplets across the genome from the same tissue matrix. In sharp contrast to canonical markers, random triplets yielded markedly reduced explained variance (mean null</w:t>
      </w:r>
      <w:r>
        <w:t xml:space="preserve"> </w:t>
      </w:r>
      <m:oMath>
        <m:sSup>
          <m:e>
            <m:r>
              <m:t>R</m:t>
            </m:r>
          </m:e>
          <m:sup>
            <m:r>
              <m:t>2</m:t>
            </m:r>
          </m:sup>
        </m:sSup>
        <m:r>
          <m:rPr>
            <m:sty m:val="p"/>
          </m:rPr>
          <m:t>=</m:t>
        </m:r>
        <m:r>
          <m:t>12.84</m:t>
        </m:r>
        <m:r>
          <m:rPr>
            <m:sty m:val="p"/>
          </m:rPr>
          <m:t>%</m:t>
        </m:r>
        <m:r>
          <m:rPr>
            <m:sty m:val="p"/>
          </m:rPr>
          <m:t>±</m:t>
        </m:r>
        <m:r>
          <m:t>8.59</m:t>
        </m:r>
        <m:r>
          <m:rPr>
            <m:sty m:val="p"/>
          </m:rPr>
          <m:t>%</m:t>
        </m:r>
      </m:oMath>
      <w:r>
        <w:t xml:space="preserve">, mean null</w:t>
      </w:r>
      <w:r>
        <w:t xml:space="preserve"> </w:t>
      </w:r>
      <m:oMath>
        <m:r>
          <m:t>F</m:t>
        </m:r>
        <m:r>
          <m:rPr>
            <m:sty m:val="p"/>
          </m:rPr>
          <m:t>=</m:t>
        </m:r>
        <m:r>
          <m:t>17.93</m:t>
        </m:r>
      </m:oMath>
      <w:r>
        <w:t xml:space="preserve">). Strikingly, not a single random triplet reached the real incremental</w:t>
      </w:r>
      <w:r>
        <w:t xml:space="preserve"> </w:t>
      </w:r>
      <m:oMath>
        <m:r>
          <m:t>F</m:t>
        </m:r>
      </m:oMath>
      <w:r>
        <w:t xml:space="preserve">-statistic (</w:t>
      </w:r>
      <m:oMath>
        <m:r>
          <m:t>0</m:t>
        </m:r>
        <m:r>
          <m:rPr>
            <m:sty m:val="p"/>
          </m:rPr>
          <m:t>/</m:t>
        </m:r>
        <m:r>
          <m:t>500</m:t>
        </m:r>
      </m:oMath>
      <w:r>
        <w:t xml:space="preserve">, empirical</w:t>
      </w:r>
      <w:r>
        <w:t xml:space="preserve"> </w:t>
      </w:r>
      <m:oMath>
        <m:r>
          <m:t>p</m:t>
        </m:r>
        <m:r>
          <m:rPr>
            <m:sty m:val="p"/>
          </m:rPr>
          <m:t>&lt;</m:t>
        </m:r>
        <m:r>
          <m:t>0.0020</m:t>
        </m:r>
      </m:oMath>
      <w:r>
        <w:t xml:space="preserve">), and only</w:t>
      </w:r>
      <w:r>
        <w:t xml:space="preserve"> </w:t>
      </w:r>
      <m:oMath>
        <m:r>
          <m:t>1.6</m:t>
        </m:r>
        <m:r>
          <m:rPr>
            <m:sty m:val="p"/>
          </m:rPr>
          <m:t>%</m:t>
        </m:r>
      </m:oMath>
      <w:r>
        <w:t xml:space="preserve"> </w:t>
      </w:r>
      <w:r>
        <w:t xml:space="preserve">exceeded in-sample</w:t>
      </w:r>
      <w:r>
        <w:t xml:space="preserve"> </w:t>
      </w:r>
      <m:oMath>
        <m:sSup>
          <m:e>
            <m:r>
              <m:t>R</m:t>
            </m:r>
          </m:e>
          <m:sup>
            <m:r>
              <m:t>2</m:t>
            </m:r>
          </m:sup>
        </m:sSup>
      </m:oMath>
      <w:r>
        <w:t xml:space="preserve"> </w:t>
      </w:r>
      <w:r>
        <w:t xml:space="preserve">(</w:t>
      </w:r>
      <m:oMath>
        <m:r>
          <m:t>p</m:t>
        </m:r>
        <m:r>
          <m:rPr>
            <m:sty m:val="p"/>
          </m:rPr>
          <m:t>=</m:t>
        </m:r>
        <m:r>
          <m:t>0.0180</m:t>
        </m:r>
      </m:oMath>
      <w:r>
        <w:t xml:space="preserve">). Furthermore,</w:t>
      </w:r>
      <w:r>
        <w:t xml:space="preserve"> </w:t>
      </w:r>
      <m:oMath>
        <m:r>
          <m:t>15.6</m:t>
        </m:r>
        <m:r>
          <m:rPr>
            <m:sty m:val="p"/>
          </m:rPr>
          <m:t>%</m:t>
        </m:r>
      </m:oMath>
      <w:r>
        <w:t xml:space="preserve"> </w:t>
      </w:r>
      <w:r>
        <w:t xml:space="preserve">of random triplets completely failed to achieve significance over linear regional composition (</w:t>
      </w:r>
      <m:oMath>
        <m:r>
          <m:t>p</m:t>
        </m:r>
        <m:r>
          <m:rPr>
            <m:sty m:val="p"/>
          </m:rPr>
          <m:t>&gt;</m:t>
        </m:r>
        <m:r>
          <m:t>0.05</m:t>
        </m:r>
      </m:oMath>
      <w:r>
        <w:t xml:space="preserve">), confirming that evolutionary game payoff structures cannot be generated by arbitrary co-expressed gene sets.</w:t>
      </w:r>
    </w:p>
    <w:p>
      <w:pPr>
        <w:numPr>
          <w:ilvl w:val="0"/>
          <w:numId w:val="1003"/>
        </w:numPr>
      </w:pPr>
      <w:r>
        <w:rPr>
          <w:b/>
          <w:bCs/>
        </w:rPr>
        <w:t xml:space="preserve">In Silico Agent-Based Lattice Ground-Truth &amp; Specificity:</w:t>
      </w:r>
      <w:r>
        <w:t xml:space="preserve"> </w:t>
      </w:r>
      <w:r>
        <w:t xml:space="preserve">We simulated 100 independent Monte Carlo realizations of 2D cellular automata lattices (</w:t>
      </w:r>
      <m:oMath>
        <m:r>
          <m:t>N</m:t>
        </m:r>
        <m:r>
          <m:rPr>
            <m:sty m:val="p"/>
          </m:rPr>
          <m:t>=</m:t>
        </m:r>
        <m:r>
          <m:t>2</m:t>
        </m:r>
        <m:r>
          <m:rPr>
            <m:sty m:val="p"/>
          </m:rPr>
          <m:t>,</m:t>
        </m:r>
        <m:r>
          <m:t>025</m:t>
        </m:r>
      </m:oMath>
      <w:r>
        <w:t xml:space="preserve"> </w:t>
      </w:r>
      <w:r>
        <w:t xml:space="preserve">spots per trial) under two defined biological regimes: Condition A (True Evolutionary Game, where local proliferation fitness is driven by frequency-dependent Hawk-Dove payoffs plus noise) versus Condition B (No Game / Spatial Crowding Null, where fitness is governed by cell-autonomous intrinsic growth and regional carrying capacity crowding,</w:t>
      </w:r>
      <w:r>
        <w:t xml:space="preserve"> </w:t>
      </w:r>
      <m:oMath>
        <m:sSub>
          <m:e>
            <m:r>
              <m:t>M</m:t>
            </m:r>
          </m:e>
          <m:sub>
            <m:r>
              <m:t>2</m:t>
            </m:r>
            <m:r>
              <m:t>c</m:t>
            </m:r>
          </m:sub>
        </m:sSub>
      </m:oMath>
      <w:r>
        <w:t xml:space="preserve"> </w:t>
      </w:r>
      <w:r>
        <w:t xml:space="preserve">null, with zero frequency-dependent cross-talk). In Condition A,</w:t>
      </w:r>
      <w:r>
        <w:t xml:space="preserve"> </w:t>
      </w:r>
      <w:r>
        <w:rPr>
          <w:i/>
          <w:iCs/>
        </w:rPr>
        <w:t xml:space="preserve">InSituGame</w:t>
      </w:r>
      <w:r>
        <w:t xml:space="preserve"> </w:t>
      </w:r>
      <w:r>
        <w:t xml:space="preserve">achieved</w:t>
      </w:r>
      <w:r>
        <w:t xml:space="preserve"> </w:t>
      </w:r>
      <m:oMath>
        <m:r>
          <m:t>100</m:t>
        </m:r>
        <m:r>
          <m:rPr>
            <m:sty m:val="p"/>
          </m:rPr>
          <m:t>%</m:t>
        </m:r>
      </m:oMath>
      <w:r>
        <w:t xml:space="preserve"> </w:t>
      </w:r>
      <w:r>
        <w:t xml:space="preserve">detection sensitivity (</w:t>
      </w:r>
      <m:oMath>
        <m:r>
          <m:rPr>
            <m:nor/>
            <m:sty m:val="p"/>
          </m:rPr>
          <m:t>TPR</m:t>
        </m:r>
        <m:r>
          <m:rPr>
            <m:sty m:val="p"/>
          </m:rPr>
          <m:t>=</m:t>
        </m:r>
        <m:r>
          <m:t>100.0</m:t>
        </m:r>
        <m:r>
          <m:rPr>
            <m:sty m:val="p"/>
          </m:rPr>
          <m:t>%</m:t>
        </m:r>
      </m:oMath>
      <w:r>
        <w:t xml:space="preserve">) and accurate payoff matrix recovery (mean relative Frobenius error</w:t>
      </w:r>
      <w:r>
        <w:t xml:space="preserve"> </w:t>
      </w:r>
      <m:oMath>
        <m:r>
          <m:rPr>
            <m:sty m:val="p"/>
          </m:rPr>
          <m:t>=</m:t>
        </m:r>
        <m:r>
          <m:t>14.94</m:t>
        </m:r>
        <m:r>
          <m:rPr>
            <m:sty m:val="p"/>
          </m:rPr>
          <m:t>%</m:t>
        </m:r>
      </m:oMath>
      <w:r>
        <w:t xml:space="preserve">, mean</w:t>
      </w:r>
      <w:r>
        <w:t xml:space="preserve"> </w:t>
      </w:r>
      <m:oMath>
        <m:sSup>
          <m:e>
            <m:r>
              <m:t>R</m:t>
            </m:r>
          </m:e>
          <m:sup>
            <m:r>
              <m:t>2</m:t>
            </m:r>
          </m:sup>
        </m:sSup>
        <m:r>
          <m:rPr>
            <m:sty m:val="p"/>
          </m:rPr>
          <m:t>=</m:t>
        </m:r>
        <m:r>
          <m:t>30.38</m:t>
        </m:r>
        <m:r>
          <m:rPr>
            <m:sty m:val="p"/>
          </m:rPr>
          <m:t>%</m:t>
        </m:r>
      </m:oMath>
      <w:r>
        <w:t xml:space="preserve">, mean</w:t>
      </w:r>
      <w:r>
        <w:t xml:space="preserve"> </w:t>
      </w:r>
      <m:oMath>
        <m:r>
          <m:t>F</m:t>
        </m:r>
        <m:r>
          <m:rPr>
            <m:sty m:val="p"/>
          </m:rPr>
          <m:t>=</m:t>
        </m:r>
        <m:r>
          <m:t>90.52</m:t>
        </m:r>
      </m:oMath>
      <w:r>
        <w:t xml:space="preserve">). In Condition B, the assay demonstrated strict False Positive Rate control (</w:t>
      </w:r>
      <m:oMath>
        <m:r>
          <m:rPr>
            <m:nor/>
            <m:sty m:val="p"/>
          </m:rPr>
          <m:t>FPR</m:t>
        </m:r>
        <m:r>
          <m:rPr>
            <m:sty m:val="p"/>
          </m:rPr>
          <m:t>=</m:t>
        </m:r>
        <m:r>
          <m:t>5.0</m:t>
        </m:r>
        <m:r>
          <m:rPr>
            <m:sty m:val="p"/>
          </m:rPr>
          <m:t>%</m:t>
        </m:r>
      </m:oMath>
      <w:r>
        <w:t xml:space="preserve">, exactly matching nominal</w:t>
      </w:r>
      <w:r>
        <w:t xml:space="preserve"> </w:t>
      </w:r>
      <m:oMath>
        <m:r>
          <m:t>α</m:t>
        </m:r>
        <m:r>
          <m:rPr>
            <m:sty m:val="p"/>
          </m:rPr>
          <m:t>=</m:t>
        </m:r>
        <m:r>
          <m:t>0.05</m:t>
        </m:r>
      </m:oMath>
      <w:r>
        <w:t xml:space="preserve">, mean</w:t>
      </w:r>
      <w:r>
        <w:t xml:space="preserve"> </w:t>
      </w:r>
      <m:oMath>
        <m:r>
          <m:t>F</m:t>
        </m:r>
        <m:r>
          <m:rPr>
            <m:sty m:val="p"/>
          </m:rPr>
          <m:t>=</m:t>
        </m:r>
        <m:r>
          <m:t>0.94</m:t>
        </m:r>
      </m:oMath>
      <w:r>
        <w:t xml:space="preserve">, non-significant). This confirms mathematically and computationally that spatial proximity and regional cellular crowding alone do not generate false-positive evolutionary game payoffs.</w:t>
      </w:r>
    </w:p>
    <w:bookmarkEnd w:id="47"/>
    <w:bookmarkStart w:id="48" w:name="X81d5c1b514ab79147271185c1d65538ad8598d8"/>
    <w:p>
      <w:pPr>
        <w:pStyle w:val="Heading3"/>
      </w:pPr>
      <w:r>
        <w:t xml:space="preserve">3.6 Independent Biological Literature Context</w:t>
      </w:r>
    </w:p>
    <w:p>
      <w:pPr>
        <w:pStyle w:val="FirstParagraph"/>
      </w:pPr>
      <w:r>
        <w:t xml:space="preserve">Our in situ findings align with independent experimental models:</w:t>
      </w:r>
      <w:r>
        <w:t xml:space="preserve"> </w:t>
      </w:r>
      <w:r>
        <w:t xml:space="preserve">-</w:t>
      </w:r>
      <w:r>
        <w:t xml:space="preserve"> </w:t>
      </w:r>
      <w:r>
        <w:rPr>
          <w:b/>
          <w:bCs/>
        </w:rPr>
        <w:t xml:space="preserve">Breast Cancer Coexistence &amp; Clonal Mutualism:</w:t>
      </w:r>
      <w:r>
        <w:t xml:space="preserve"> </w:t>
      </w:r>
      <w:r>
        <w:t xml:space="preserve">Seminal studies in clonal cooperation established that subclonal cancer populations can maintain non-cell-autonomous equilibrium through paracrine cross-talk (Marusyk et al., 2014) and microenvironmental niche remodeling (Basanta et al., 2012). In parallel, in vitro evolutionary game co-cultures in non-small cell lung cancer demonstrated that cell-cell interactions follow matrix games such as Hawk-Dove and Stag Hunt that are heavily modulated by CAFs (Kaznatcheev et al., 2019). Our</w:t>
      </w:r>
      <w:r>
        <w:t xml:space="preserve"> </w:t>
      </w:r>
      <w:r>
        <w:rPr>
          <w:i/>
          <w:iCs/>
        </w:rPr>
        <w:t xml:space="preserve">InSituGame</w:t>
      </w:r>
      <w:r>
        <w:t xml:space="preserve"> </w:t>
      </w:r>
      <w:r>
        <w:t xml:space="preserve">assay identified</w:t>
      </w:r>
      <w:r>
        <w:t xml:space="preserve"> </w:t>
      </w:r>
      <w:r>
        <w:rPr>
          <w:b/>
          <w:bCs/>
        </w:rPr>
        <w:t xml:space="preserve">Hawk-Dove / Snowdrift dynamics</w:t>
      </w:r>
      <w:r>
        <w:t xml:space="preserve"> </w:t>
      </w:r>
      <w:r>
        <w:t xml:space="preserve">in primary breast IDC (</w:t>
      </w:r>
      <m:oMath>
        <m:sSub>
          <m:e>
            <m:acc>
              <m:accPr>
                <m:chr m:val="̃"/>
              </m:accPr>
              <m:e>
                <m:r>
                  <m:t>Δ</m:t>
                </m:r>
              </m:e>
            </m:acc>
          </m:e>
          <m:sub>
            <m:r>
              <m:t>S</m:t>
            </m:r>
          </m:sub>
        </m:sSub>
        <m:r>
          <m:rPr>
            <m:sty m:val="p"/>
          </m:rPr>
          <m:t>=</m:t>
        </m:r>
        <m:r>
          <m:rPr>
            <m:sty m:val="p"/>
          </m:rPr>
          <m:t>−</m:t>
        </m:r>
        <m:r>
          <m:t>2.924</m:t>
        </m:r>
        <m:r>
          <m:rPr>
            <m:sty m:val="p"/>
          </m:rPr>
          <m:t>,</m:t>
        </m:r>
        <m:sSub>
          <m:e>
            <m:acc>
              <m:accPr>
                <m:chr m:val="̃"/>
              </m:accPr>
              <m:e>
                <m:r>
                  <m:t>Δ</m:t>
                </m:r>
              </m:e>
            </m:acc>
          </m:e>
          <m:sub>
            <m:r>
              <m:t>R</m:t>
            </m:r>
          </m:sub>
        </m:sSub>
        <m:r>
          <m:rPr>
            <m:sty m:val="p"/>
          </m:rPr>
          <m:t>=</m:t>
        </m:r>
        <m:r>
          <m:rPr>
            <m:sty m:val="p"/>
          </m:rPr>
          <m:t>−</m:t>
        </m:r>
        <m:r>
          <m:t>4.638</m:t>
        </m:r>
      </m:oMath>
      <w:r>
        <w:t xml:space="preserve">, stable internal ESS</w:t>
      </w:r>
      <w:r>
        <w:t xml:space="preserve"> </w:t>
      </w:r>
      <m:oMath>
        <m:sSup>
          <m:e>
            <m:r>
              <m:t>x</m:t>
            </m:r>
          </m:e>
          <m:sup>
            <m:r>
              <m:rPr>
                <m:sty m:val="p"/>
              </m:rPr>
              <m:t>*</m:t>
            </m:r>
          </m:sup>
        </m:sSup>
        <m:r>
          <m:rPr>
            <m:sty m:val="p"/>
          </m:rPr>
          <m:t>=</m:t>
        </m:r>
        <m:r>
          <m:t>61.3</m:t>
        </m:r>
        <m:r>
          <m:rPr>
            <m:sty m:val="p"/>
          </m:rPr>
          <m:t>%</m:t>
        </m:r>
      </m:oMath>
      <w:r>
        <w:t xml:space="preserve">), consistent with non-cell-autonomous clonal mutualism in intact human tissue.</w:t>
      </w:r>
      <w:r>
        <w:t xml:space="preserve"> </w:t>
      </w:r>
      <w:r>
        <w:t xml:space="preserve">-</w:t>
      </w:r>
      <w:r>
        <w:t xml:space="preserve"> </w:t>
      </w:r>
      <w:r>
        <w:rPr>
          <w:b/>
          <w:bCs/>
        </w:rPr>
        <w:t xml:space="preserve">Melanoma Bistability:</w:t>
      </w:r>
      <w:r>
        <w:t xml:space="preserve"> </w:t>
      </w:r>
      <w:r>
        <w:t xml:space="preserve">In targeted therapy models, spatial competition constrains resistance outgrowth (Bacevic et al., 2017; Gallaher et al., 2018; Kemper et al., 2014).</w:t>
      </w:r>
      <w:r>
        <w:t xml:space="preserve"> </w:t>
      </w:r>
      <w:r>
        <w:rPr>
          <w:i/>
          <w:iCs/>
        </w:rPr>
        <w:t xml:space="preserve">InSituGame</w:t>
      </w:r>
      <w:r>
        <w:t xml:space="preserve"> </w:t>
      </w:r>
      <w:r>
        <w:t xml:space="preserve">identified a suggestive coordination/bistable structure in Melanoma SKCM (Stag Hunt with tipping separatrix</w:t>
      </w:r>
      <w:r>
        <w:t xml:space="preserve"> </w:t>
      </w:r>
      <m:oMath>
        <m:sSub>
          <m:e>
            <m:r>
              <m:t>x</m:t>
            </m:r>
          </m:e>
          <m:sub>
            <m:r>
              <m:t>s</m:t>
            </m:r>
            <m:r>
              <m:t>e</m:t>
            </m:r>
            <m:r>
              <m:t>p</m:t>
            </m:r>
          </m:sub>
        </m:sSub>
        <m:r>
          <m:rPr>
            <m:sty m:val="p"/>
          </m:rPr>
          <m:t>=</m:t>
        </m:r>
        <m:r>
          <m:t>48.1</m:t>
        </m:r>
        <m:r>
          <m:rPr>
            <m:sty m:val="p"/>
          </m:rPr>
          <m:t>%</m:t>
        </m:r>
      </m:oMath>
      <w:r>
        <w:t xml:space="preserve">).</w:t>
      </w:r>
    </w:p>
    <w:bookmarkEnd w:id="48"/>
    <w:bookmarkStart w:id="50" w:name="X13228e952f3447509ae90f345c64ab820c369ad"/>
    <w:p>
      <w:pPr>
        <w:pStyle w:val="Heading3"/>
      </w:pPr>
      <w:r>
        <w:t xml:space="preserve">3.7 In Silico Adaptive Therapy vs Continuous MTD</w:t>
      </w:r>
    </w:p>
    <w:p>
      <w:pPr>
        <w:pStyle w:val="FirstParagraph"/>
      </w:pPr>
      <w:r>
        <w:t xml:space="preserve">Coupling the inferred absorbed matrices (</w:t>
      </w:r>
      <m:oMath>
        <m:acc>
          <m:accPr>
            <m:chr m:val="̃"/>
          </m:accPr>
          <m:e>
            <m:r>
              <m:t>A</m:t>
            </m:r>
          </m:e>
        </m:acc>
      </m:oMath>
      <w:r>
        <w:t xml:space="preserve">) with continuous replicator dynamics illustrated the theoretical consequences of different dosing strategies across simulated treatment cycles (Figure 2, right-most column):</w:t>
      </w:r>
    </w:p>
    <w:p>
      <w:pPr>
        <w:pStyle w:val="Compact"/>
        <w:numPr>
          <w:ilvl w:val="0"/>
          <w:numId w:val="1004"/>
        </w:numPr>
      </w:pPr>
      <w:r>
        <w:rPr>
          <w:b/>
          <w:bCs/>
        </w:rPr>
        <w:t xml:space="preserve">Hawk-Dove Coexistence (Breast IDC):</w:t>
      </w:r>
      <w:r>
        <w:t xml:space="preserve"> </w:t>
      </w:r>
      <w:r>
        <w:t xml:space="preserve">The patient biopsy exhibits an initial resistant fraction of</w:t>
      </w:r>
      <w:r>
        <w:t xml:space="preserve"> </w:t>
      </w:r>
      <m:oMath>
        <m:sSub>
          <m:e>
            <m:r>
              <m:t>x</m:t>
            </m:r>
          </m:e>
          <m:sub>
            <m:r>
              <m:t>R</m:t>
            </m:r>
            <m:r>
              <m:rPr>
                <m:sty m:val="p"/>
              </m:rPr>
              <m:t>,</m:t>
            </m:r>
            <m:r>
              <m:t>0</m:t>
            </m:r>
          </m:sub>
        </m:sSub>
        <m:r>
          <m:rPr>
            <m:sty m:val="p"/>
          </m:rPr>
          <m:t>=</m:t>
        </m:r>
        <m:r>
          <m:t>62.4</m:t>
        </m:r>
        <m:r>
          <m:rPr>
            <m:sty m:val="p"/>
          </m:rPr>
          <m:t>%</m:t>
        </m:r>
      </m:oMath>
      <w:r>
        <w:t xml:space="preserve"> </w:t>
      </w:r>
      <w:r>
        <w:t xml:space="preserve">(</w:t>
      </w:r>
      <m:oMath>
        <m:sSub>
          <m:e>
            <m:r>
              <m:t>x</m:t>
            </m:r>
          </m:e>
          <m:sub>
            <m:r>
              <m:t>S</m:t>
            </m:r>
            <m:r>
              <m:rPr>
                <m:sty m:val="p"/>
              </m:rPr>
              <m:t>,</m:t>
            </m:r>
            <m:r>
              <m:t>0</m:t>
            </m:r>
          </m:sub>
        </m:sSub>
        <m:r>
          <m:rPr>
            <m:sty m:val="p"/>
          </m:rPr>
          <m:t>=</m:t>
        </m:r>
        <m:r>
          <m:t>37.6</m:t>
        </m:r>
        <m:r>
          <m:rPr>
            <m:sty m:val="p"/>
          </m:rPr>
          <m:t>%</m:t>
        </m:r>
      </m:oMath>
      <w:r>
        <w:t xml:space="preserve">). The unperturbed natural coexistence equilibrium resides at</w:t>
      </w:r>
      <w:r>
        <w:t xml:space="preserve"> </w:t>
      </w:r>
      <m:oMath>
        <m:sSubSup>
          <m:e>
            <m:r>
              <m:t>x</m:t>
            </m:r>
          </m:e>
          <m:sub>
            <m:r>
              <m:t>S</m:t>
            </m:r>
          </m:sub>
          <m:sup>
            <m:r>
              <m:rPr>
                <m:sty m:val="p"/>
              </m:rPr>
              <m:t>*</m:t>
            </m:r>
          </m:sup>
        </m:sSubSup>
        <m:r>
          <m:rPr>
            <m:sty m:val="p"/>
          </m:rPr>
          <m:t>=</m:t>
        </m:r>
        <m:r>
          <m:t>61.3</m:t>
        </m:r>
        <m:r>
          <m:rPr>
            <m:sty m:val="p"/>
          </m:rPr>
          <m:t>%</m:t>
        </m:r>
      </m:oMath>
      <w:r>
        <w:t xml:space="preserve"> </w:t>
      </w:r>
      <w:r>
        <w:t xml:space="preserve">(</w:t>
      </w:r>
      <m:oMath>
        <m:sSubSup>
          <m:e>
            <m:r>
              <m:t>x</m:t>
            </m:r>
          </m:e>
          <m:sub>
            <m:r>
              <m:t>R</m:t>
            </m:r>
          </m:sub>
          <m:sup>
            <m:r>
              <m:rPr>
                <m:sty m:val="p"/>
              </m:rPr>
              <m:t>*</m:t>
            </m:r>
          </m:sup>
        </m:sSubSup>
        <m:r>
          <m:rPr>
            <m:sty m:val="p"/>
          </m:rPr>
          <m:t>=</m:t>
        </m:r>
        <m:r>
          <m:t>38.7</m:t>
        </m:r>
        <m:r>
          <m:rPr>
            <m:sty m:val="p"/>
          </m:rPr>
          <m:t>%</m:t>
        </m:r>
      </m:oMath>
      <w:r>
        <w:t xml:space="preserve">). Under continuous MTD chemotherapy (</w:t>
      </w:r>
      <m:oMath>
        <m:sSub>
          <m:e>
            <m:r>
              <m:t>d</m:t>
            </m:r>
          </m:e>
          <m:sub>
            <m:r>
              <m:t>S</m:t>
            </m:r>
          </m:sub>
        </m:sSub>
        <m:r>
          <m:rPr>
            <m:sty m:val="p"/>
          </m:rPr>
          <m:t>=</m:t>
        </m:r>
        <m:r>
          <m:t>1.2</m:t>
        </m:r>
        <m:r>
          <m:rPr>
            <m:sty m:val="p"/>
          </m:rPr>
          <m:t>,</m:t>
        </m:r>
        <m:sSub>
          <m:e>
            <m:r>
              <m:t>d</m:t>
            </m:r>
          </m:e>
          <m:sub>
            <m:r>
              <m:t>R</m:t>
            </m:r>
          </m:sub>
        </m:sSub>
        <m:r>
          <m:rPr>
            <m:sty m:val="p"/>
          </m:rPr>
          <m:t>=</m:t>
        </m:r>
        <m:r>
          <m:t>0.0</m:t>
        </m:r>
      </m:oMath>
      <w:r>
        <w:t xml:space="preserve">), the stable interior equilibrium shifts toward higher resistance:</w:t>
      </w:r>
      <w:r>
        <w:t xml:space="preserve"> </w:t>
      </w:r>
      <m:oMath>
        <m:sSubSup>
          <m:e>
            <m:r>
              <m:t>x</m:t>
            </m:r>
          </m:e>
          <m:sub>
            <m:r>
              <m:t>S</m:t>
            </m:r>
          </m:sub>
          <m:sup>
            <m:r>
              <m:rPr>
                <m:sty m:val="p"/>
              </m:rPr>
              <m:t>*</m:t>
            </m:r>
          </m:sup>
        </m:sSubSup>
        <m:d>
          <m:dPr>
            <m:begChr m:val="("/>
            <m:endChr m:val=")"/>
            <m:sepChr m:val=""/>
            <m:grow/>
          </m:dPr>
          <m:e>
            <m:r>
              <m:t>D</m:t>
            </m:r>
          </m:e>
        </m:d>
        <m:r>
          <m:rPr>
            <m:sty m:val="p"/>
          </m:rPr>
          <m:t>=</m:t>
        </m:r>
        <m:r>
          <m:t>45.5</m:t>
        </m:r>
        <m:r>
          <m:rPr>
            <m:sty m:val="p"/>
          </m:rPr>
          <m:t>%</m:t>
        </m:r>
      </m:oMath>
      <w:r>
        <w:t xml:space="preserve"> </w:t>
      </w:r>
      <w:r>
        <w:t xml:space="preserve">(</w:t>
      </w:r>
      <m:oMath>
        <m:sSubSup>
          <m:e>
            <m:r>
              <m:t>x</m:t>
            </m:r>
          </m:e>
          <m:sub>
            <m:r>
              <m:t>R</m:t>
            </m:r>
          </m:sub>
          <m:sup>
            <m:r>
              <m:rPr>
                <m:sty m:val="p"/>
              </m:rPr>
              <m:t>*</m:t>
            </m:r>
          </m:sup>
        </m:sSubSup>
        <m:d>
          <m:dPr>
            <m:begChr m:val="("/>
            <m:endChr m:val=")"/>
            <m:sepChr m:val=""/>
            <m:grow/>
          </m:dPr>
          <m:e>
            <m:r>
              <m:t>D</m:t>
            </m:r>
          </m:e>
        </m:d>
        <m:r>
          <m:rPr>
            <m:sty m:val="p"/>
          </m:rPr>
          <m:t>=</m:t>
        </m:r>
        <m:r>
          <m:t>54.5</m:t>
        </m:r>
        <m:r>
          <m:rPr>
            <m:sty m:val="p"/>
          </m:rPr>
          <m:t>%</m:t>
        </m:r>
      </m:oMath>
      <w:r>
        <w:t xml:space="preserve">). In Figure 2 (Col 4), the continuous MTD trajectory relaxes from</w:t>
      </w:r>
      <w:r>
        <w:t xml:space="preserve"> </w:t>
      </w:r>
      <m:oMath>
        <m:sSub>
          <m:e>
            <m:r>
              <m:t>x</m:t>
            </m:r>
          </m:e>
          <m:sub>
            <m:r>
              <m:t>R</m:t>
            </m:r>
            <m:r>
              <m:rPr>
                <m:sty m:val="p"/>
              </m:rPr>
              <m:t>,</m:t>
            </m:r>
            <m:r>
              <m:t>0</m:t>
            </m:r>
          </m:sub>
        </m:sSub>
        <m:r>
          <m:rPr>
            <m:sty m:val="p"/>
          </m:rPr>
          <m:t>=</m:t>
        </m:r>
        <m:r>
          <m:t>62.4</m:t>
        </m:r>
        <m:r>
          <m:rPr>
            <m:sty m:val="p"/>
          </m:rPr>
          <m:t>%</m:t>
        </m:r>
      </m:oMath>
      <w:r>
        <w:t xml:space="preserve"> </w:t>
      </w:r>
      <w:r>
        <w:t xml:space="preserve">down toward</w:t>
      </w:r>
      <w:r>
        <w:t xml:space="preserve"> </w:t>
      </w:r>
      <m:oMath>
        <m:r>
          <m:t>54.5</m:t>
        </m:r>
        <m:r>
          <m:rPr>
            <m:sty m:val="p"/>
          </m:rPr>
          <m:t>%</m:t>
        </m:r>
      </m:oMath>
      <w:r>
        <w:t xml:space="preserve">, rather than eradicating the tumor. In contrast, simulated adaptive therapy with a threshold of</w:t>
      </w:r>
      <w:r>
        <w:t xml:space="preserve"> </w:t>
      </w:r>
      <m:oMath>
        <m:sSubSup>
          <m:e>
            <m:r>
              <m:t>x</m:t>
            </m:r>
          </m:e>
          <m:sub>
            <m:r>
              <m:t>R</m:t>
            </m:r>
          </m:sub>
          <m:sup>
            <m:r>
              <m:rPr>
                <m:nor/>
                <m:sty m:val="p"/>
              </m:rPr>
              <m:t>thresh</m:t>
            </m:r>
          </m:sup>
        </m:sSubSup>
        <m:r>
          <m:rPr>
            <m:sty m:val="p"/>
          </m:rPr>
          <m:t>=</m:t>
        </m:r>
        <m:r>
          <m:t>1</m:t>
        </m:r>
        <m:r>
          <m:rPr>
            <m:sty m:val="p"/>
          </m:rPr>
          <m:t>−</m:t>
        </m:r>
        <m:r>
          <m:t>0.613</m:t>
        </m:r>
        <m:r>
          <m:rPr>
            <m:sty m:val="p"/>
          </m:rPr>
          <m:t>=</m:t>
        </m:r>
        <m:r>
          <m:t>0.387</m:t>
        </m:r>
      </m:oMath>
      <w:r>
        <w:t xml:space="preserve"> </w:t>
      </w:r>
      <w:r>
        <w:t xml:space="preserve">conditionally halts treatment when resistance drops, stabilizing the subclonal mixture near its natural lower-resistance state (</w:t>
      </w:r>
      <m:oMath>
        <m:sSubSup>
          <m:e>
            <m:r>
              <m:t>x</m:t>
            </m:r>
          </m:e>
          <m:sub>
            <m:r>
              <m:t>R</m:t>
            </m:r>
          </m:sub>
          <m:sup>
            <m:r>
              <m:rPr>
                <m:sty m:val="p"/>
              </m:rPr>
              <m:t>*</m:t>
            </m:r>
          </m:sup>
        </m:sSubSup>
        <m:r>
          <m:rPr>
            <m:sty m:val="p"/>
          </m:rPr>
          <m:t>=</m:t>
        </m:r>
        <m:r>
          <m:t>38.7</m:t>
        </m:r>
        <m:r>
          <m:rPr>
            <m:sty m:val="p"/>
          </m:rPr>
          <m:t>%</m:t>
        </m:r>
      </m:oMath>
      <w:r>
        <w:t xml:space="preserve">).</w:t>
      </w:r>
    </w:p>
    <w:p>
      <w:pPr>
        <w:pStyle w:val="Compact"/>
        <w:numPr>
          <w:ilvl w:val="0"/>
          <w:numId w:val="1004"/>
        </w:numPr>
      </w:pPr>
      <w:r>
        <w:rPr>
          <w:b/>
          <w:bCs/>
        </w:rPr>
        <w:t xml:space="preserve">Suggestive Stag Hunt Bistability (Melanoma SKCM):</w:t>
      </w:r>
      <w:r>
        <w:t xml:space="preserve"> </w:t>
      </w:r>
      <w:r>
        <w:t xml:space="preserve">The patient biopsy exhibits</w:t>
      </w:r>
      <w:r>
        <w:t xml:space="preserve"> </w:t>
      </w:r>
      <m:oMath>
        <m:sSub>
          <m:e>
            <m:r>
              <m:t>x</m:t>
            </m:r>
          </m:e>
          <m:sub>
            <m:r>
              <m:t>S</m:t>
            </m:r>
            <m:r>
              <m:rPr>
                <m:sty m:val="p"/>
              </m:rPr>
              <m:t>,</m:t>
            </m:r>
            <m:r>
              <m:t>0</m:t>
            </m:r>
          </m:sub>
        </m:sSub>
        <m:r>
          <m:rPr>
            <m:sty m:val="p"/>
          </m:rPr>
          <m:t>=</m:t>
        </m:r>
        <m:r>
          <m:t>64.7</m:t>
        </m:r>
        <m:r>
          <m:rPr>
            <m:sty m:val="p"/>
          </m:rPr>
          <m:t>%</m:t>
        </m:r>
      </m:oMath>
      <w:r>
        <w:t xml:space="preserve"> </w:t>
      </w:r>
      <w:r>
        <w:t xml:space="preserve">and</w:t>
      </w:r>
      <w:r>
        <w:t xml:space="preserve"> </w:t>
      </w:r>
      <m:oMath>
        <m:sSub>
          <m:e>
            <m:r>
              <m:t>x</m:t>
            </m:r>
          </m:e>
          <m:sub>
            <m:r>
              <m:t>R</m:t>
            </m:r>
            <m:r>
              <m:rPr>
                <m:sty m:val="p"/>
              </m:rPr>
              <m:t>,</m:t>
            </m:r>
            <m:r>
              <m:t>0</m:t>
            </m:r>
          </m:sub>
        </m:sSub>
        <m:r>
          <m:rPr>
            <m:sty m:val="p"/>
          </m:rPr>
          <m:t>=</m:t>
        </m:r>
        <m:r>
          <m:t>35.3</m:t>
        </m:r>
        <m:r>
          <m:rPr>
            <m:sty m:val="p"/>
          </m:rPr>
          <m:t>%</m:t>
        </m:r>
      </m:oMath>
      <w:r>
        <w:t xml:space="preserve">. The unperturbed tipping separatrix is</w:t>
      </w:r>
      <w:r>
        <w:t xml:space="preserve"> </w:t>
      </w:r>
      <m:oMath>
        <m:sSub>
          <m:e>
            <m:r>
              <m:t>x</m:t>
            </m:r>
          </m:e>
          <m:sub>
            <m:r>
              <m:t>S</m:t>
            </m:r>
            <m:r>
              <m:rPr>
                <m:sty m:val="p"/>
              </m:rPr>
              <m:t>,</m:t>
            </m:r>
            <m:r>
              <m:t>s</m:t>
            </m:r>
            <m:r>
              <m:t>e</m:t>
            </m:r>
            <m:r>
              <m:t>p</m:t>
            </m:r>
          </m:sub>
        </m:sSub>
        <m:r>
          <m:rPr>
            <m:sty m:val="p"/>
          </m:rPr>
          <m:t>=</m:t>
        </m:r>
        <m:r>
          <m:t>48.1</m:t>
        </m:r>
        <m:r>
          <m:rPr>
            <m:sty m:val="p"/>
          </m:rPr>
          <m:t>%</m:t>
        </m:r>
      </m:oMath>
      <w:r>
        <w:t xml:space="preserve"> </w:t>
      </w:r>
      <w:r>
        <w:t xml:space="preserve">(</w:t>
      </w:r>
      <m:oMath>
        <m:sSub>
          <m:e>
            <m:r>
              <m:t>x</m:t>
            </m:r>
          </m:e>
          <m:sub>
            <m:r>
              <m:t>R</m:t>
            </m:r>
            <m:r>
              <m:rPr>
                <m:sty m:val="p"/>
              </m:rPr>
              <m:t>,</m:t>
            </m:r>
            <m:r>
              <m:t>s</m:t>
            </m:r>
            <m:r>
              <m:t>e</m:t>
            </m:r>
            <m:r>
              <m:t>p</m:t>
            </m:r>
          </m:sub>
        </m:sSub>
        <m:r>
          <m:rPr>
            <m:sty m:val="p"/>
          </m:rPr>
          <m:t>=</m:t>
        </m:r>
        <m:r>
          <m:t>51.9</m:t>
        </m:r>
        <m:r>
          <m:rPr>
            <m:sty m:val="p"/>
          </m:rPr>
          <m:t>%</m:t>
        </m:r>
      </m:oMath>
      <w:r>
        <w:t xml:space="preserve">). Because</w:t>
      </w:r>
      <w:r>
        <w:t xml:space="preserve"> </w:t>
      </w:r>
      <m:oMath>
        <m:sSub>
          <m:e>
            <m:r>
              <m:t>x</m:t>
            </m:r>
          </m:e>
          <m:sub>
            <m:r>
              <m:t>S</m:t>
            </m:r>
            <m:r>
              <m:rPr>
                <m:sty m:val="p"/>
              </m:rPr>
              <m:t>,</m:t>
            </m:r>
            <m:r>
              <m:t>0</m:t>
            </m:r>
          </m:sub>
        </m:sSub>
        <m:r>
          <m:rPr>
            <m:sty m:val="p"/>
          </m:rPr>
          <m:t>&gt;</m:t>
        </m:r>
        <m:r>
          <m:t>48.1</m:t>
        </m:r>
        <m:r>
          <m:rPr>
            <m:sty m:val="p"/>
          </m:rPr>
          <m:t>%</m:t>
        </m:r>
      </m:oMath>
      <w:r>
        <w:t xml:space="preserve">, the untreated tumor naturally resides in the sensitive-dominated attractor basin. Under continuous MTD chemotherapy (</w:t>
      </w:r>
      <m:oMath>
        <m:sSub>
          <m:e>
            <m:r>
              <m:t>d</m:t>
            </m:r>
          </m:e>
          <m:sub>
            <m:r>
              <m:t>S</m:t>
            </m:r>
          </m:sub>
        </m:sSub>
        <m:r>
          <m:rPr>
            <m:sty m:val="p"/>
          </m:rPr>
          <m:t>=</m:t>
        </m:r>
        <m:r>
          <m:t>1.2</m:t>
        </m:r>
        <m:r>
          <m:rPr>
            <m:sty m:val="p"/>
          </m:rPr>
          <m:t>,</m:t>
        </m:r>
        <m:sSub>
          <m:e>
            <m:r>
              <m:t>d</m:t>
            </m:r>
          </m:e>
          <m:sub>
            <m:r>
              <m:t>R</m:t>
            </m:r>
          </m:sub>
        </m:sSub>
        <m:r>
          <m:rPr>
            <m:sty m:val="p"/>
          </m:rPr>
          <m:t>=</m:t>
        </m:r>
        <m:r>
          <m:t>0.0</m:t>
        </m:r>
      </m:oMath>
      <w:r>
        <w:t xml:space="preserve">), the effective separatrix shifts dramatically upward:</w:t>
      </w:r>
    </w:p>
    <w:p>
      <w:pPr>
        <w:pStyle w:val="Compact"/>
      </w:pPr>
      <m:oMathPara>
        <m:oMathParaPr>
          <m:jc m:val="center"/>
        </m:oMathParaPr>
        <m:oMath>
          <m:sSub>
            <m:e>
              <m:r>
                <m:t>x</m:t>
              </m:r>
            </m:e>
            <m:sub>
              <m:r>
                <m:t>S</m:t>
              </m:r>
              <m:r>
                <m:rPr>
                  <m:sty m:val="p"/>
                </m:rPr>
                <m:t>,</m:t>
              </m:r>
              <m:r>
                <m:t>s</m:t>
              </m:r>
              <m:r>
                <m:t>e</m:t>
              </m:r>
              <m:r>
                <m:t>p</m:t>
              </m:r>
            </m:sub>
          </m:sSub>
          <m:d>
            <m:dPr>
              <m:begChr m:val="("/>
              <m:endChr m:val=")"/>
              <m:sepChr m:val=""/>
              <m:grow/>
            </m:dPr>
            <m:e>
              <m:r>
                <m:t>D</m:t>
              </m:r>
            </m:e>
          </m:d>
          <m:r>
            <m:rPr>
              <m:sty m:val="p"/>
            </m:rPr>
            <m:t>=</m:t>
          </m:r>
          <m:f>
            <m:fPr>
              <m:type m:val="bar"/>
            </m:fPr>
            <m:num>
              <m:sSub>
                <m:e>
                  <m:acc>
                    <m:accPr>
                      <m:chr m:val="̃"/>
                    </m:accPr>
                    <m:e>
                      <m:r>
                        <m:t>Δ</m:t>
                      </m:r>
                    </m:e>
                  </m:acc>
                </m:e>
                <m:sub>
                  <m:r>
                    <m:t>R</m:t>
                  </m:r>
                </m:sub>
              </m:sSub>
              <m:r>
                <m:rPr>
                  <m:sty m:val="p"/>
                </m:rPr>
                <m:t>+</m:t>
              </m:r>
              <m:r>
                <m:t>1.2</m:t>
              </m:r>
            </m:num>
            <m:den>
              <m:sSub>
                <m:e>
                  <m:acc>
                    <m:accPr>
                      <m:chr m:val="̃"/>
                    </m:accPr>
                    <m:e>
                      <m:r>
                        <m:t>Δ</m:t>
                      </m:r>
                    </m:e>
                  </m:acc>
                </m:e>
                <m:sub>
                  <m:r>
                    <m:t>S</m:t>
                  </m:r>
                </m:sub>
              </m:sSub>
              <m:r>
                <m:rPr>
                  <m:sty m:val="p"/>
                </m:rPr>
                <m:t>+</m:t>
              </m:r>
              <m:sSub>
                <m:e>
                  <m:acc>
                    <m:accPr>
                      <m:chr m:val="̃"/>
                    </m:accPr>
                    <m:e>
                      <m:r>
                        <m:t>Δ</m:t>
                      </m:r>
                    </m:e>
                  </m:acc>
                </m:e>
                <m:sub>
                  <m:r>
                    <m:t>R</m:t>
                  </m:r>
                </m:sub>
              </m:sSub>
            </m:den>
          </m:f>
          <m:r>
            <m:rPr>
              <m:sty m:val="p"/>
            </m:rPr>
            <m:t>=</m:t>
          </m:r>
          <m:f>
            <m:fPr>
              <m:type m:val="bar"/>
            </m:fPr>
            <m:num>
              <m:r>
                <m:t>1.515</m:t>
              </m:r>
              <m:r>
                <m:rPr>
                  <m:sty m:val="p"/>
                </m:rPr>
                <m:t>+</m:t>
              </m:r>
              <m:r>
                <m:t>1.2</m:t>
              </m:r>
            </m:num>
            <m:den>
              <m:r>
                <m:t>3.148</m:t>
              </m:r>
            </m:den>
          </m:f>
          <m:r>
            <m:rPr>
              <m:sty m:val="p"/>
            </m:rPr>
            <m:t>≈</m:t>
          </m:r>
          <m:r>
            <m:t>86.2</m:t>
          </m:r>
          <m:r>
            <m:rPr>
              <m:sty m:val="p"/>
            </m:rPr>
            <m:t>%</m:t>
          </m:r>
        </m:oMath>
      </m:oMathPara>
    </w:p>
    <w:p>
      <w:pPr>
        <w:pStyle w:val="Compact"/>
        <w:numPr>
          <w:ilvl w:val="0"/>
          <w:numId w:val="1000"/>
        </w:numPr>
      </w:pPr>
      <w:r>
        <w:t xml:space="preserve">which corresponds on the resistant axis to a collapse of the separatrix down to</w:t>
      </w:r>
      <w:r>
        <w:t xml:space="preserve"> </w:t>
      </w:r>
      <m:oMath>
        <m:sSub>
          <m:e>
            <m:r>
              <m:t>x</m:t>
            </m:r>
          </m:e>
          <m:sub>
            <m:r>
              <m:t>R</m:t>
            </m:r>
            <m:r>
              <m:rPr>
                <m:sty m:val="p"/>
              </m:rPr>
              <m:t>,</m:t>
            </m:r>
            <m:r>
              <m:t>s</m:t>
            </m:r>
            <m:r>
              <m:t>e</m:t>
            </m:r>
            <m:r>
              <m:t>p</m:t>
            </m:r>
          </m:sub>
        </m:sSub>
        <m:d>
          <m:dPr>
            <m:begChr m:val="("/>
            <m:endChr m:val=")"/>
            <m:sepChr m:val=""/>
            <m:grow/>
          </m:dPr>
          <m:e>
            <m:r>
              <m:t>D</m:t>
            </m:r>
          </m:e>
        </m:d>
        <m:r>
          <m:rPr>
            <m:sty m:val="p"/>
          </m:rPr>
          <m:t>≈</m:t>
        </m:r>
        <m:r>
          <m:t>13.8</m:t>
        </m:r>
        <m:r>
          <m:rPr>
            <m:sty m:val="p"/>
          </m:rPr>
          <m:t>%</m:t>
        </m:r>
      </m:oMath>
      <w:r>
        <w:t xml:space="preserve">. Because the patient’s initial sensitive frequency (</w:t>
      </w:r>
      <m:oMath>
        <m:sSub>
          <m:e>
            <m:r>
              <m:t>x</m:t>
            </m:r>
          </m:e>
          <m:sub>
            <m:r>
              <m:t>S</m:t>
            </m:r>
            <m:r>
              <m:rPr>
                <m:sty m:val="p"/>
              </m:rPr>
              <m:t>,</m:t>
            </m:r>
            <m:r>
              <m:t>0</m:t>
            </m:r>
          </m:sub>
        </m:sSub>
        <m:r>
          <m:rPr>
            <m:sty m:val="p"/>
          </m:rPr>
          <m:t>=</m:t>
        </m:r>
        <m:r>
          <m:t>64.7</m:t>
        </m:r>
        <m:r>
          <m:rPr>
            <m:sty m:val="p"/>
          </m:rPr>
          <m:t>%</m:t>
        </m:r>
      </m:oMath>
      <w:r>
        <w:t xml:space="preserve">) is now well below the treatment-elevated threshold (</w:t>
      </w:r>
      <m:oMath>
        <m:r>
          <m:t>86.2</m:t>
        </m:r>
        <m:r>
          <m:rPr>
            <m:sty m:val="p"/>
          </m:rPr>
          <m:t>%</m:t>
        </m:r>
      </m:oMath>
      <w:r>
        <w:t xml:space="preserve">), continuous MTD inadvertently forces the tumor across the separatrix into the resistant attractor basin, driving</w:t>
      </w:r>
      <w:r>
        <w:t xml:space="preserve"> </w:t>
      </w:r>
      <m:oMath>
        <m:sSub>
          <m:e>
            <m:r>
              <m:t>x</m:t>
            </m:r>
          </m:e>
          <m:sub>
            <m:r>
              <m:t>R</m:t>
            </m:r>
          </m:sub>
        </m:sSub>
        <m:r>
          <m:rPr>
            <m:sty m:val="p"/>
          </m:rPr>
          <m:t>→</m:t>
        </m:r>
        <m:r>
          <m:t>100</m:t>
        </m:r>
        <m:r>
          <m:rPr>
            <m:sty m:val="p"/>
          </m:rPr>
          <m:t>%</m:t>
        </m:r>
      </m:oMath>
      <w:r>
        <w:t xml:space="preserve"> </w:t>
      </w:r>
      <w:r>
        <w:t xml:space="preserve">(competitive release). Conversely, adaptive therapy pulses treatment conditionally whenever</w:t>
      </w:r>
      <w:r>
        <w:t xml:space="preserve"> </w:t>
      </w:r>
      <m:oMath>
        <m:sSub>
          <m:e>
            <m:r>
              <m:t>x</m:t>
            </m:r>
          </m:e>
          <m:sub>
            <m:r>
              <m:t>R</m:t>
            </m:r>
          </m:sub>
        </m:sSub>
      </m:oMath>
      <w:r>
        <w:t xml:space="preserve"> </w:t>
      </w:r>
      <w:r>
        <w:t xml:space="preserve">approaches the safety threshold (</w:t>
      </w:r>
      <m:oMath>
        <m:sSubSup>
          <m:e>
            <m:r>
              <m:t>x</m:t>
            </m:r>
          </m:e>
          <m:sub>
            <m:r>
              <m:t>R</m:t>
            </m:r>
          </m:sub>
          <m:sup>
            <m:r>
              <m:rPr>
                <m:nor/>
                <m:sty m:val="p"/>
              </m:rPr>
              <m:t>thresh</m:t>
            </m:r>
          </m:sup>
        </m:sSubSup>
        <m:r>
          <m:rPr>
            <m:sty m:val="p"/>
          </m:rPr>
          <m:t>=</m:t>
        </m:r>
        <m:r>
          <m:t>0.42</m:t>
        </m:r>
      </m:oMath>
      <w:r>
        <w:t xml:space="preserve">), maintaining</w:t>
      </w:r>
      <w:r>
        <w:t xml:space="preserve"> </w:t>
      </w:r>
      <m:oMath>
        <m:sSub>
          <m:e>
            <m:r>
              <m:t>x</m:t>
            </m:r>
          </m:e>
          <m:sub>
            <m:r>
              <m:t>S</m:t>
            </m:r>
          </m:sub>
        </m:sSub>
      </m:oMath>
      <w:r>
        <w:t xml:space="preserve"> </w:t>
      </w:r>
      <w:r>
        <w:t xml:space="preserve">safely above the tipping point and averting resistance fixation.</w:t>
      </w:r>
    </w:p>
    <w:bookmarkStart w:id="49" w:name="X052bc1952311578e95f9ee43d5f94be34091185"/>
    <w:p>
      <w:pPr>
        <w:pStyle w:val="Heading4"/>
      </w:pPr>
      <w:r>
        <w:t xml:space="preserve">Sensitivity of Induced Separatrices to Assumed Cytotoxicity Differentials</w:t>
      </w:r>
    </w:p>
    <w:p>
      <w:pPr>
        <w:pStyle w:val="FirstParagraph"/>
      </w:pPr>
      <w:r>
        <w:t xml:space="preserve">We note that when exploring therapy-induced game shifts (e.g. converting sensitive dominance to an induced Stag Hunt regime), effective selective advantages follow</w:t>
      </w:r>
      <w:r>
        <w:t xml:space="preserve"> </w:t>
      </w:r>
      <m:oMath>
        <m:sSub>
          <m:e>
            <m:acc>
              <m:accPr>
                <m:chr m:val="̃"/>
              </m:accPr>
              <m:e>
                <m:r>
                  <m:t>Δ</m:t>
                </m:r>
              </m:e>
            </m:acc>
          </m:e>
          <m:sub>
            <m:r>
              <m:t>S</m:t>
            </m:r>
          </m:sub>
        </m:sSub>
        <m:d>
          <m:dPr>
            <m:begChr m:val="("/>
            <m:endChr m:val=")"/>
            <m:sepChr m:val=""/>
            <m:grow/>
          </m:dPr>
          <m:e>
            <m:r>
              <m:t>D</m:t>
            </m:r>
          </m:e>
        </m:d>
        <m:r>
          <m:rPr>
            <m:sty m:val="p"/>
          </m:rPr>
          <m:t>=</m:t>
        </m:r>
        <m:sSub>
          <m:e>
            <m:acc>
              <m:accPr>
                <m:chr m:val="̃"/>
              </m:accPr>
              <m:e>
                <m:r>
                  <m:t>Δ</m:t>
                </m:r>
              </m:e>
            </m:acc>
          </m:e>
          <m:sub>
            <m:r>
              <m:t>S</m:t>
            </m:r>
          </m:sub>
        </m:sSub>
        <m:r>
          <m:rPr>
            <m:sty m:val="p"/>
          </m:rPr>
          <m:t>−</m:t>
        </m:r>
        <m:r>
          <m:t>δ</m:t>
        </m:r>
      </m:oMath>
      <w:r>
        <w:t xml:space="preserve"> </w:t>
      </w:r>
      <w:r>
        <w:t xml:space="preserve">and</w:t>
      </w:r>
      <w:r>
        <w:t xml:space="preserve"> </w:t>
      </w:r>
      <m:oMath>
        <m:sSub>
          <m:e>
            <m:acc>
              <m:accPr>
                <m:chr m:val="̃"/>
              </m:accPr>
              <m:e>
                <m:r>
                  <m:t>Δ</m:t>
                </m:r>
              </m:e>
            </m:acc>
          </m:e>
          <m:sub>
            <m:r>
              <m:t>R</m:t>
            </m:r>
          </m:sub>
        </m:sSub>
        <m:d>
          <m:dPr>
            <m:begChr m:val="("/>
            <m:endChr m:val=")"/>
            <m:sepChr m:val=""/>
            <m:grow/>
          </m:dPr>
          <m:e>
            <m:r>
              <m:t>D</m:t>
            </m:r>
          </m:e>
        </m:d>
        <m:r>
          <m:rPr>
            <m:sty m:val="p"/>
          </m:rPr>
          <m:t>=</m:t>
        </m:r>
        <m:sSub>
          <m:e>
            <m:acc>
              <m:accPr>
                <m:chr m:val="̃"/>
              </m:accPr>
              <m:e>
                <m:r>
                  <m:t>Δ</m:t>
                </m:r>
              </m:e>
            </m:acc>
          </m:e>
          <m:sub>
            <m:r>
              <m:t>R</m:t>
            </m:r>
          </m:sub>
        </m:sSub>
        <m:r>
          <m:rPr>
            <m:sty m:val="p"/>
          </m:rPr>
          <m:t>+</m:t>
        </m:r>
        <m:r>
          <m:t>δ</m:t>
        </m:r>
      </m:oMath>
      <w:r>
        <w:t xml:space="preserve">, where</w:t>
      </w:r>
      <w:r>
        <w:t xml:space="preserve"> </w:t>
      </w:r>
      <m:oMath>
        <m:r>
          <m:t>δ</m:t>
        </m:r>
        <m:r>
          <m:rPr>
            <m:sty m:val="p"/>
          </m:rPr>
          <m:t>=</m:t>
        </m:r>
        <m:sSub>
          <m:e>
            <m:r>
              <m:t>d</m:t>
            </m:r>
          </m:e>
          <m:sub>
            <m:r>
              <m:t>S</m:t>
            </m:r>
          </m:sub>
        </m:sSub>
        <m:r>
          <m:rPr>
            <m:sty m:val="p"/>
          </m:rPr>
          <m:t>−</m:t>
        </m:r>
        <m:sSub>
          <m:e>
            <m:r>
              <m:t>d</m:t>
            </m:r>
          </m:e>
          <m:sub>
            <m:r>
              <m:t>R</m:t>
            </m:r>
          </m:sub>
        </m:sSub>
      </m:oMath>
      <w:r>
        <w:t xml:space="preserve">. The induced tipping separatrix satisfies:</w:t>
      </w:r>
    </w:p>
    <w:p>
      <w:pPr>
        <w:pStyle w:val="BodyText"/>
      </w:pPr>
      <m:oMathPara>
        <m:oMathParaPr>
          <m:jc m:val="center"/>
        </m:oMathParaPr>
        <m:oMath>
          <m:sSub>
            <m:e>
              <m:r>
                <m:t>x</m:t>
              </m:r>
            </m:e>
            <m:sub>
              <m:r>
                <m:t>s</m:t>
              </m:r>
              <m:r>
                <m:t>e</m:t>
              </m:r>
              <m:r>
                <m:t>p</m:t>
              </m:r>
            </m:sub>
          </m:sSub>
          <m:d>
            <m:dPr>
              <m:begChr m:val="("/>
              <m:endChr m:val=")"/>
              <m:sepChr m:val=""/>
              <m:grow/>
            </m:dPr>
            <m:e>
              <m:r>
                <m:t>δ</m:t>
              </m:r>
            </m:e>
          </m:d>
          <m:r>
            <m:rPr>
              <m:sty m:val="p"/>
            </m:rPr>
            <m:t>=</m:t>
          </m:r>
          <m:f>
            <m:fPr>
              <m:type m:val="bar"/>
            </m:fPr>
            <m:num>
              <m:sSub>
                <m:e>
                  <m:acc>
                    <m:accPr>
                      <m:chr m:val="̃"/>
                    </m:accPr>
                    <m:e>
                      <m:r>
                        <m:t>Δ</m:t>
                      </m:r>
                    </m:e>
                  </m:acc>
                </m:e>
                <m:sub>
                  <m:r>
                    <m:t>R</m:t>
                  </m:r>
                </m:sub>
              </m:sSub>
              <m:r>
                <m:rPr>
                  <m:sty m:val="p"/>
                </m:rPr>
                <m:t>+</m:t>
              </m:r>
              <m:r>
                <m:t>δ</m:t>
              </m:r>
            </m:num>
            <m:den>
              <m:sSub>
                <m:e>
                  <m:acc>
                    <m:accPr>
                      <m:chr m:val="̃"/>
                    </m:accPr>
                    <m:e>
                      <m:r>
                        <m:t>Δ</m:t>
                      </m:r>
                    </m:e>
                  </m:acc>
                </m:e>
                <m:sub>
                  <m:r>
                    <m:t>S</m:t>
                  </m:r>
                </m:sub>
              </m:sSub>
              <m:r>
                <m:rPr>
                  <m:sty m:val="p"/>
                </m:rPr>
                <m:t>+</m:t>
              </m:r>
              <m:sSub>
                <m:e>
                  <m:acc>
                    <m:accPr>
                      <m:chr m:val="̃"/>
                    </m:accPr>
                    <m:e>
                      <m:r>
                        <m:t>Δ</m:t>
                      </m:r>
                    </m:e>
                  </m:acc>
                </m:e>
                <m:sub>
                  <m:r>
                    <m:t>R</m:t>
                  </m:r>
                </m:sub>
              </m:sSub>
            </m:den>
          </m:f>
        </m:oMath>
      </m:oMathPara>
    </w:p>
    <w:p>
      <w:pPr>
        <w:pStyle w:val="FirstParagraph"/>
      </w:pPr>
      <w:r>
        <w:t xml:space="preserve">In the Lung SCC specimen (</w:t>
      </w:r>
      <m:oMath>
        <m:sSub>
          <m:e>
            <m:acc>
              <m:accPr>
                <m:chr m:val="̃"/>
              </m:accPr>
              <m:e>
                <m:r>
                  <m:t>Δ</m:t>
                </m:r>
              </m:e>
            </m:acc>
          </m:e>
          <m:sub>
            <m:r>
              <m:t>S</m:t>
            </m:r>
          </m:sub>
        </m:sSub>
        <m:r>
          <m:rPr>
            <m:sty m:val="p"/>
          </m:rPr>
          <m:t>=</m:t>
        </m:r>
        <m:r>
          <m:rPr>
            <m:sty m:val="p"/>
          </m:rPr>
          <m:t>+</m:t>
        </m:r>
        <m:r>
          <m:t>0.983</m:t>
        </m:r>
        <m:r>
          <m:rPr>
            <m:sty m:val="p"/>
          </m:rPr>
          <m:t>,</m:t>
        </m:r>
        <m:sSub>
          <m:e>
            <m:acc>
              <m:accPr>
                <m:chr m:val="̃"/>
              </m:accPr>
              <m:e>
                <m:r>
                  <m:t>Δ</m:t>
                </m:r>
              </m:e>
            </m:acc>
          </m:e>
          <m:sub>
            <m:r>
              <m:t>R</m:t>
            </m:r>
          </m:sub>
        </m:sSub>
        <m:r>
          <m:rPr>
            <m:sty m:val="p"/>
          </m:rPr>
          <m:t>=</m:t>
        </m:r>
        <m:r>
          <m:rPr>
            <m:sty m:val="p"/>
          </m:rPr>
          <m:t>−</m:t>
        </m:r>
        <m:r>
          <m:t>0.244</m:t>
        </m:r>
      </m:oMath>
      <w:r>
        <w:t xml:space="preserve">), setting</w:t>
      </w:r>
      <w:r>
        <w:t xml:space="preserve"> </w:t>
      </w:r>
      <m:oMath>
        <m:r>
          <m:t>δ</m:t>
        </m:r>
        <m:r>
          <m:rPr>
            <m:sty m:val="p"/>
          </m:rPr>
          <m:t>=</m:t>
        </m:r>
        <m:r>
          <m:t>0.30</m:t>
        </m:r>
      </m:oMath>
      <w:r>
        <w:t xml:space="preserve"> </w:t>
      </w:r>
      <w:r>
        <w:t xml:space="preserve">yields</w:t>
      </w:r>
      <w:r>
        <w:t xml:space="preserve"> </w:t>
      </w:r>
      <m:oMath>
        <m:sSub>
          <m:e>
            <m:r>
              <m:t>x</m:t>
            </m:r>
          </m:e>
          <m:sub>
            <m:r>
              <m:t>s</m:t>
            </m:r>
            <m:r>
              <m:t>e</m:t>
            </m:r>
            <m:r>
              <m:t>p</m:t>
            </m:r>
          </m:sub>
        </m:sSub>
        <m:r>
          <m:rPr>
            <m:sty m:val="p"/>
          </m:rPr>
          <m:t>=</m:t>
        </m:r>
        <m:r>
          <m:t>0.076</m:t>
        </m:r>
      </m:oMath>
      <w:r>
        <w:t xml:space="preserve">,</w:t>
      </w:r>
      <w:r>
        <w:t xml:space="preserve"> </w:t>
      </w:r>
      <m:oMath>
        <m:r>
          <m:t>δ</m:t>
        </m:r>
        <m:r>
          <m:rPr>
            <m:sty m:val="p"/>
          </m:rPr>
          <m:t>=</m:t>
        </m:r>
        <m:r>
          <m:t>0.50</m:t>
        </m:r>
      </m:oMath>
      <w:r>
        <w:t xml:space="preserve"> </w:t>
      </w:r>
      <w:r>
        <w:t xml:space="preserve">yields</w:t>
      </w:r>
      <w:r>
        <w:t xml:space="preserve"> </w:t>
      </w:r>
      <m:oMath>
        <m:sSub>
          <m:e>
            <m:r>
              <m:t>x</m:t>
            </m:r>
          </m:e>
          <m:sub>
            <m:r>
              <m:t>s</m:t>
            </m:r>
            <m:r>
              <m:t>e</m:t>
            </m:r>
            <m:r>
              <m:t>p</m:t>
            </m:r>
          </m:sub>
        </m:sSub>
        <m:r>
          <m:rPr>
            <m:sty m:val="p"/>
          </m:rPr>
          <m:t>=</m:t>
        </m:r>
        <m:r>
          <m:t>0.346</m:t>
        </m:r>
      </m:oMath>
      <w:r>
        <w:t xml:space="preserve">, and</w:t>
      </w:r>
      <w:r>
        <w:t xml:space="preserve"> </w:t>
      </w:r>
      <m:oMath>
        <m:r>
          <m:t>δ</m:t>
        </m:r>
        <m:r>
          <m:rPr>
            <m:sty m:val="p"/>
          </m:rPr>
          <m:t>=</m:t>
        </m:r>
        <m:r>
          <m:t>0.80</m:t>
        </m:r>
      </m:oMath>
      <w:r>
        <w:t xml:space="preserve"> </w:t>
      </w:r>
      <w:r>
        <w:t xml:space="preserve">yields</w:t>
      </w:r>
      <w:r>
        <w:t xml:space="preserve"> </w:t>
      </w:r>
      <m:oMath>
        <m:sSub>
          <m:e>
            <m:r>
              <m:t>x</m:t>
            </m:r>
          </m:e>
          <m:sub>
            <m:r>
              <m:t>s</m:t>
            </m:r>
            <m:r>
              <m:t>e</m:t>
            </m:r>
            <m:r>
              <m:t>p</m:t>
            </m:r>
          </m:sub>
        </m:sSub>
        <m:r>
          <m:rPr>
            <m:sty m:val="p"/>
          </m:rPr>
          <m:t>=</m:t>
        </m:r>
        <m:r>
          <m:t>0.752</m:t>
        </m:r>
      </m:oMath>
      <w:r>
        <w:t xml:space="preserve">. Because this threshold varies widely as a function of the user-specified drug differential</w:t>
      </w:r>
      <w:r>
        <w:t xml:space="preserve"> </w:t>
      </w:r>
      <m:oMath>
        <m:r>
          <m:t>δ</m:t>
        </m:r>
      </m:oMath>
      <w:r>
        <w:t xml:space="preserve">, and because the baseline specimen is indeterminate (</w:t>
      </w:r>
      <m:oMath>
        <m:r>
          <m:t>p</m:t>
        </m:r>
        <m:r>
          <m:rPr>
            <m:sty m:val="p"/>
          </m:rPr>
          <m:t>=</m:t>
        </m:r>
        <m:r>
          <m:t>0.266</m:t>
        </m:r>
      </m:oMath>
      <w:r>
        <w:t xml:space="preserve">), therapeutic modulation must be interpreted strictly as an illustrative parametric exploration rather than an established clinical regimen. We emphasize that cytotoxicity parameters (</w:t>
      </w:r>
      <m:oMath>
        <m:sSub>
          <m:e>
            <m:r>
              <m:t>d</m:t>
            </m:r>
          </m:e>
          <m:sub>
            <m:r>
              <m:t>S</m:t>
            </m:r>
          </m:sub>
        </m:sSub>
        <m:r>
          <m:rPr>
            <m:sty m:val="p"/>
          </m:rPr>
          <m:t>,</m:t>
        </m:r>
        <m:sSub>
          <m:e>
            <m:r>
              <m:t>d</m:t>
            </m:r>
          </m:e>
          <m:sub>
            <m:r>
              <m:t>R</m:t>
            </m:r>
          </m:sub>
        </m:sSub>
      </m:oMath>
      <w:r>
        <w:t xml:space="preserve">) represent heuristic illustrative values and must be calibrated in vivo before translational use.</w:t>
      </w:r>
    </w:p>
    <w:p>
      <w:r>
        <w:pict>
          <v:rect style="width:0;height:1.5pt" o:hralign="center" o:hrstd="t" o:hr="t"/>
        </w:pict>
      </w:r>
    </w:p>
    <w:bookmarkEnd w:id="49"/>
    <w:bookmarkEnd w:id="50"/>
    <w:bookmarkEnd w:id="51"/>
    <w:bookmarkStart w:id="53" w:name="discussion"/>
    <w:p>
      <w:pPr>
        <w:pStyle w:val="Heading2"/>
      </w:pPr>
      <w:r>
        <w:t xml:space="preserve">4. Discussion</w:t>
      </w:r>
    </w:p>
    <w:p>
      <w:pPr>
        <w:pStyle w:val="FirstParagraph"/>
      </w:pPr>
      <w:r>
        <w:t xml:space="preserve">The clinical failure of oncology regimens is fundamentally an evolutionary challenge. While mathematical oncology has established that tumor clones engage in frequency-dependent interactions, the inability to extract game payoff matrices directly from individual patient biopsies has limited translation into routine oncology practice.</w:t>
      </w:r>
    </w:p>
    <w:p>
      <w:pPr>
        <w:pStyle w:val="BodyText"/>
      </w:pPr>
      <w:r>
        <w:rPr>
          <w:i/>
          <w:iCs/>
        </w:rPr>
        <w:t xml:space="preserve">InSituGame</w:t>
      </w:r>
      <w:r>
        <w:t xml:space="preserve"> </w:t>
      </w:r>
      <w:r>
        <w:t xml:space="preserve">demonstrates the feasibility of transforming clinical spatial transcriptomics from a descriptive spatial catalog into an exploratory evolutionary assay. Our study highlights five primary observations:</w:t>
      </w:r>
      <w:r>
        <w:t xml:space="preserve"> </w:t>
      </w:r>
      <w:r>
        <w:t xml:space="preserve">1.</w:t>
      </w:r>
      <w:r>
        <w:t xml:space="preserve"> </w:t>
      </w:r>
      <w:r>
        <w:rPr>
          <w:b/>
          <w:bCs/>
        </w:rPr>
        <w:t xml:space="preserve">The</w:t>
      </w:r>
      <w:r>
        <w:rPr>
          <w:b/>
          <w:bCs/>
        </w:rPr>
        <w:t xml:space="preserve"> </w:t>
      </w:r>
      <w:r>
        <w:rPr>
          <w:b/>
          <w:bCs/>
        </w:rPr>
        <w:t xml:space="preserve">“</w:t>
      </w:r>
      <w:r>
        <w:rPr>
          <w:b/>
          <w:bCs/>
        </w:rPr>
        <w:t xml:space="preserve">Personalized Biopsy Assay</w:t>
      </w:r>
      <w:r>
        <w:rPr>
          <w:b/>
          <w:bCs/>
        </w:rPr>
        <w:t xml:space="preserve">”</w:t>
      </w:r>
      <w:r>
        <w:rPr>
          <w:b/>
          <w:bCs/>
        </w:rPr>
        <w:t xml:space="preserve"> </w:t>
      </w:r>
      <w:r>
        <w:rPr>
          <w:b/>
          <w:bCs/>
        </w:rPr>
        <w:t xml:space="preserve">Paradigm:</w:t>
      </w:r>
      <w:r>
        <w:t xml:space="preserve"> </w:t>
      </w:r>
      <w:r>
        <w:t xml:space="preserve">Rather than assuming universal game parameters across a histotype,</w:t>
      </w:r>
      <w:r>
        <w:t xml:space="preserve"> </w:t>
      </w:r>
      <w:r>
        <w:rPr>
          <w:i/>
          <w:iCs/>
        </w:rPr>
        <w:t xml:space="preserve">InSituGame</w:t>
      </w:r>
      <w:r>
        <w:t xml:space="preserve"> </w:t>
      </w:r>
      <w:r>
        <w:t xml:space="preserve">treats game estimation as an individual biopsy assay—conceptually analogous to a clinical antimicrobial susceptibility test (antibiogram). Just as an antibiogram measures the unique resistance profile of a bacterial isolate,</w:t>
      </w:r>
      <w:r>
        <w:t xml:space="preserve"> </w:t>
      </w:r>
      <w:r>
        <w:rPr>
          <w:i/>
          <w:iCs/>
        </w:rPr>
        <w:t xml:space="preserve">InSituGame</w:t>
      </w:r>
      <w:r>
        <w:t xml:space="preserve"> </w:t>
      </w:r>
      <w:r>
        <w:t xml:space="preserve">estimates the empirical payoff landscape of a specific patient’s biopsy to inform adaptive dosing.</w:t>
      </w:r>
      <w:r>
        <w:t xml:space="preserve"> </w:t>
      </w:r>
      <w:r>
        <w:t xml:space="preserve">2.</w:t>
      </w:r>
      <w:r>
        <w:t xml:space="preserve"> </w:t>
      </w:r>
      <w:r>
        <w:rPr>
          <w:b/>
          <w:bCs/>
        </w:rPr>
        <w:t xml:space="preserve">Microenvironmental Decoupling:</w:t>
      </w:r>
      <w:r>
        <w:t xml:space="preserve"> </w:t>
      </w:r>
      <w:r>
        <w:t xml:space="preserve">Physical microenvironmental gradients confound proliferation. Regressing out hypoxia and vascularization before interaction fitting ensures that frequency-dependent game parameters reflect intercellular ecology rather than extrinsic niche stress.</w:t>
      </w:r>
      <w:r>
        <w:t xml:space="preserve"> </w:t>
      </w:r>
      <w:r>
        <w:t xml:space="preserve">3.</w:t>
      </w:r>
      <w:r>
        <w:t xml:space="preserve"> </w:t>
      </w:r>
      <w:r>
        <w:rPr>
          <w:b/>
          <w:bCs/>
        </w:rPr>
        <w:t xml:space="preserve">Ergodic Formalization:</w:t>
      </w:r>
      <w:r>
        <w:t xml:space="preserve"> </w:t>
      </w:r>
      <w:r>
        <w:t xml:space="preserve">The Space-for-Time Ergodic Mapping Framework (Proposition 1) provides a formal mathematical bridge for utilizing high-density spatial variation to reconstruct dynamical replicator fields from a single clinical snapshot up to gauge-invariant additive constants.</w:t>
      </w:r>
      <w:r>
        <w:t xml:space="preserve"> </w:t>
      </w:r>
      <w:r>
        <w:t xml:space="preserve">4.</w:t>
      </w:r>
      <w:r>
        <w:t xml:space="preserve"> </w:t>
      </w:r>
      <w:r>
        <w:rPr>
          <w:b/>
          <w:bCs/>
        </w:rPr>
        <w:t xml:space="preserve">Identifiable Mathematical Formulation:</w:t>
      </w:r>
      <w:r>
        <w:t xml:space="preserve"> </w:t>
      </w:r>
      <w:r>
        <w:t xml:space="preserve">Formulating the 9-parameter absorbed matrix</w:t>
      </w:r>
      <w:r>
        <w:t xml:space="preserve"> </w:t>
      </w:r>
      <m:oMath>
        <m:acc>
          <m:accPr>
            <m:chr m:val="̃"/>
          </m:accPr>
          <m:e>
            <m:r>
              <m:t>A</m:t>
            </m:r>
          </m:e>
        </m:acc>
      </m:oMath>
      <w:r>
        <w:t xml:space="preserve"> </w:t>
      </w:r>
      <w:r>
        <w:t xml:space="preserve">resolves the exact collinearity inherent to the unit simplex, reducing Condition Numbers to</w:t>
      </w:r>
      <w:r>
        <w:t xml:space="preserve"> </w:t>
      </w:r>
      <m:oMath>
        <m:r>
          <m:t>31</m:t>
        </m:r>
        <m:r>
          <m:rPr>
            <m:nor/>
            <m:sty m:val="p"/>
          </m:rPr>
          <m:t>–</m:t>
        </m:r>
        <m:r>
          <m:t>54</m:t>
        </m:r>
      </m:oMath>
      <w:r>
        <w:t xml:space="preserve"> </w:t>
      </w:r>
      <w:r>
        <w:t xml:space="preserve">and enabling unbiased parameter recovery in silico (</w:t>
      </w:r>
      <m:oMath>
        <m:r>
          <m:t>r</m:t>
        </m:r>
        <m:r>
          <m:rPr>
            <m:sty m:val="p"/>
          </m:rPr>
          <m:t>=</m:t>
        </m:r>
        <m:r>
          <m:t>0.9997</m:t>
        </m:r>
      </m:oMath>
      <w:r>
        <w:t xml:space="preserve">, MAE</w:t>
      </w:r>
      <w:r>
        <w:t xml:space="preserve"> </w:t>
      </w:r>
      <m:oMath>
        <m:r>
          <m:rPr>
            <m:sty m:val="p"/>
          </m:rPr>
          <m:t>=</m:t>
        </m:r>
        <m:r>
          <m:t>0.023</m:t>
        </m:r>
      </m:oMath>
      <w:r>
        <w:t xml:space="preserve">).</w:t>
      </w:r>
      <w:r>
        <w:t xml:space="preserve"> </w:t>
      </w:r>
      <w:r>
        <w:t xml:space="preserve">5.</w:t>
      </w:r>
      <w:r>
        <w:t xml:space="preserve"> </w:t>
      </w:r>
      <w:r>
        <w:rPr>
          <w:b/>
          <w:bCs/>
        </w:rPr>
        <w:t xml:space="preserve">Multi-Tiered Specificity, Geodesic Continuity, and Controls:</w:t>
      </w:r>
      <w:r>
        <w:t xml:space="preserve"> </w:t>
      </w:r>
      <w:r>
        <w:t xml:space="preserve">By combining model ablations against regional composition (</w:t>
      </w:r>
      <m:oMath>
        <m:sSub>
          <m:e>
            <m:r>
              <m:t>M</m:t>
            </m:r>
          </m:e>
          <m:sub>
            <m:r>
              <m:t>2</m:t>
            </m:r>
            <m:r>
              <m:t>c</m:t>
            </m:r>
          </m:sub>
        </m:sSub>
      </m:oMath>
      <w:r>
        <w:t xml:space="preserve">) and generic quadratics (</w:t>
      </w:r>
      <m:oMath>
        <m:sSub>
          <m:e>
            <m:r>
              <m:t>M</m:t>
            </m:r>
          </m:e>
          <m:sub>
            <m:r>
              <m:t>2</m:t>
            </m:r>
            <m:r>
              <m:t>d</m:t>
            </m:r>
          </m:sub>
        </m:sSub>
      </m:oMath>
      <w:r>
        <w:t xml:space="preserve">) with a negative control battery of 500 expression-matched random gene triplets (</w:t>
      </w:r>
      <m:oMath>
        <m:r>
          <m:t>p</m:t>
        </m:r>
        <m:r>
          <m:rPr>
            <m:sty m:val="p"/>
          </m:rPr>
          <m:t>&lt;</m:t>
        </m:r>
        <m:r>
          <m:t>0.0020</m:t>
        </m:r>
      </m:oMath>
      <w:r>
        <w:t xml:space="preserve">), 100 agent-based cellular lattice simulations (demonstrating</w:t>
      </w:r>
      <w:r>
        <w:t xml:space="preserve"> </w:t>
      </w:r>
      <m:oMath>
        <m:r>
          <m:rPr>
            <m:nor/>
            <m:sty m:val="p"/>
          </m:rPr>
          <m:t>FPR</m:t>
        </m:r>
        <m:r>
          <m:rPr>
            <m:sty m:val="p"/>
          </m:rPr>
          <m:t>=</m:t>
        </m:r>
        <m:r>
          <m:t>5.0</m:t>
        </m:r>
        <m:r>
          <m:rPr>
            <m:sty m:val="p"/>
          </m:rPr>
          <m:t>%</m:t>
        </m:r>
      </m:oMath>
      <w:r>
        <w:t xml:space="preserve"> </w:t>
      </w:r>
      <w:r>
        <w:t xml:space="preserve">under pure spatial crowding and</w:t>
      </w:r>
      <w:r>
        <w:t xml:space="preserve"> </w:t>
      </w:r>
      <m:oMath>
        <m:r>
          <m:rPr>
            <m:nor/>
            <m:sty m:val="p"/>
          </m:rPr>
          <m:t>TPR</m:t>
        </m:r>
        <m:r>
          <m:rPr>
            <m:sty m:val="p"/>
          </m:rPr>
          <m:t>=</m:t>
        </m:r>
        <m:r>
          <m:t>100</m:t>
        </m:r>
        <m:r>
          <m:rPr>
            <m:sty m:val="p"/>
          </m:rPr>
          <m:t>%</m:t>
        </m:r>
      </m:oMath>
      <w:r>
        <w:t xml:space="preserve"> </w:t>
      </w:r>
      <w:r>
        <w:t xml:space="preserve">under true games), and Wasserstein optimal transport across serial sections (</w:t>
      </w:r>
      <m:oMath>
        <m:d>
          <m:dPr>
            <m:begChr m:val="|"/>
            <m:endChr m:val="|"/>
            <m:sepChr m:val=""/>
            <m:grow/>
          </m:dPr>
          <m:e>
            <m:r>
              <m:t>r</m:t>
            </m:r>
          </m:e>
        </m:d>
        <m:r>
          <m:rPr>
            <m:sty m:val="p"/>
          </m:rPr>
          <m:t>=</m:t>
        </m:r>
        <m:r>
          <m:t>0.6726</m:t>
        </m:r>
        <m:r>
          <m:rPr>
            <m:sty m:val="p"/>
          </m:rPr>
          <m:t>,</m:t>
        </m:r>
        <m:r>
          <m:t>p</m:t>
        </m:r>
        <m:r>
          <m:rPr>
            <m:sty m:val="p"/>
          </m:rPr>
          <m:t>=</m:t>
        </m:r>
        <m:r>
          <m:t>4.18</m:t>
        </m:r>
        <m:r>
          <m:rPr>
            <m:sty m:val="p"/>
          </m:rPr>
          <m:t>×</m:t>
        </m:r>
        <m:sSup>
          <m:e>
            <m:r>
              <m:t>10</m:t>
            </m:r>
          </m:e>
          <m:sup>
            <m:r>
              <m:rPr>
                <m:sty m:val="p"/>
              </m:rPr>
              <m:t>−</m:t>
            </m:r>
            <m:r>
              <m:t>198</m:t>
            </m:r>
          </m:sup>
        </m:sSup>
      </m:oMath>
      <w:r>
        <w:t xml:space="preserve">), we established that bilinear game interactions reflect genuine oncogenic cross-talk rather than non-specific crowding or arbitrary co-expression artifacts.</w:t>
      </w:r>
    </w:p>
    <w:bookmarkStart w:id="52" w:name="limitations-and-critical-considerations"/>
    <w:p>
      <w:pPr>
        <w:pStyle w:val="Heading3"/>
      </w:pPr>
      <w:r>
        <w:t xml:space="preserve">Limitations and Critical Considerations</w:t>
      </w:r>
    </w:p>
    <w:p>
      <w:pPr>
        <w:pStyle w:val="FirstParagraph"/>
      </w:pPr>
      <w:r>
        <w:t xml:space="preserve">Several methodological and biological limitations must be explicitly considered:</w:t>
      </w:r>
      <w:r>
        <w:t xml:space="preserve"> </w:t>
      </w:r>
      <w:r>
        <w:t xml:space="preserve">1.</w:t>
      </w:r>
      <w:r>
        <w:t xml:space="preserve"> </w:t>
      </w:r>
      <w:r>
        <w:rPr>
          <w:b/>
          <w:bCs/>
        </w:rPr>
        <w:t xml:space="preserve">Phenotypic Module Confounding:</w:t>
      </w:r>
      <w:r>
        <w:t xml:space="preserve"> </w:t>
      </w:r>
      <w:r>
        <w:t xml:space="preserve">In multi-cellular spatial spots, mesenchymal resistance markers (</w:t>
      </w:r>
      <w:r>
        <w:rPr>
          <w:i/>
          <w:iCs/>
        </w:rPr>
        <w:t xml:space="preserve">VIM, AXL, CDH2</w:t>
      </w:r>
      <w:r>
        <w:t xml:space="preserve">) overlap with stromal CAFs and endothelial cells. In treatment-naive biopsies,</w:t>
      </w:r>
      <w:r>
        <w:t xml:space="preserve"> </w:t>
      </w:r>
      <m:oMath>
        <m:sSub>
          <m:e>
            <m:r>
              <m:t>T</m:t>
            </m:r>
          </m:e>
          <m:sub>
            <m:r>
              <m:t>S</m:t>
            </m:r>
          </m:sub>
        </m:sSub>
      </m:oMath>
      <w:r>
        <w:t xml:space="preserve"> </w:t>
      </w:r>
      <w:r>
        <w:t xml:space="preserve">and</w:t>
      </w:r>
      <w:r>
        <w:t xml:space="preserve"> </w:t>
      </w:r>
      <m:oMath>
        <m:sSub>
          <m:e>
            <m:r>
              <m:t>T</m:t>
            </m:r>
          </m:e>
          <m:sub>
            <m:r>
              <m:t>R</m:t>
            </m:r>
          </m:sub>
        </m:sSub>
      </m:oMath>
      <w:r>
        <w:t xml:space="preserve"> </w:t>
      </w:r>
      <w:r>
        <w:t xml:space="preserve">represent hypothesized phenotypic states (epithelial vs mesenchymal/plastic) rather than verified clones resistant to a specific drug. Furthermore, proliferation markers (</w:t>
      </w:r>
      <w:r>
        <w:rPr>
          <w:i/>
          <w:iCs/>
        </w:rPr>
        <w:t xml:space="preserve">MKI67, PCNA</w:t>
      </w:r>
      <w:r>
        <w:t xml:space="preserve">) reflect local epithelial carcinoma cell density, partially confounding intrinsic purity with positive homotypic interaction.</w:t>
      </w:r>
      <w:r>
        <w:t xml:space="preserve"> </w:t>
      </w:r>
      <w:r>
        <w:t xml:space="preserve">2.</w:t>
      </w:r>
      <w:r>
        <w:t xml:space="preserve"> </w:t>
      </w:r>
      <w:r>
        <w:rPr>
          <w:b/>
          <w:bCs/>
        </w:rPr>
        <w:t xml:space="preserve">Spatial Spot Resolution:</w:t>
      </w:r>
      <w:r>
        <w:t xml:space="preserve"> </w:t>
      </w:r>
      <w:r>
        <w:t xml:space="preserve">Visium spots (</w:t>
      </w:r>
      <m:oMath>
        <m:r>
          <m:t>55</m:t>
        </m:r>
        <m:r>
          <m:t> </m:t>
        </m:r>
        <m:r>
          <m:t>μ</m:t>
        </m:r>
        <m:r>
          <m:rPr>
            <m:nor/>
            <m:sty m:val="p"/>
          </m:rPr>
          <m:t>m</m:t>
        </m:r>
      </m:oMath>
      <w:r>
        <w:t xml:space="preserve"> </w:t>
      </w:r>
      <w:r>
        <w:t xml:space="preserve">diameter,</w:t>
      </w:r>
      <w:r>
        <w:t xml:space="preserve"> </w:t>
      </w:r>
      <m:oMath>
        <m:r>
          <m:t>100</m:t>
        </m:r>
        <m:r>
          <m:t> </m:t>
        </m:r>
        <m:r>
          <m:t>μ</m:t>
        </m:r>
        <m:r>
          <m:rPr>
            <m:nor/>
            <m:sty m:val="p"/>
          </m:rPr>
          <m:t>m</m:t>
        </m:r>
      </m:oMath>
      <w:r>
        <w:t xml:space="preserve"> </w:t>
      </w:r>
      <w:r>
        <w:t xml:space="preserve">pitch) capture 1 to 10 cells separated by</w:t>
      </w:r>
      <w:r>
        <w:t xml:space="preserve"> </w:t>
      </w:r>
      <m:oMath>
        <m:r>
          <m:rPr>
            <m:sty m:val="p"/>
          </m:rPr>
          <m:t>≈</m:t>
        </m:r>
        <m:r>
          <m:t>45</m:t>
        </m:r>
        <m:r>
          <m:t> </m:t>
        </m:r>
        <m:r>
          <m:t>μ</m:t>
        </m:r>
        <m:r>
          <m:rPr>
            <m:nor/>
            <m:sty m:val="p"/>
          </m:rPr>
          <m:t>m</m:t>
        </m:r>
      </m:oMath>
      <w:r>
        <w:t xml:space="preserve"> </w:t>
      </w:r>
      <w:r>
        <w:t xml:space="preserve">of uncaptured interstitial space. Inter-spot interactions reflect regional paracrine diffusion and microenvironmental conditioning rather than direct membrane-to-membrane contact. Future studies should apply</w:t>
      </w:r>
      <w:r>
        <w:t xml:space="preserve"> </w:t>
      </w:r>
      <w:r>
        <w:rPr>
          <w:i/>
          <w:iCs/>
        </w:rPr>
        <w:t xml:space="preserve">InSituGame</w:t>
      </w:r>
      <w:r>
        <w:t xml:space="preserve"> </w:t>
      </w:r>
      <w:r>
        <w:t xml:space="preserve">to sub-cellular single-cell spatial platforms (10x Xenium, CosMx, MERSCOPE).</w:t>
      </w:r>
      <w:r>
        <w:t xml:space="preserve"> </w:t>
      </w:r>
      <w:r>
        <w:t xml:space="preserve">3.</w:t>
      </w:r>
      <w:r>
        <w:t xml:space="preserve"> </w:t>
      </w:r>
      <w:r>
        <w:rPr>
          <w:b/>
          <w:bCs/>
        </w:rPr>
        <w:t xml:space="preserve">Spatial Autocorrelation in Replicates:</w:t>
      </w:r>
      <w:r>
        <w:t xml:space="preserve"> </w:t>
      </w:r>
      <w:r>
        <w:t xml:space="preserve">Adjacent serial sections (</w:t>
      </w:r>
      <m:oMath>
        <m:r>
          <m:rPr>
            <m:sty m:val="p"/>
          </m:rPr>
          <m:t>≈</m:t>
        </m:r>
        <m:r>
          <m:t>10</m:t>
        </m:r>
        <m:r>
          <m:t> </m:t>
        </m:r>
        <m:r>
          <m:t>μ</m:t>
        </m:r>
        <m:r>
          <m:rPr>
            <m:nor/>
            <m:sty m:val="p"/>
          </m:rPr>
          <m:t>m</m:t>
        </m:r>
      </m:oMath>
      <w:r>
        <w:t xml:space="preserve">) share similar tissue morphology; thus, out-of-sample validation on a consecutive slice represents a technical replicate rather than an independent multi-patient cohort.</w:t>
      </w:r>
      <w:r>
        <w:t xml:space="preserve"> </w:t>
      </w:r>
      <w:r>
        <w:t xml:space="preserve">4.</w:t>
      </w:r>
      <w:r>
        <w:t xml:space="preserve"> </w:t>
      </w:r>
      <w:r>
        <w:rPr>
          <w:b/>
          <w:bCs/>
        </w:rPr>
        <w:t xml:space="preserve">Translational Bridging:</w:t>
      </w:r>
      <w:r>
        <w:t xml:space="preserve"> </w:t>
      </w:r>
      <w:r>
        <w:t xml:space="preserve">In silico replicator simulations rely on idealized drug cytotoxicity parameters (</w:t>
      </w:r>
      <m:oMath>
        <m:sSub>
          <m:e>
            <m:r>
              <m:t>d</m:t>
            </m:r>
          </m:e>
          <m:sub>
            <m:r>
              <m:t>S</m:t>
            </m:r>
          </m:sub>
        </m:sSub>
        <m:r>
          <m:rPr>
            <m:sty m:val="p"/>
          </m:rPr>
          <m:t>,</m:t>
        </m:r>
        <m:sSub>
          <m:e>
            <m:r>
              <m:t>d</m:t>
            </m:r>
          </m:e>
          <m:sub>
            <m:r>
              <m:t>R</m:t>
            </m:r>
          </m:sub>
        </m:sSub>
      </m:oMath>
      <w:r>
        <w:t xml:space="preserve">). Translating</w:t>
      </w:r>
      <w:r>
        <w:t xml:space="preserve"> </w:t>
      </w:r>
      <w:r>
        <w:rPr>
          <w:i/>
          <w:iCs/>
        </w:rPr>
        <w:t xml:space="preserve">InSituGame</w:t>
      </w:r>
      <w:r>
        <w:t xml:space="preserve"> </w:t>
      </w:r>
      <w:r>
        <w:t xml:space="preserve">to the clinic will require integration with pharmacokinetic/pharmacodynamic (PK/PD) modeling and prospective validation in window-of-opportunity biopsy trials.</w:t>
      </w:r>
    </w:p>
    <w:p>
      <w:pPr>
        <w:pStyle w:val="BodyText"/>
      </w:pPr>
      <w:r>
        <w:t xml:space="preserve">In conclusion,</w:t>
      </w:r>
      <w:r>
        <w:t xml:space="preserve"> </w:t>
      </w:r>
      <w:r>
        <w:rPr>
          <w:i/>
          <w:iCs/>
        </w:rPr>
        <w:t xml:space="preserve">InSituGame</w:t>
      </w:r>
      <w:r>
        <w:t xml:space="preserve"> </w:t>
      </w:r>
      <w:r>
        <w:t xml:space="preserve">provides an open-source, mathematically grounded computational framework that establishes proof-of-concept for measuring subclonal evolutionary game landscapes directly from intact human biopsies.</w:t>
      </w:r>
    </w:p>
    <w:p>
      <w:r>
        <w:pict>
          <v:rect style="width:0;height:1.5pt" o:hralign="center" o:hrstd="t" o:hr="t"/>
        </w:pict>
      </w:r>
    </w:p>
    <w:bookmarkEnd w:id="52"/>
    <w:bookmarkEnd w:id="53"/>
    <w:bookmarkStart w:id="54" w:name="ethical-approval"/>
    <w:p>
      <w:pPr>
        <w:pStyle w:val="Heading2"/>
      </w:pPr>
      <w:r>
        <w:t xml:space="preserve">Ethical Approval</w:t>
      </w:r>
    </w:p>
    <w:p>
      <w:pPr>
        <w:pStyle w:val="FirstParagraph"/>
      </w:pPr>
      <w:r>
        <w:t xml:space="preserve">Not applicable. This study exclusively analyzes anonymized, publicly available archival clinical spatial transcriptomics datasets provided by 10x Genomics.</w:t>
      </w:r>
    </w:p>
    <w:bookmarkEnd w:id="54"/>
    <w:bookmarkStart w:id="55" w:name="acknowledgments"/>
    <w:p>
      <w:pPr>
        <w:pStyle w:val="Heading2"/>
      </w:pPr>
      <w:r>
        <w:t xml:space="preserve">Acknowledgments</w:t>
      </w:r>
    </w:p>
    <w:p>
      <w:pPr>
        <w:pStyle w:val="FirstParagraph"/>
      </w:pPr>
      <w:r>
        <w:t xml:space="preserve">The author warmly acknowledges the Telethon Institute of Genetics and Medicine (TIGEM), Pozzuoli, Italy, for scientific hospitality and providing a stimulating research environment during experimental degree thesis investigations.</w:t>
      </w:r>
    </w:p>
    <w:bookmarkEnd w:id="55"/>
    <w:bookmarkStart w:id="56" w:name="conflict-of-interest-statement"/>
    <w:p>
      <w:pPr>
        <w:pStyle w:val="Heading2"/>
      </w:pPr>
      <w:r>
        <w:t xml:space="preserve">Conflict of Interest Statement</w:t>
      </w:r>
    </w:p>
    <w:p>
      <w:pPr>
        <w:pStyle w:val="FirstParagraph"/>
      </w:pPr>
      <w:r>
        <w:t xml:space="preserve">The author declares no competing financial or personal interests.</w:t>
      </w:r>
    </w:p>
    <w:bookmarkEnd w:id="56"/>
    <w:bookmarkStart w:id="57" w:name="funding"/>
    <w:p>
      <w:pPr>
        <w:pStyle w:val="Heading2"/>
      </w:pPr>
      <w:r>
        <w:t xml:space="preserve">Funding</w:t>
      </w:r>
    </w:p>
    <w:p>
      <w:pPr>
        <w:pStyle w:val="FirstParagraph"/>
      </w:pPr>
      <w:r>
        <w:t xml:space="preserve">This research received no external grant funding. Open Access publication fees are covered in full under the CRUI-CARE national agreement with the University of Naples Federico II.</w:t>
      </w:r>
    </w:p>
    <w:bookmarkEnd w:id="57"/>
    <w:bookmarkStart w:id="58" w:name="data-and-code-availability"/>
    <w:p>
      <w:pPr>
        <w:pStyle w:val="Heading2"/>
      </w:pPr>
      <w:r>
        <w:t xml:space="preserve">Data and Code Availability</w:t>
      </w:r>
    </w:p>
    <w:p>
      <w:pPr>
        <w:pStyle w:val="FirstParagraph"/>
      </w:pPr>
      <w:r>
        <w:t xml:space="preserve">All clinical spatial transcriptomics datasets analyzed in this study are publicly available from official 10x Genomics open repositories. Automated download scripts for the full-scale raw datasets (</w:t>
      </w:r>
      <w:r>
        <w:rPr>
          <w:rStyle w:val="VerbatimChar"/>
        </w:rPr>
        <w:t xml:space="preserve">download_data.py</w:t>
      </w:r>
      <w:r>
        <w:t xml:space="preserve">,</w:t>
      </w:r>
      <w:r>
        <w:t xml:space="preserve"> </w:t>
      </w:r>
      <w:r>
        <w:rPr>
          <w:rStyle w:val="VerbatimChar"/>
        </w:rPr>
        <w:t xml:space="preserve">download_cohort.py</w:t>
      </w:r>
      <w:r>
        <w:t xml:space="preserve">,</w:t>
      </w:r>
      <w:r>
        <w:t xml:space="preserve"> </w:t>
      </w:r>
      <w:r>
        <w:rPr>
          <w:rStyle w:val="VerbatimChar"/>
        </w:rPr>
        <w:t xml:space="preserve">download_replicates.py</w:t>
      </w:r>
      <w:r>
        <w:t xml:space="preserve">) as well as the processed spatial coordinate and expression cache (</w:t>
      </w:r>
      <w:r>
        <w:rPr>
          <w:rStyle w:val="VerbatimChar"/>
        </w:rPr>
        <w:t xml:space="preserve">clinical_pan_cancer_cache.npz</w:t>
      </w:r>
      <w:r>
        <w:t xml:space="preserve">) are provided in the repository to ensure both immediate offline verification and end-to-end raw data provenance. The open-source</w:t>
      </w:r>
      <w:r>
        <w:t xml:space="preserve"> </w:t>
      </w:r>
      <w:r>
        <w:rPr>
          <w:rStyle w:val="VerbatimChar"/>
        </w:rPr>
        <w:t xml:space="preserve">insitugame</w:t>
      </w:r>
      <w:r>
        <w:t xml:space="preserve"> </w:t>
      </w:r>
      <w:r>
        <w:t xml:space="preserve">software library, complete pipeline scripts, and reproducibility benchmarks are archived on GitHub at</w:t>
      </w:r>
      <w:r>
        <w:t xml:space="preserve"> </w:t>
      </w:r>
      <w:hyperlink r:id="rId21">
        <w:r>
          <w:rPr>
            <w:rStyle w:val="VerbatimChar"/>
          </w:rPr>
          <w:t xml:space="preserve">https://github.com/Lukecele/spatial-game-assay</w:t>
        </w:r>
      </w:hyperlink>
      <w:r>
        <w:t xml:space="preserve"> </w:t>
      </w:r>
      <w:r>
        <w:t xml:space="preserve">under the GNU General Public License v3.0 (GPL-3.0) and permanently archived on Zenodo at</w:t>
      </w:r>
      <w:r>
        <w:t xml:space="preserve"> </w:t>
      </w:r>
      <w:hyperlink r:id="rId22">
        <w:r>
          <w:rPr>
            <w:rStyle w:val="VerbatimChar"/>
          </w:rPr>
          <w:t xml:space="preserve">https://doi.org/10.5281/zenodo.23585216</w:t>
        </w:r>
      </w:hyperlink>
      <w:r>
        <w:t xml:space="preserve">.</w:t>
      </w:r>
    </w:p>
    <w:bookmarkEnd w:id="58"/>
    <w:bookmarkStart w:id="59"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 utilized LLM-based agentic tools (Claude and Gemini via Antigravity) for code development, data analysis pipelines, and manuscript formatting assistance. The author reviewed, edited, and validated all analyses and text, and takes full responsibility for the scientific integrity and conclusions of the manuscript.</w:t>
      </w:r>
    </w:p>
    <w:p>
      <w:r>
        <w:pict>
          <v:rect style="width:0;height:1.5pt" o:hralign="center" o:hrstd="t" o:hr="t"/>
        </w:pict>
      </w:r>
    </w:p>
    <w:bookmarkEnd w:id="59"/>
    <w:bookmarkStart w:id="60" w:name="references"/>
    <w:p>
      <w:pPr>
        <w:pStyle w:val="Heading2"/>
      </w:pPr>
      <w:r>
        <w:t xml:space="preserve">References</w:t>
      </w:r>
    </w:p>
    <w:p>
      <w:pPr>
        <w:pStyle w:val="Compact"/>
        <w:numPr>
          <w:ilvl w:val="0"/>
          <w:numId w:val="1005"/>
        </w:numPr>
      </w:pPr>
      <w:r>
        <w:t xml:space="preserve">Bacevic, K., et al. (2017). Spatial competition constrains resistance to targeted therapy in non-small cell lung cancer.</w:t>
      </w:r>
      <w:r>
        <w:t xml:space="preserve"> </w:t>
      </w:r>
      <w:r>
        <w:rPr>
          <w:i/>
          <w:iCs/>
        </w:rPr>
        <w:t xml:space="preserve">Nature Communications</w:t>
      </w:r>
      <w:r>
        <w:t xml:space="preserve">, 8(1), 1995. DOI: 10.1038/s41467-017-01516-1.</w:t>
      </w:r>
    </w:p>
    <w:p>
      <w:pPr>
        <w:pStyle w:val="Compact"/>
        <w:numPr>
          <w:ilvl w:val="0"/>
          <w:numId w:val="1005"/>
        </w:numPr>
      </w:pPr>
      <w:r>
        <w:t xml:space="preserve">Basanta, D., et al. (2012). Investigating the role of the bone marrow microenvironment in multiple myeloma using an agent-based model.</w:t>
      </w:r>
      <w:r>
        <w:t xml:space="preserve"> </w:t>
      </w:r>
      <w:r>
        <w:rPr>
          <w:i/>
          <w:iCs/>
        </w:rPr>
        <w:t xml:space="preserve">Blood</w:t>
      </w:r>
      <w:r>
        <w:t xml:space="preserve">, 120(21), 2112.</w:t>
      </w:r>
    </w:p>
    <w:p>
      <w:pPr>
        <w:pStyle w:val="Compact"/>
        <w:numPr>
          <w:ilvl w:val="0"/>
          <w:numId w:val="1005"/>
        </w:numPr>
      </w:pPr>
      <w:r>
        <w:t xml:space="preserve">Cliff, A. D., &amp; Ord, J. K. (1981).</w:t>
      </w:r>
      <w:r>
        <w:t xml:space="preserve"> </w:t>
      </w:r>
      <w:r>
        <w:rPr>
          <w:i/>
          <w:iCs/>
        </w:rPr>
        <w:t xml:space="preserve">Spatial processes: models &amp; applications</w:t>
      </w:r>
      <w:r>
        <w:t xml:space="preserve">. Pion, London.</w:t>
      </w:r>
    </w:p>
    <w:p>
      <w:pPr>
        <w:pStyle w:val="Compact"/>
        <w:numPr>
          <w:ilvl w:val="0"/>
          <w:numId w:val="1005"/>
        </w:numPr>
      </w:pPr>
      <w:r>
        <w:t xml:space="preserve">Enriquez-Navas, P. M., et al. (2016). Exploiting evolutionary principles in cancer therapy.</w:t>
      </w:r>
      <w:r>
        <w:t xml:space="preserve"> </w:t>
      </w:r>
      <w:r>
        <w:rPr>
          <w:i/>
          <w:iCs/>
        </w:rPr>
        <w:t xml:space="preserve">Science Translational Medicine</w:t>
      </w:r>
      <w:r>
        <w:t xml:space="preserve">, 8(327), 327ra24.</w:t>
      </w:r>
    </w:p>
    <w:p>
      <w:pPr>
        <w:pStyle w:val="Compact"/>
        <w:numPr>
          <w:ilvl w:val="0"/>
          <w:numId w:val="1005"/>
        </w:numPr>
      </w:pPr>
      <w:r>
        <w:t xml:space="preserve">Gallaher, J. A., et al. (2018). Spatial heterogeneity and evolutionary dynamics modulate tumor response to adaptive therapy.</w:t>
      </w:r>
      <w:r>
        <w:t xml:space="preserve"> </w:t>
      </w:r>
      <w:r>
        <w:rPr>
          <w:i/>
          <w:iCs/>
        </w:rPr>
        <w:t xml:space="preserve">Cancer Research</w:t>
      </w:r>
      <w:r>
        <w:t xml:space="preserve">, 78(8), 2029–2039.</w:t>
      </w:r>
    </w:p>
    <w:p>
      <w:pPr>
        <w:pStyle w:val="Compact"/>
        <w:numPr>
          <w:ilvl w:val="0"/>
          <w:numId w:val="1005"/>
        </w:numPr>
      </w:pPr>
      <w:r>
        <w:t xml:space="preserve">Gatenby, R. A., et al. (2009). Adaptive therapy.</w:t>
      </w:r>
      <w:r>
        <w:t xml:space="preserve"> </w:t>
      </w:r>
      <w:r>
        <w:rPr>
          <w:i/>
          <w:iCs/>
        </w:rPr>
        <w:t xml:space="preserve">Cancer Research</w:t>
      </w:r>
      <w:r>
        <w:t xml:space="preserve">, 69(11), 4894–4903.</w:t>
      </w:r>
    </w:p>
    <w:p>
      <w:pPr>
        <w:pStyle w:val="Compact"/>
        <w:numPr>
          <w:ilvl w:val="0"/>
          <w:numId w:val="1005"/>
        </w:numPr>
      </w:pPr>
      <w:r>
        <w:t xml:space="preserve">Kalluri, R. (2016). The biology and function of fibroblasts in cancer.</w:t>
      </w:r>
      <w:r>
        <w:t xml:space="preserve"> </w:t>
      </w:r>
      <w:r>
        <w:rPr>
          <w:i/>
          <w:iCs/>
        </w:rPr>
        <w:t xml:space="preserve">Nature Reviews Cancer</w:t>
      </w:r>
      <w:r>
        <w:t xml:space="preserve">, 16(9), 582–598.</w:t>
      </w:r>
    </w:p>
    <w:p>
      <w:pPr>
        <w:pStyle w:val="Compact"/>
        <w:numPr>
          <w:ilvl w:val="0"/>
          <w:numId w:val="1005"/>
        </w:numPr>
      </w:pPr>
      <w:r>
        <w:t xml:space="preserve">Kaznatcheev, A., et al. (2019). Fibroblasts and alectinib switch the evolutionary games played by non-small cell lung cancer.</w:t>
      </w:r>
      <w:r>
        <w:t xml:space="preserve"> </w:t>
      </w:r>
      <w:r>
        <w:rPr>
          <w:i/>
          <w:iCs/>
        </w:rPr>
        <w:t xml:space="preserve">Nature Ecology &amp; Evolution</w:t>
      </w:r>
      <w:r>
        <w:t xml:space="preserve">, 3(3), 450–456.</w:t>
      </w:r>
    </w:p>
    <w:p>
      <w:pPr>
        <w:pStyle w:val="Compact"/>
        <w:numPr>
          <w:ilvl w:val="0"/>
          <w:numId w:val="1005"/>
        </w:numPr>
      </w:pPr>
      <w:r>
        <w:t xml:space="preserve">Kemper, K., et al. (2014). BRAF inhibition induces reversible drug tolerance in melanoma through non-mutational adaptation.</w:t>
      </w:r>
      <w:r>
        <w:t xml:space="preserve"> </w:t>
      </w:r>
      <w:r>
        <w:rPr>
          <w:i/>
          <w:iCs/>
        </w:rPr>
        <w:t xml:space="preserve">Cancer Cell</w:t>
      </w:r>
      <w:r>
        <w:t xml:space="preserve">, 26(1), 60–74.</w:t>
      </w:r>
    </w:p>
    <w:p>
      <w:pPr>
        <w:pStyle w:val="Compact"/>
        <w:numPr>
          <w:ilvl w:val="0"/>
          <w:numId w:val="1005"/>
        </w:numPr>
      </w:pPr>
      <w:r>
        <w:t xml:space="preserve">Maley, C. C., et al. (2017). Classifying the evolutionary and ecological features of neoplasms.</w:t>
      </w:r>
      <w:r>
        <w:t xml:space="preserve"> </w:t>
      </w:r>
      <w:r>
        <w:rPr>
          <w:i/>
          <w:iCs/>
        </w:rPr>
        <w:t xml:space="preserve">Nature Reviews Cancer</w:t>
      </w:r>
      <w:r>
        <w:t xml:space="preserve">, 17(10), 605–619.</w:t>
      </w:r>
    </w:p>
    <w:p>
      <w:pPr>
        <w:pStyle w:val="Compact"/>
        <w:numPr>
          <w:ilvl w:val="0"/>
          <w:numId w:val="1005"/>
        </w:numPr>
      </w:pPr>
      <w:r>
        <w:t xml:space="preserve">Marusyk, A., et al. (2014). Non-cell-autonomous driving of tumour growth supports sub-clonal heterogeneity.</w:t>
      </w:r>
      <w:r>
        <w:t xml:space="preserve"> </w:t>
      </w:r>
      <w:r>
        <w:rPr>
          <w:i/>
          <w:iCs/>
        </w:rPr>
        <w:t xml:space="preserve">Nature</w:t>
      </w:r>
      <w:r>
        <w:t xml:space="preserve">, 514(7520), 54–58.</w:t>
      </w:r>
    </w:p>
    <w:p>
      <w:pPr>
        <w:pStyle w:val="Compact"/>
        <w:numPr>
          <w:ilvl w:val="0"/>
          <w:numId w:val="1005"/>
        </w:numPr>
      </w:pPr>
      <w:r>
        <w:t xml:space="preserve">Nowak, M. A. (2006).</w:t>
      </w:r>
      <w:r>
        <w:t xml:space="preserve"> </w:t>
      </w:r>
      <w:r>
        <w:rPr>
          <w:i/>
          <w:iCs/>
        </w:rPr>
        <w:t xml:space="preserve">Evolutionary dynamics: exploring the equations of life</w:t>
      </w:r>
      <w:r>
        <w:t xml:space="preserve">. Harvard University Press.</w:t>
      </w:r>
    </w:p>
    <w:p>
      <w:pPr>
        <w:pStyle w:val="Compact"/>
        <w:numPr>
          <w:ilvl w:val="0"/>
          <w:numId w:val="1005"/>
        </w:numPr>
      </w:pPr>
      <w:r>
        <w:t xml:space="preserve">Prahallad, A., et al. (2012). Unresponsiveness of colon cancer to BRAF(V600E) inhibition through feedback activation of EGFR.</w:t>
      </w:r>
      <w:r>
        <w:t xml:space="preserve"> </w:t>
      </w:r>
      <w:r>
        <w:rPr>
          <w:i/>
          <w:iCs/>
        </w:rPr>
        <w:t xml:space="preserve">Nature</w:t>
      </w:r>
      <w:r>
        <w:t xml:space="preserve">, 483(7387), 100–103.</w:t>
      </w:r>
    </w:p>
    <w:p>
      <w:pPr>
        <w:pStyle w:val="Compact"/>
        <w:numPr>
          <w:ilvl w:val="0"/>
          <w:numId w:val="1005"/>
        </w:numPr>
      </w:pPr>
      <w:r>
        <w:t xml:space="preserve">Robertson-Tessi, M., et al. (2015). Impact of metabolic heterogeneity on tumor growth and response to therapy.</w:t>
      </w:r>
      <w:r>
        <w:t xml:space="preserve"> </w:t>
      </w:r>
      <w:r>
        <w:rPr>
          <w:i/>
          <w:iCs/>
        </w:rPr>
        <w:t xml:space="preserve">Cancer Research</w:t>
      </w:r>
      <w:r>
        <w:t xml:space="preserve">, 75(8), 1567–1579.</w:t>
      </w:r>
    </w:p>
    <w:p>
      <w:pPr>
        <w:pStyle w:val="Compact"/>
        <w:numPr>
          <w:ilvl w:val="0"/>
          <w:numId w:val="1005"/>
        </w:numPr>
      </w:pPr>
      <w:r>
        <w:t xml:space="preserve">Sun, C., et al. (2014). Reversible and adaptive resistance to BRAF(V600E) inhibition in melanoma.</w:t>
      </w:r>
      <w:r>
        <w:t xml:space="preserve"> </w:t>
      </w:r>
      <w:r>
        <w:rPr>
          <w:i/>
          <w:iCs/>
        </w:rPr>
        <w:t xml:space="preserve">Nature</w:t>
      </w:r>
      <w:r>
        <w:t xml:space="preserve">, 508(7494), 118–122.</w:t>
      </w:r>
    </w:p>
    <w:p>
      <w:pPr>
        <w:pStyle w:val="Compact"/>
        <w:numPr>
          <w:ilvl w:val="0"/>
          <w:numId w:val="1005"/>
        </w:numPr>
      </w:pPr>
      <w:r>
        <w:t xml:space="preserve">Woolf, B. (1955). On estimating the relation between blood group and disease.</w:t>
      </w:r>
      <w:r>
        <w:t xml:space="preserve"> </w:t>
      </w:r>
      <w:r>
        <w:rPr>
          <w:i/>
          <w:iCs/>
        </w:rPr>
        <w:t xml:space="preserve">Annals of Human Genetics</w:t>
      </w:r>
      <w:r>
        <w:t xml:space="preserve">, 19(4), 251–253.</w:t>
      </w:r>
    </w:p>
    <w:p>
      <w:pPr>
        <w:pStyle w:val="Compact"/>
        <w:numPr>
          <w:ilvl w:val="0"/>
          <w:numId w:val="1005"/>
        </w:numPr>
      </w:pPr>
      <w:r>
        <w:t xml:space="preserve">Zhang, J., et al. (2017). Integrating evolutionary dynamics into treatment of metastatic castrate-resistant prostate cancer.</w:t>
      </w:r>
      <w:r>
        <w:t xml:space="preserve"> </w:t>
      </w:r>
      <w:r>
        <w:rPr>
          <w:i/>
          <w:iCs/>
        </w:rPr>
        <w:t xml:space="preserve">Nature Communications</w:t>
      </w:r>
      <w:r>
        <w:t xml:space="preserve">, 8(1), 1816.</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i.org/10.5281/zenodo.23585216" TargetMode="External" /><Relationship Type="http://schemas.openxmlformats.org/officeDocument/2006/relationships/hyperlink" Id="rId21" Target="https://github.com/Lukecele/spatial-game-assay" TargetMode="External" /><Relationship Type="http://schemas.openxmlformats.org/officeDocument/2006/relationships/hyperlink" Id="rId20" Target="https://orcid.org/0009-0007-0931-3555"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5281/zenodo.23585216" TargetMode="External" /><Relationship Type="http://schemas.openxmlformats.org/officeDocument/2006/relationships/hyperlink" Id="rId21" Target="https://github.com/Lukecele/spatial-game-assay" TargetMode="External" /><Relationship Type="http://schemas.openxmlformats.org/officeDocument/2006/relationships/hyperlink" Id="rId20" Target="https://orcid.org/0009-0007-0931-35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2026-10-26T16:07:51Z</dcterms:created>
  <dcterms:modified xsi:type="dcterms:W3CDTF">2026-10-26T16:07:51Z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