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e176e3a635a576688d68c862edad781682c015"/>
    <w:p>
      <w:pPr>
        <w:pStyle w:val="Heading1"/>
      </w:pPr>
      <w:r>
        <w:t xml:space="preserve">Conditions for Pharmacological Sanctuaries in Perivascular Tumour Cords: A Reaction–Diffusion Analysis, a Regrowth-Kinetics Identity, and a Descriptive Survival Analysis of Histologic Subtype in Resected Lung Adenocarcinoma</w:t>
      </w:r>
    </w:p>
    <w:p>
      <w:pPr>
        <w:pStyle w:val="FirstParagraph"/>
      </w:pPr>
      <w:r>
        <w:rPr>
          <w:b/>
          <w:bCs/>
        </w:rPr>
        <w:t xml:space="preserve">Luca Celebrano</w:t>
      </w:r>
      <m:oMath>
        <m:sSup>
          <m:e>
            <m:r>
              <m:t>​</m:t>
            </m:r>
          </m:e>
          <m:sup>
            <m:r>
              <m:t>1</m:t>
            </m:r>
            <m:r>
              <m:rPr>
                <m:sty m:val="p"/>
              </m:rPr>
              <m:t>,</m:t>
            </m:r>
            <m:r>
              <m:t>2</m:t>
            </m:r>
          </m:sup>
        </m:sSup>
      </m:oMath>
    </w:p>
    <w:p>
      <w:pPr>
        <w:pStyle w:val="BodyText"/>
      </w:pPr>
      <m:oMath>
        <m:sSup>
          <m:e>
            <m:r>
              <m:t>​</m:t>
            </m:r>
          </m:e>
          <m:sup>
            <m:r>
              <m:t>1</m:t>
            </m:r>
          </m:sup>
        </m:sSup>
      </m:oMath>
      <w:r>
        <w:t xml:space="preserve">Department of Clinical Medicine and Surgery, School of Medicine, University of Naples Federico II, Via Sergio Pansini 5, 80131 Naples, Italy</w:t>
      </w:r>
      <w:r>
        <w:br/>
      </w:r>
      <m:oMath>
        <m:sSup>
          <m:e>
            <m:r>
              <m:t>​</m:t>
            </m:r>
          </m:e>
          <m:sup>
            <m:r>
              <m:t>2</m:t>
            </m:r>
          </m:sup>
        </m:sSup>
      </m:oMath>
      <w:r>
        <w:t xml:space="preserve">Telethon Institute of Genetics and Medicine (TIGEM), Via Campi Flegrei 34, 80078 Pozzuoli, Naples, Italy</w:t>
      </w:r>
      <w:r>
        <w:br/>
      </w:r>
      <w:r>
        <w:rPr>
          <w:i/>
          <w:iCs/>
        </w:rPr>
        <w:t xml:space="preserve">Correspondence: luca.celebrano5@gmail.com / l.celebrano@studenti.unina.it | ORCID:</w:t>
      </w:r>
      <w:r>
        <w:rPr>
          <w:i/>
          <w:iCs/>
        </w:rPr>
        <w:t xml:space="preserve"> </w:t>
      </w:r>
      <w:hyperlink r:id="rId20">
        <w:r>
          <w:rPr>
            <w:rStyle w:val="Hyperlink"/>
            <w:i/>
            <w:iCs/>
          </w:rPr>
          <w:t xml:space="preserve">0009-0007-0931-3555</w:t>
        </w:r>
      </w:hyperlink>
    </w:p>
    <w:p>
      <w:r>
        <w:pict>
          <v:rect style="width:0;height:1.5pt" o:hralign="center" o:hrstd="t" o:hr="t"/>
        </w:pict>
      </w:r>
    </w:p>
    <w:bookmarkStart w:id="21" w:name="abstract"/>
    <w:p>
      <w:pPr>
        <w:pStyle w:val="Heading3"/>
      </w:pPr>
      <w:r>
        <w:t xml:space="preserve">Abstract</w:t>
      </w:r>
    </w:p>
    <w:p>
      <w:pPr>
        <w:pStyle w:val="FirstParagraph"/>
      </w:pPr>
      <w:r>
        <w:rPr>
          <w:b/>
          <w:bCs/>
        </w:rPr>
        <w:t xml:space="preserve">Background:</w:t>
      </w:r>
      <w:r>
        <w:t xml:space="preserve"> </w:t>
      </w:r>
      <w:r>
        <w:t xml:space="preserve">Adjuvant osimertinib markedly improves disease-free survival in resected</w:t>
      </w:r>
      <w:r>
        <w:t xml:space="preserve"> </w:t>
      </w:r>
      <w:r>
        <w:rPr>
          <w:i/>
          <w:iCs/>
        </w:rPr>
        <w:t xml:space="preserve">EGFR</w:t>
      </w:r>
      <w:r>
        <w:t xml:space="preserve">-mutated non-small-cell lung cancer (NSCLC). However, clinical follow-up in the ADAURA trial revealed that among patients who experienced recurrence, the majority of relapses manifested after planned treatment cessation at year 3, frequently without acquired genomic resistance mutations. We examined whether biophysical drug transport limitations could establish tissue sanctuaries that shelter drug-sensitive tumor cells.</w:t>
      </w:r>
      <w:r>
        <w:br/>
      </w:r>
      <w:r>
        <w:rPr>
          <w:b/>
          <w:bCs/>
        </w:rPr>
        <w:t xml:space="preserve">Methods:</w:t>
      </w:r>
      <w:r>
        <w:t xml:space="preserve"> </w:t>
      </w:r>
      <w:r>
        <w:t xml:space="preserve">We analyzed steady-state reaction–diffusion transport in two canonical tumor micro-architectures: outward perivascular cords (divergent cylindrical geometry, modified Bessel</w:t>
      </w:r>
      <w:r>
        <w:t xml:space="preserve"> </w:t>
      </w:r>
      <m:oMath>
        <m:sSub>
          <m:e>
            <m:r>
              <m:t>K</m:t>
            </m:r>
          </m:e>
          <m:sub>
            <m:r>
              <m:t>0</m:t>
            </m:r>
          </m:sub>
        </m:sSub>
      </m:oMath>
      <w:r>
        <w:t xml:space="preserve">) and inward avascular nests (convergent cylindrical geometry, modified Bessel</w:t>
      </w:r>
      <w:r>
        <w:t xml:space="preserve"> </w:t>
      </w:r>
      <m:oMath>
        <m:sSub>
          <m:e>
            <m:r>
              <m:t>I</m:t>
            </m:r>
          </m:e>
          <m:sub>
            <m:r>
              <m:t>0</m:t>
            </m:r>
          </m:sub>
        </m:sSub>
      </m:oMath>
      <w:r>
        <w:t xml:space="preserve">). We derived an exact algebraic identity governing post-cessation exponential regrowth from molecular residual disease (ctDNA,</w:t>
      </w:r>
      <w:r>
        <w:t xml:space="preserve"> </w:t>
      </w:r>
      <m:oMath>
        <m:sSup>
          <m:e>
            <m:r>
              <m:t>10</m:t>
            </m:r>
          </m:e>
          <m:sup>
            <m:r>
              <m:t>7</m:t>
            </m:r>
          </m:sup>
        </m:sSup>
      </m:oMath>
      <w:r>
        <w:t xml:space="preserve"> </w:t>
      </w:r>
      <w:r>
        <w:t xml:space="preserve">cells) to radiologic detection (CT,</w:t>
      </w:r>
      <w:r>
        <w:t xml:space="preserve"> </w:t>
      </w:r>
      <m:oMath>
        <m:sSup>
          <m:e>
            <m:r>
              <m:t>10</m:t>
            </m:r>
          </m:e>
          <m:sup>
            <m:r>
              <m:t>9</m:t>
            </m:r>
          </m:sup>
        </m:sSup>
      </m:oMath>
      <w:r>
        <w:t xml:space="preserve"> </w:t>
      </w:r>
      <w:r>
        <w:t xml:space="preserve">cells). We evaluated the clinical prognostic relevance of histologic architecture in 604 resected lung adenocarcinoma patients from Memorial Sloan Kettering Cancer Center (MSKCC 2020).</w:t>
      </w:r>
      <w:r>
        <w:br/>
      </w:r>
      <w:r>
        <w:rPr>
          <w:b/>
          <w:bCs/>
        </w:rPr>
        <w:t xml:space="preserve">Results:</w:t>
      </w:r>
      <w:r>
        <w:t xml:space="preserve"> </w:t>
      </w:r>
      <w:r>
        <w:t xml:space="preserve">In perivascular cords, outward radial diffusion of osimertinib (</w:t>
      </w:r>
      <m:oMath>
        <m:r>
          <m:t>λ</m:t>
        </m:r>
        <m:r>
          <m:rPr>
            <m:sty m:val="p"/>
          </m:rPr>
          <m:t>=</m:t>
        </m:r>
        <m:r>
          <m:t>627.7</m:t>
        </m:r>
        <m:r>
          <m:t> </m:t>
        </m:r>
        <m:r>
          <m:t>μ</m:t>
        </m:r>
        <m:r>
          <m:rPr>
            <m:nor/>
            <m:sty m:val="p"/>
          </m:rPr>
          <m:t>m</m:t>
        </m:r>
      </m:oMath>
      <w:r>
        <w:t xml:space="preserve">) produces a steep concentration drop beneath the</w:t>
      </w:r>
      <w:r>
        <w:t xml:space="preserve"> </w:t>
      </w:r>
      <m:oMath>
        <m:sSub>
          <m:e>
            <m:r>
              <m:rPr>
                <m:nor/>
                <m:sty m:val="p"/>
              </m:rPr>
              <m:t>IC</m:t>
            </m:r>
          </m:e>
          <m:sub>
            <m:r>
              <m:t>50</m:t>
            </m:r>
          </m:sub>
        </m:sSub>
      </m:oMath>
      <w:r>
        <w:t xml:space="preserve"> </w:t>
      </w:r>
      <w:r>
        <w:t xml:space="preserve">threshold (</w:t>
      </w:r>
      <m:oMath>
        <m:r>
          <m:t>θ</m:t>
        </m:r>
        <m:r>
          <m:rPr>
            <m:sty m:val="p"/>
          </m:rPr>
          <m:t>=</m:t>
        </m:r>
        <m:r>
          <m:t>0.35</m:t>
        </m:r>
      </m:oMath>
      <w:r>
        <w:t xml:space="preserve">) at</w:t>
      </w:r>
      <w:r>
        <w:t xml:space="preserve"> </w:t>
      </w:r>
      <m:oMath>
        <m:sSub>
          <m:e>
            <m:r>
              <m:t>r</m:t>
            </m:r>
          </m:e>
          <m:sub>
            <m:r>
              <m:rPr>
                <m:nor/>
                <m:sty m:val="p"/>
              </m:rPr>
              <m:t>crit</m:t>
            </m:r>
          </m:sub>
        </m:sSub>
        <m:r>
          <m:rPr>
            <m:sty m:val="p"/>
          </m:rPr>
          <m:t>=</m:t>
        </m:r>
        <m:r>
          <m:t>165.9</m:t>
        </m:r>
        <m:r>
          <m:t> </m:t>
        </m:r>
        <m:r>
          <m:t>μ</m:t>
        </m:r>
        <m:r>
          <m:rPr>
            <m:nor/>
            <m:sty m:val="p"/>
          </m:rPr>
          <m:t>m</m:t>
        </m:r>
      </m:oMath>
      <w:r>
        <w:t xml:space="preserve">. Because tissue oxygenation extends to</w:t>
      </w:r>
      <w:r>
        <w:t xml:space="preserve"> </w:t>
      </w:r>
      <m:oMath>
        <m:sSub>
          <m:e>
            <m:r>
              <m:t>r</m:t>
            </m:r>
          </m:e>
          <m:sub>
            <m:r>
              <m:rPr>
                <m:nor/>
                <m:sty m:val="p"/>
              </m:rPr>
              <m:t>ox</m:t>
            </m:r>
          </m:sub>
        </m:sSub>
        <m:r>
          <m:rPr>
            <m:sty m:val="p"/>
          </m:rPr>
          <m:t>≈</m:t>
        </m:r>
        <m:r>
          <m:t>200</m:t>
        </m:r>
        <m:r>
          <m:t> </m:t>
        </m:r>
        <m:r>
          <m:t>μ</m:t>
        </m:r>
        <m:r>
          <m:rPr>
            <m:nor/>
            <m:sty m:val="p"/>
          </m:rPr>
          <m:t>m</m:t>
        </m:r>
      </m:oMath>
      <w:r>
        <w:t xml:space="preserve">, a viable pharmacological sanctuary shell of width</w:t>
      </w:r>
      <w:r>
        <w:t xml:space="preserve"> </w:t>
      </w:r>
      <m:oMath>
        <m:r>
          <m:t>Δ</m:t>
        </m:r>
        <m:r>
          <m:t>r</m:t>
        </m:r>
        <m:r>
          <m:rPr>
            <m:sty m:val="p"/>
          </m:rPr>
          <m:t>=</m:t>
        </m:r>
        <m:r>
          <m:t>34.1</m:t>
        </m:r>
        <m:r>
          <m:t> </m:t>
        </m:r>
        <m:r>
          <m:t>μ</m:t>
        </m:r>
        <m:r>
          <m:rPr>
            <m:nor/>
            <m:sty m:val="p"/>
          </m:rPr>
          <m:t>m</m:t>
        </m:r>
      </m:oMath>
      <w:r>
        <w:t xml:space="preserve"> </w:t>
      </w:r>
      <w:r>
        <w:t xml:space="preserve">can persist. Conversely, in inward avascular nests, convergent geometry maintains osimertinib at</w:t>
      </w:r>
      <w:r>
        <w:t xml:space="preserve"> </w:t>
      </w:r>
      <m:oMath>
        <m:r>
          <m:t>90.6</m:t>
        </m:r>
        <m:r>
          <m:rPr>
            <m:sty m:val="p"/>
          </m:rPr>
          <m:t>%</m:t>
        </m:r>
        <m:r>
          <m:rPr>
            <m:nor/>
            <m:sty m:val="p"/>
          </m:rPr>
          <m:t>–</m:t>
        </m:r>
        <m:r>
          <m:t>99.4</m:t>
        </m:r>
        <m:r>
          <m:rPr>
            <m:sty m:val="p"/>
          </m:rPr>
          <m:t>%</m:t>
        </m:r>
      </m:oMath>
      <w:r>
        <w:t xml:space="preserve"> </w:t>
      </w:r>
      <w:r>
        <w:t xml:space="preserve">of boundary levels throughout viable regions, precluding small-molecule sanctuaries. In a multidimensional sensitivity analysis (Monte Carlo sampling with log-normal priors, seed = 2), an outward sanctuary shell existed in 46.1% of parameter draws (62.8% when</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is fixed). The diagnostic lead time</w:t>
      </w:r>
      <w:r>
        <w:t xml:space="preserve"> </w:t>
      </w:r>
      <m:oMath>
        <m:r>
          <m:t>Δ</m:t>
        </m:r>
        <m:r>
          <m:t>t</m:t>
        </m:r>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5.46</m:t>
        </m:r>
        <m:r>
          <m:t> </m:t>
        </m:r>
        <m:r>
          <m:rPr>
            <m:nor/>
            <m:sty m:val="p"/>
          </m:rPr>
          <m:t>months</m:t>
        </m:r>
      </m:oMath>
      <w:r>
        <w:t xml:space="preserve"> </w:t>
      </w:r>
      <w:r>
        <w:t xml:space="preserve">(for doubling time</w:t>
      </w:r>
      <w:r>
        <w:t xml:space="preserve"> </w:t>
      </w:r>
      <m:oMath>
        <m:sSub>
          <m:e>
            <m:r>
              <m:t>T</m:t>
            </m:r>
          </m:e>
          <m:sub>
            <m:r>
              <m:t>s</m:t>
            </m:r>
          </m:sub>
        </m:sSub>
        <m:r>
          <m:rPr>
            <m:sty m:val="p"/>
          </m:rPr>
          <m:t>=</m:t>
        </m:r>
        <m:r>
          <m:t>25</m:t>
        </m:r>
        <m:r>
          <m:t> </m:t>
        </m:r>
        <m:r>
          <m:rPr>
            <m:nor/>
            <m:sty m:val="p"/>
          </m:rPr>
          <m:t>days</m:t>
        </m:r>
      </m:oMath>
      <w:r>
        <w:t xml:space="preserve">) is an analytical property of exponential expansion and assay thresholds, rather than an empirical confirmation of sanctuary existence. In the MSKCC cohort (reverse Kaplan–Meier median follow-up 23.8 months, IQR: 13.3–31.8 months), lepidic architecture showed an exceptionally low recurrence rate (4.55%, stage-adjusted</w:t>
      </w:r>
      <w:r>
        <w:t xml:space="preserve"> </w:t>
      </w:r>
      <m:oMath>
        <m:r>
          <m:t>H</m:t>
        </m:r>
        <m:r>
          <m:t>R</m:t>
        </m:r>
        <m:r>
          <m:rPr>
            <m:sty m:val="p"/>
          </m:rPr>
          <m:t>=</m:t>
        </m:r>
        <m:r>
          <m:t>0.25</m:t>
        </m:r>
      </m:oMath>
      <w:r>
        <w:t xml:space="preserve">,</w:t>
      </w:r>
      <w:r>
        <w:t xml:space="preserve"> </w:t>
      </w:r>
      <m:oMath>
        <m:r>
          <m:t>95</m:t>
        </m:r>
        <m:r>
          <m:rPr>
            <m:sty m:val="p"/>
          </m:rPr>
          <m:t>%</m:t>
        </m:r>
        <m:r>
          <m:t> </m:t>
        </m:r>
        <m:r>
          <m:rPr>
            <m:nor/>
            <m:sty m:val="p"/>
          </m:rPr>
          <m:t>CI</m:t>
        </m:r>
        <m:r>
          <m:rPr>
            <m:sty m:val="p"/>
          </m:rPr>
          <m:t>:</m:t>
        </m:r>
        <m:r>
          <m:t>0.09</m:t>
        </m:r>
        <m:r>
          <m:rPr>
            <m:nor/>
            <m:sty m:val="p"/>
          </m:rPr>
          <m:t>–</m:t>
        </m:r>
        <m:r>
          <m:t>0.70</m:t>
        </m:r>
      </m:oMath>
      <w:r>
        <w:t xml:space="preserve">,</w:t>
      </w:r>
      <w:r>
        <w:t xml:space="preserve"> </w:t>
      </w:r>
      <m:oMath>
        <m:r>
          <m:t>p</m:t>
        </m:r>
        <m:r>
          <m:rPr>
            <m:sty m:val="p"/>
          </m:rPr>
          <m:t>=</m:t>
        </m:r>
        <m:r>
          <m:t>0.0084</m:t>
        </m:r>
      </m:oMath>
      <w:r>
        <w:t xml:space="preserve"> </w:t>
      </w:r>
      <w:r>
        <w:t xml:space="preserve">vs acinar). In 10-fold Holm-adjusted pairwise comparisons, lepidic recurrence was significantly lower than solid (</w:t>
      </w:r>
      <m:oMath>
        <m:sSub>
          <m:e>
            <m:r>
              <m:t>p</m:t>
            </m:r>
          </m:e>
          <m:sub>
            <m:r>
              <m:rPr>
                <m:nor/>
                <m:sty m:val="p"/>
              </m:rPr>
              <m:t>adj</m:t>
            </m:r>
          </m:sub>
        </m:sSub>
        <m:r>
          <m:rPr>
            <m:sty m:val="p"/>
          </m:rPr>
          <m:t>=</m:t>
        </m:r>
        <m:r>
          <m:t>0.0026</m:t>
        </m:r>
      </m:oMath>
      <w:r>
        <w:t xml:space="preserve">) and papillary (</w:t>
      </w:r>
      <m:oMath>
        <m:sSub>
          <m:e>
            <m:r>
              <m:t>p</m:t>
            </m:r>
          </m:e>
          <m:sub>
            <m:r>
              <m:rPr>
                <m:nor/>
                <m:sty m:val="p"/>
              </m:rPr>
              <m:t>adj</m:t>
            </m:r>
          </m:sub>
        </m:sSub>
        <m:r>
          <m:rPr>
            <m:sty m:val="p"/>
          </m:rPr>
          <m:t>=</m:t>
        </m:r>
        <m:r>
          <m:t>0.020</m:t>
        </m:r>
      </m:oMath>
      <w:r>
        <w:t xml:space="preserve">), whereas differences vs acinar (</w:t>
      </w:r>
      <m:oMath>
        <m:sSub>
          <m:e>
            <m:r>
              <m:t>p</m:t>
            </m:r>
          </m:e>
          <m:sub>
            <m:r>
              <m:rPr>
                <m:nor/>
                <m:sty m:val="p"/>
              </m:rPr>
              <m:t>adj</m:t>
            </m:r>
          </m:sub>
        </m:sSub>
        <m:r>
          <m:rPr>
            <m:sty m:val="p"/>
          </m:rPr>
          <m:t>=</m:t>
        </m:r>
        <m:r>
          <m:t>0.070</m:t>
        </m:r>
      </m:oMath>
      <w:r>
        <w:t xml:space="preserve">) and micropapillary (</w:t>
      </w:r>
      <m:oMath>
        <m:sSub>
          <m:e>
            <m:r>
              <m:t>p</m:t>
            </m:r>
          </m:e>
          <m:sub>
            <m:r>
              <m:rPr>
                <m:nor/>
                <m:sty m:val="p"/>
              </m:rPr>
              <m:t>adj</m:t>
            </m:r>
          </m:sub>
        </m:sSub>
        <m:r>
          <m:rPr>
            <m:sty m:val="p"/>
          </m:rPr>
          <m:t>=</m:t>
        </m:r>
        <m:r>
          <m:t>0.39</m:t>
        </m:r>
      </m:oMath>
      <w:r>
        <w:t xml:space="preserve">, unadjusted</w:t>
      </w:r>
      <w:r>
        <w:t xml:space="preserve"> </w:t>
      </w:r>
      <m:oMath>
        <m:r>
          <m:t>p</m:t>
        </m:r>
        <m:r>
          <m:rPr>
            <m:sty m:val="p"/>
          </m:rPr>
          <m:t>=</m:t>
        </m:r>
        <m:r>
          <m:t>0.056</m:t>
        </m:r>
      </m:oMath>
      <w:r>
        <w:t xml:space="preserve">) did not achieve significance under family-wise error control. Grouping solid and micropapillary patterns yielded an exploratory contrast of</w:t>
      </w:r>
      <w:r>
        <w:t xml:space="preserve"> </w:t>
      </w:r>
      <m:oMath>
        <m:r>
          <m:t>H</m:t>
        </m:r>
        <m:r>
          <m:t>R</m:t>
        </m:r>
        <m:r>
          <m:rPr>
            <m:sty m:val="p"/>
          </m:rPr>
          <m:t>=</m:t>
        </m:r>
        <m:r>
          <m:t>6.75</m:t>
        </m:r>
      </m:oMath>
      <w:r>
        <w:t xml:space="preserve"> </w:t>
      </w:r>
      <w:r>
        <w:t xml:space="preserve">(</w:t>
      </w:r>
      <m:oMath>
        <m:r>
          <m:t>95</m:t>
        </m:r>
        <m:r>
          <m:rPr>
            <m:sty m:val="p"/>
          </m:rPr>
          <m:t>%</m:t>
        </m:r>
        <m:r>
          <m:t> </m:t>
        </m:r>
        <m:r>
          <m:rPr>
            <m:nor/>
            <m:sty m:val="p"/>
          </m:rPr>
          <m:t>CI</m:t>
        </m:r>
        <m:r>
          <m:rPr>
            <m:sty m:val="p"/>
          </m:rPr>
          <m:t>:</m:t>
        </m:r>
        <m:r>
          <m:t>2.28</m:t>
        </m:r>
        <m:r>
          <m:rPr>
            <m:nor/>
            <m:sty m:val="p"/>
          </m:rPr>
          <m:t>–</m:t>
        </m:r>
        <m:r>
          <m:t>19.97</m:t>
        </m:r>
      </m:oMath>
      <w:r>
        <w:t xml:space="preserve">) against lepidic (based on 4 lepidic events, with an unbounded bootstrap upper limit), whereas across the unselected cohort the hazard ratio was</w:t>
      </w:r>
      <w:r>
        <w:t xml:space="preserve"> </w:t>
      </w:r>
      <m:oMath>
        <m:r>
          <m:t>1.32</m:t>
        </m:r>
      </m:oMath>
      <w:r>
        <w:t xml:space="preserve"> </w:t>
      </w:r>
      <w:r>
        <w:t xml:space="preserve">(</w:t>
      </w:r>
      <m:oMath>
        <m:r>
          <m:t>p</m:t>
        </m:r>
        <m:r>
          <m:rPr>
            <m:sty m:val="p"/>
          </m:rPr>
          <m:t>=</m:t>
        </m:r>
        <m:r>
          <m:t>0.239</m:t>
        </m:r>
      </m:oMath>
      <w:r>
        <w:t xml:space="preserve">).</w:t>
      </w:r>
      <w:r>
        <w:br/>
      </w:r>
      <w:r>
        <w:rPr>
          <w:b/>
          <w:bCs/>
        </w:rPr>
        <w:t xml:space="preserve">Conclusions:</w:t>
      </w:r>
      <w:r>
        <w:t xml:space="preserve"> </w:t>
      </w:r>
      <w:r>
        <w:t xml:space="preserve">Small-molecule pharmacological sanctuaries are geometrically restricted to outward perivascular cords and do not occur in avascular nests. The clinical data demonstrate robust baseline protection associated with lepidic growth rather than an escalating risk across compact patterns. Surveillance strategies based on molecular lead time must be evaluated in prospective trials to rule out lead-time bias.</w:t>
      </w:r>
    </w:p>
    <w:p>
      <w:pPr>
        <w:pStyle w:val="BodyText"/>
      </w:pPr>
      <w:r>
        <w:rPr>
          <w:b/>
          <w:bCs/>
        </w:rPr>
        <w:t xml:space="preserve">Keywords:</w:t>
      </w:r>
      <w:r>
        <w:t xml:space="preserve"> </w:t>
      </w:r>
      <w:r>
        <w:t xml:space="preserve">Pharmacological sanctuary, Reaction-diffusion, Modified Bessel functions, Tumor cords, Non-small-cell lung cancer, EGFR tyrosine kinase inhibitors, ADAURA, IASLC histologic grading.</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Adjuvant targeted therapy with the third-generation epidermal growth factor receptor (EGFR) tyrosine kinase inhibitor (TKI) osimertinib produces profound disease-free and overall survival benefits in patients with resected stage IB–IIIA</w:t>
      </w:r>
      <w:r>
        <w:t xml:space="preserve"> </w:t>
      </w:r>
      <w:r>
        <w:rPr>
          <w:i/>
          <w:iCs/>
        </w:rPr>
        <w:t xml:space="preserve">EGFR</w:t>
      </w:r>
      <w:r>
        <w:t xml:space="preserve">-mutated non-small-cell lung cancer (NSCLC) (Wu et al.,</w:t>
      </w:r>
      <w:r>
        <w:t xml:space="preserve"> </w:t>
      </w:r>
      <w:r>
        <w:rPr>
          <w:i/>
          <w:iCs/>
        </w:rPr>
        <w:t xml:space="preserve">N Engl J Med</w:t>
      </w:r>
      <w:r>
        <w:t xml:space="preserve"> </w:t>
      </w:r>
      <w:r>
        <w:t xml:space="preserve">2020 [1]; Tsuboi et al.,</w:t>
      </w:r>
      <w:r>
        <w:t xml:space="preserve"> </w:t>
      </w:r>
      <w:r>
        <w:rPr>
          <w:i/>
          <w:iCs/>
        </w:rPr>
        <w:t xml:space="preserve">N Engl J Med</w:t>
      </w:r>
      <w:r>
        <w:t xml:space="preserve"> </w:t>
      </w:r>
      <w:r>
        <w:t xml:space="preserve">2023 [2]). In the landmark ADAURA trial, three years of daily oral osimertinib suppressed disease recurrence by nearly 80% during active treatment. However, extended follow-up identified an important temporal pattern: following planned therapy completion at month 36, disease-free survival curves showed an inflection, with a substantial portion of recurrences emerging in the post-cessation observation window (months 36 to 60) (Herbst et al.,</w:t>
      </w:r>
      <w:r>
        <w:t xml:space="preserve"> </w:t>
      </w:r>
      <w:r>
        <w:rPr>
          <w:i/>
          <w:iCs/>
        </w:rPr>
        <w:t xml:space="preserve">Nat Med</w:t>
      </w:r>
      <w:r>
        <w:t xml:space="preserve"> </w:t>
      </w:r>
      <w:r>
        <w:t xml:space="preserve">2025 [13]). In an exploratory molecular residual disease (MRD) analysis of 28 patients in the osimertinib arm who developed disease recurrence, 19 events (67.9%) occurred after treatment discontinuation; among these 19 post-cessation events, 11 (57.9%) manifested within the first 12 months post-cessation (months 36–48). Crucially, post-cessation recurrences frequently lacked canonical secondary genetic resistance alterations (such as</w:t>
      </w:r>
      <w:r>
        <w:t xml:space="preserve"> </w:t>
      </w:r>
      <w:r>
        <w:rPr>
          <w:i/>
          <w:iCs/>
        </w:rPr>
        <w:t xml:space="preserve">EGFR</w:t>
      </w:r>
      <w:r>
        <w:t xml:space="preserve"> </w:t>
      </w:r>
      <w:r>
        <w:t xml:space="preserve">T790M, C797S, or</w:t>
      </w:r>
      <w:r>
        <w:t xml:space="preserve"> </w:t>
      </w:r>
      <w:r>
        <w:rPr>
          <w:i/>
          <w:iCs/>
        </w:rPr>
        <w:t xml:space="preserve">MET</w:t>
      </w:r>
      <w:r>
        <w:t xml:space="preserve"> </w:t>
      </w:r>
      <w:r>
        <w:t xml:space="preserve">amplification), and clinical rechallenge with osimertinib frequently re-established disease control.</w:t>
      </w:r>
    </w:p>
    <w:p>
      <w:pPr>
        <w:pStyle w:val="BodyText"/>
      </w:pPr>
      <w:r>
        <w:t xml:space="preserve">This clinical phenomenon suggests that residual cancer cells may persist through non-genetic mechanisms. While epigenetic reprogramming and drug-tolerant persister (DTP) states have been extensively characterized in vitro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 biological persister states require continued drug presence to maintain viability, whereas clinical relapses occur months after systemic drug clearance.</w:t>
      </w:r>
    </w:p>
    <w:p>
      <w:pPr>
        <w:pStyle w:val="BodyText"/>
      </w:pPr>
      <w:r>
        <w:t xml:space="preserve">An alternative biophysical hypothesis is that microenvironmental transport barriers create spatial pharmacological sanctuaries: tissue niches where local drug exposure drops beneath cytotoxic or cytostatic thresholds while physiological nutrient and oxygen supply remains adequate to support cell survival. In this study, we evaluate this hypothesis by:</w:t>
      </w:r>
      <w:r>
        <w:t xml:space="preserve"> </w:t>
      </w:r>
      <w:r>
        <w:t xml:space="preserve">1. Solving exact cylindrical reaction–diffusion boundary value problems across outward perivascular cords and inward avascular nests;</w:t>
      </w:r>
      <w:r>
        <w:t xml:space="preserve"> </w:t>
      </w:r>
      <w:r>
        <w:t xml:space="preserve">2. Deriving the analytical lead-time identity governing post-cessation clonal regrowth;</w:t>
      </w:r>
      <w:r>
        <w:t xml:space="preserve"> </w:t>
      </w:r>
      <w:r>
        <w:t xml:space="preserve">3. Conducting a descriptive survival audit of histologic subtype in 604 resected lung adenocarcinoma patients from Memorial Sloan Kettering Cancer Center.</w:t>
      </w:r>
    </w:p>
    <w:p>
      <w:r>
        <w:pict>
          <v:rect style="width:0;height:1.5pt" o:hralign="center" o:hrstd="t" o:hr="t"/>
        </w:pict>
      </w:r>
    </w:p>
    <w:bookmarkEnd w:id="22"/>
    <w:bookmarkStart w:id="34" w:name="X8acccfeb0f9b368abb17553ec9ed2db4a70c588"/>
    <w:p>
      <w:pPr>
        <w:pStyle w:val="Heading2"/>
      </w:pPr>
      <w:r>
        <w:t xml:space="preserve">2. Biophysical Reaction–Diffusion Transport &amp; Parameter Sensitivity</w:t>
      </w:r>
    </w:p>
    <w:bookmarkStart w:id="26" w:name="X59655272b60438b4c7293f352575ca7c79b5fe5"/>
    <w:p>
      <w:pPr>
        <w:pStyle w:val="Heading3"/>
      </w:pPr>
      <w:r>
        <w:t xml:space="preserve">2.1 Mathematical Formulation of Radial Transport</w:t>
      </w:r>
    </w:p>
    <w:p>
      <w:pPr>
        <w:pStyle w:val="FirstParagraph"/>
      </w:pPr>
      <w:r>
        <w:t xml:space="preserve">We model steady-state drug diffusion coupled to first-order irreversible cellular uptake in cylindrical coordinates: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C</m:t>
        </m:r>
        <m:d>
          <m:dPr>
            <m:begChr m:val="("/>
            <m:endChr m:val=")"/>
            <m:sepChr m:val=""/>
            <m:grow/>
          </m:dPr>
          <m:e>
            <m:r>
              <m:t>r</m:t>
            </m:r>
          </m:e>
        </m:d>
      </m:oMath>
      <w:r>
        <w:t xml:space="preserve"> </w:t>
      </w:r>
      <w:r>
        <w:t xml:space="preserve">is local interstitial concentration,</w:t>
      </w:r>
      <w:r>
        <w:t xml:space="preserve"> </w:t>
      </w:r>
      <m:oMath>
        <m:r>
          <m:t>D</m:t>
        </m:r>
      </m:oMath>
      <w:r>
        <w:t xml:space="preserve"> </w:t>
      </w:r>
      <w:r>
        <w:t xml:space="preserve">is effective tissue diffusivity, and</w:t>
      </w:r>
      <w:r>
        <w:t xml:space="preserve"> </w:t>
      </w:r>
      <m:oMath>
        <m:r>
          <m:t>k</m:t>
        </m:r>
      </m:oMath>
      <w:r>
        <w:t xml:space="preserve"> </w:t>
      </w:r>
      <w:r>
        <w:t xml:space="preserve">is the volumetric uptake rate constant. The characteristic penetration length is defined by:</w:t>
      </w:r>
    </w:p>
    <w:p>
      <w:pPr>
        <w:pStyle w:val="BodyText"/>
      </w:pPr>
      <m:oMathPara>
        <m:oMathParaPr>
          <m:jc m:val="center"/>
        </m:oMathParaPr>
        <m:oMath>
          <m:r>
            <m:t>λ</m:t>
          </m:r>
          <m:r>
            <m:rPr>
              <m:sty m:val="p"/>
            </m:rPr>
            <m:t>=</m:t>
          </m:r>
          <m:rad>
            <m:radPr>
              <m:degHide m:val="on"/>
            </m:radPr>
            <m:deg/>
            <m:e>
              <m:f>
                <m:fPr>
                  <m:type m:val="bar"/>
                </m:fPr>
                <m:num>
                  <m:r>
                    <m:t>D</m:t>
                  </m:r>
                </m:num>
                <m:den>
                  <m:r>
                    <m:t>k</m:t>
                  </m:r>
                </m:den>
              </m:f>
            </m:e>
          </m:rad>
        </m:oMath>
      </m:oMathPara>
    </w:p>
    <w:p>
      <w:pPr>
        <w:pStyle w:val="FirstParagraph"/>
      </w:pPr>
      <w:r>
        <w:t xml:space="preserve">The physical behavior depends critically upon boundary conditions and radial directionality (</w:t>
      </w:r>
      <w:r>
        <w:rPr>
          <w:b/>
          <w:bCs/>
        </w:rPr>
        <w:t xml:space="preserve">Figure 1A</w:t>
      </w:r>
      <w:r>
        <w:t xml:space="preserve">):</w:t>
      </w:r>
    </w:p>
    <w:bookmarkStart w:id="23" w:name="Xb66945d267704d8f43f84f56b9a91f7c2a32445"/>
    <w:p>
      <w:pPr>
        <w:pStyle w:val="Heading4"/>
      </w:pPr>
      <w:r>
        <w:t xml:space="preserve">Geometry 1: Outward Perivascular Cord (Divergent Cylindrical Transport)</w:t>
      </w:r>
    </w:p>
    <w:p>
      <w:pPr>
        <w:pStyle w:val="FirstParagraph"/>
      </w:pPr>
      <w:r>
        <w:t xml:space="preserve">Tumor cells surround a central microvessel of radius</w:t>
      </w:r>
      <w:r>
        <w:t xml:space="preserve"> </w:t>
      </w:r>
      <m:oMath>
        <m:sSub>
          <m:e>
            <m:r>
              <m:t>r</m:t>
            </m:r>
          </m:e>
          <m:sub>
            <m:r>
              <m:t>0</m:t>
            </m:r>
          </m:sub>
        </m:sSub>
      </m:oMath>
      <w:r>
        <w:t xml:space="preserve"> </w:t>
      </w:r>
      <w:r>
        <w:t xml:space="preserve">(Krogh cylinder geometry; Thomlinson &amp; Gray [4]). Drug diffuses radially outward from the vessel wall into the surrounding tumor parenchyma:</w:t>
      </w:r>
    </w:p>
    <w:p>
      <w:pPr>
        <w:pStyle w:val="BodyText"/>
      </w:pPr>
      <m:oMathPara>
        <m:oMathParaPr>
          <m:jc m:val="center"/>
        </m:oMathParaPr>
        <m:oMath>
          <m:r>
            <m:t>C</m:t>
          </m:r>
          <m:d>
            <m:dPr>
              <m:begChr m:val="("/>
              <m:endChr m:val=")"/>
              <m:sepChr m:val=""/>
              <m:grow/>
            </m:dPr>
            <m:e>
              <m:sSub>
                <m:e>
                  <m:r>
                    <m:t>r</m:t>
                  </m:r>
                </m:e>
                <m:sub>
                  <m:r>
                    <m:t>0</m:t>
                  </m:r>
                </m:sub>
              </m:sSub>
            </m:e>
          </m:d>
          <m:r>
            <m:rPr>
              <m:sty m:val="p"/>
            </m:rPr>
            <m:t>=</m:t>
          </m:r>
          <m:sSub>
            <m:e>
              <m:r>
                <m:t>C</m:t>
              </m:r>
            </m:e>
            <m:sub>
              <m:r>
                <m:t>0</m:t>
              </m:r>
            </m:sub>
          </m:sSub>
          <m:r>
            <m:rPr>
              <m:sty m:val="p"/>
            </m:rPr>
            <m:t>,</m:t>
          </m:r>
          <m:r>
            <m:t> </m:t>
          </m:r>
          <m:limLow>
            <m:e>
              <m:r>
                <m:rPr>
                  <m:sty m:val="p"/>
                </m:rPr>
                <m:t>lim</m:t>
              </m:r>
            </m:e>
            <m:lim>
              <m:r>
                <m:t>r</m:t>
              </m:r>
              <m:r>
                <m:rPr>
                  <m:sty m:val="p"/>
                </m:rPr>
                <m:t>→</m:t>
              </m:r>
              <m:r>
                <m:rPr>
                  <m:sty m:val="p"/>
                </m:rPr>
                <m:t>∞</m:t>
              </m:r>
            </m:lim>
          </m:limLow>
          <m:r>
            <m:t>C</m:t>
          </m:r>
          <m:d>
            <m:dPr>
              <m:begChr m:val="("/>
              <m:endChr m:val=")"/>
              <m:sepChr m:val=""/>
              <m:grow/>
            </m:dPr>
            <m:e>
              <m:r>
                <m:t>r</m:t>
              </m:r>
            </m:e>
          </m:d>
          <m:r>
            <m:rPr>
              <m:sty m:val="p"/>
            </m:rPr>
            <m:t>=</m:t>
          </m:r>
          <m:r>
            <m:t>0</m:t>
          </m:r>
        </m:oMath>
      </m:oMathPara>
    </w:p>
    <w:p>
      <w:pPr>
        <w:pStyle w:val="FirstParagraph"/>
      </w:pPr>
      <w:r>
        <w:t xml:space="preserve">The unique bounded analytical solution is given by the modified Bessel function of the second kind of order zero (</w:t>
      </w:r>
      <m:oMath>
        <m:sSub>
          <m:e>
            <m:r>
              <m:t>K</m:t>
            </m:r>
          </m:e>
          <m:sub>
            <m:r>
              <m:t>0</m:t>
            </m:r>
          </m:sub>
        </m:sSub>
      </m:oMath>
      <w:r>
        <w:t xml:space="preserve">):</w:t>
      </w:r>
    </w:p>
    <w:p>
      <w:pPr>
        <w:pStyle w:val="BodyText"/>
      </w:pPr>
      <m:oMathPara>
        <m:oMathParaPr>
          <m:jc m:val="center"/>
        </m:oMathParaPr>
        <m:oMath>
          <m:sSub>
            <m:e>
              <m:r>
                <m:t>C</m:t>
              </m:r>
            </m:e>
            <m:sub>
              <m:r>
                <m:rPr>
                  <m:nor/>
                  <m:sty m:val="p"/>
                </m:rPr>
                <m:t>out</m:t>
              </m:r>
            </m:sub>
          </m:sSub>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Because</w:t>
      </w:r>
      <w:r>
        <w:t xml:space="preserve"> </w:t>
      </w:r>
      <m:oMath>
        <m:sSub>
          <m:e>
            <m:r>
              <m:t>K</m:t>
            </m:r>
          </m:e>
          <m:sub>
            <m:r>
              <m:t>0</m:t>
            </m:r>
          </m:sub>
        </m:sSub>
        <m:d>
          <m:dPr>
            <m:begChr m:val="("/>
            <m:endChr m:val=")"/>
            <m:sepChr m:val=""/>
            <m:grow/>
          </m:dPr>
          <m:e>
            <m:r>
              <m:t>z</m:t>
            </m:r>
          </m:e>
        </m:d>
      </m:oMath>
      <w:r>
        <w:t xml:space="preserve"> </w:t>
      </w:r>
      <w:r>
        <w:t xml:space="preserve">decays logarithmically near</w:t>
      </w:r>
      <w:r>
        <w:t xml:space="preserve"> </w:t>
      </w:r>
      <m:oMath>
        <m:r>
          <m:t>z</m:t>
        </m:r>
        <m:r>
          <m:rPr>
            <m:sty m:val="p"/>
          </m:rPr>
          <m:t>→</m:t>
        </m:r>
        <m:r>
          <m:t>0</m:t>
        </m:r>
      </m:oMath>
      <w:r>
        <w:t xml:space="preserve"> </w:t>
      </w:r>
      <w:r>
        <w:t xml:space="preserve">and exponentially as</w:t>
      </w:r>
      <w:r>
        <w:t xml:space="preserve"> </w:t>
      </w:r>
      <m:oMath>
        <m:r>
          <m:t>z</m:t>
        </m:r>
        <m:r>
          <m:rPr>
            <m:sty m:val="p"/>
          </m:rPr>
          <m:t>→</m:t>
        </m:r>
        <m:r>
          <m:rPr>
            <m:sty m:val="p"/>
          </m:rPr>
          <m:t>∞</m:t>
        </m:r>
      </m:oMath>
      <w:r>
        <w:t xml:space="preserve">, outward geometric divergence causes a rapid drop in local drug concentration.</w:t>
      </w:r>
    </w:p>
    <w:bookmarkEnd w:id="23"/>
    <w:bookmarkStart w:id="24" w:name="Xd1574ca1bc07061edf07f0a2d1d8b23b90f9c7a"/>
    <w:p>
      <w:pPr>
        <w:pStyle w:val="Heading4"/>
      </w:pPr>
      <w:r>
        <w:t xml:space="preserve">Geometry 2: Inward Avascular Nest (Convergent Cylindrical Transport)</w:t>
      </w:r>
    </w:p>
    <w:p>
      <w:pPr>
        <w:pStyle w:val="FirstParagraph"/>
      </w:pPr>
      <w:r>
        <w:t xml:space="preserve">A compact avascular tumor cluster of radius</w:t>
      </w:r>
      <w:r>
        <w:t xml:space="preserve"> </w:t>
      </w:r>
      <m:oMath>
        <m:r>
          <m:t>R</m:t>
        </m:r>
      </m:oMath>
      <w:r>
        <w:t xml:space="preserve"> </w:t>
      </w:r>
      <w:r>
        <w:t xml:space="preserve">is supplied by surrounding microvasculature at the outer boundary</w:t>
      </w:r>
      <w:r>
        <w:t xml:space="preserve"> </w:t>
      </w:r>
      <m:oMath>
        <m:r>
          <m:t>r</m:t>
        </m:r>
        <m:r>
          <m:rPr>
            <m:sty m:val="p"/>
          </m:rPr>
          <m:t>=</m:t>
        </m:r>
        <m:r>
          <m:t>R</m:t>
        </m:r>
      </m:oMath>
      <w:r>
        <w:t xml:space="preserve">. Drug diffuses radially inward toward the center:</w:t>
      </w:r>
    </w:p>
    <w:p>
      <w:pPr>
        <w:pStyle w:val="BodyText"/>
      </w:pPr>
      <m:oMathPara>
        <m:oMathParaPr>
          <m:jc m:val="center"/>
        </m:oMathParaPr>
        <m:oMath>
          <m:r>
            <m:t>C</m:t>
          </m:r>
          <m:d>
            <m:dPr>
              <m:begChr m:val="("/>
              <m:endChr m:val=")"/>
              <m:sepChr m:val=""/>
              <m:grow/>
            </m:dPr>
            <m:e>
              <m:r>
                <m:t>R</m:t>
              </m:r>
            </m:e>
          </m:d>
          <m:r>
            <m:rPr>
              <m:sty m:val="p"/>
            </m:rPr>
            <m:t>=</m:t>
          </m:r>
          <m:sSub>
            <m:e>
              <m:r>
                <m:t>C</m:t>
              </m:r>
            </m:e>
            <m:sub>
              <m:r>
                <m:t>0</m:t>
              </m:r>
            </m:sub>
          </m:sSub>
          <m:r>
            <m:rPr>
              <m:sty m:val="p"/>
            </m:rPr>
            <m:t>,</m:t>
          </m:r>
          <m:r>
            <m:t> </m:t>
          </m:r>
          <m:sSub>
            <m:e>
              <m:d>
                <m:dPr>
                  <m:begChr m:val=""/>
                  <m:endChr m:val="|"/>
                  <m:sepChr m:val=""/>
                  <m:grow/>
                </m:dPr>
                <m:e>
                  <m:f>
                    <m:fPr>
                      <m:type m:val="bar"/>
                    </m:fPr>
                    <m:num>
                      <m:r>
                        <m:t>d</m:t>
                      </m:r>
                      <m:r>
                        <m:t>C</m:t>
                      </m:r>
                    </m:num>
                    <m:den>
                      <m:r>
                        <m:t>d</m:t>
                      </m:r>
                      <m:r>
                        <m:t>r</m:t>
                      </m:r>
                    </m:den>
                  </m:f>
                </m:e>
              </m:d>
            </m:e>
            <m:sub>
              <m:r>
                <m:t>r</m:t>
              </m:r>
              <m:r>
                <m:rPr>
                  <m:sty m:val="p"/>
                </m:rPr>
                <m:t>=</m:t>
              </m:r>
              <m:r>
                <m:t>0</m:t>
              </m:r>
            </m:sub>
          </m:sSub>
          <m:r>
            <m:rPr>
              <m:sty m:val="p"/>
            </m:rPr>
            <m:t>=</m:t>
          </m:r>
          <m:r>
            <m:t>0</m:t>
          </m:r>
        </m:oMath>
      </m:oMathPara>
    </w:p>
    <w:p>
      <w:pPr>
        <w:pStyle w:val="FirstParagraph"/>
      </w:pPr>
      <w:r>
        <w:t xml:space="preserve">The unique regular analytical solution is given by the modified Bessel function of the first kind of order zero (</w:t>
      </w:r>
      <m:oMath>
        <m:sSub>
          <m:e>
            <m:r>
              <m:t>I</m:t>
            </m:r>
          </m:e>
          <m:sub>
            <m:r>
              <m:t>0</m:t>
            </m:r>
          </m:sub>
        </m:sSub>
      </m:oMath>
      <w:r>
        <w:t xml:space="preserve">):</w:t>
      </w:r>
    </w:p>
    <w:p>
      <w:pPr>
        <w:pStyle w:val="BodyText"/>
      </w:pPr>
      <m:oMathPara>
        <m:oMathParaPr>
          <m:jc m:val="center"/>
        </m:oMathParaPr>
        <m:oMath>
          <m:sSub>
            <m:e>
              <m:r>
                <m:t>C</m:t>
              </m:r>
            </m:e>
            <m:sub>
              <m:r>
                <m:rPr>
                  <m:nor/>
                  <m:sty m:val="p"/>
                </m:rPr>
                <m:t>in</m:t>
              </m:r>
            </m:sub>
          </m:sSub>
          <m:d>
            <m:dPr>
              <m:begChr m:val="("/>
              <m:endChr m:val=")"/>
              <m:sepChr m:val=""/>
              <m:grow/>
            </m:dPr>
            <m:e>
              <m:r>
                <m:t>r</m:t>
              </m:r>
            </m:e>
          </m:d>
          <m:r>
            <m:rPr>
              <m:sty m:val="p"/>
            </m:rPr>
            <m:t>=</m:t>
          </m:r>
          <m:sSub>
            <m:e>
              <m:r>
                <m:t>C</m:t>
              </m:r>
            </m:e>
            <m:sub>
              <m:r>
                <m:t>0</m:t>
              </m:r>
            </m:sub>
          </m:sSub>
          <m:f>
            <m:fPr>
              <m:type m:val="bar"/>
            </m:fPr>
            <m:num>
              <m:sSub>
                <m:e>
                  <m:r>
                    <m:t>I</m:t>
                  </m:r>
                </m:e>
                <m:sub>
                  <m:r>
                    <m:t>0</m:t>
                  </m:r>
                </m:sub>
              </m:sSub>
              <m:d>
                <m:dPr>
                  <m:begChr m:val="("/>
                  <m:endChr m:val=")"/>
                  <m:sepChr m:val=""/>
                  <m:grow/>
                </m:dPr>
                <m:e>
                  <m:r>
                    <m:t>r</m:t>
                  </m:r>
                  <m:r>
                    <m:rPr>
                      <m:sty m:val="p"/>
                    </m:rPr>
                    <m:t>/</m:t>
                  </m:r>
                  <m:r>
                    <m:t>λ</m:t>
                  </m:r>
                </m:e>
              </m:d>
            </m:num>
            <m:den>
              <m:sSub>
                <m:e>
                  <m:r>
                    <m:t>I</m:t>
                  </m:r>
                </m:e>
                <m:sub>
                  <m:r>
                    <m:t>0</m:t>
                  </m:r>
                </m:sub>
              </m:sSub>
              <m:d>
                <m:dPr>
                  <m:begChr m:val="("/>
                  <m:endChr m:val=")"/>
                  <m:sepChr m:val=""/>
                  <m:grow/>
                </m:dPr>
                <m:e>
                  <m:r>
                    <m:t>R</m:t>
                  </m:r>
                  <m:r>
                    <m:rPr>
                      <m:sty m:val="p"/>
                    </m:rPr>
                    <m:t>/</m:t>
                  </m:r>
                  <m:r>
                    <m:t>λ</m:t>
                  </m:r>
                </m:e>
              </m:d>
            </m:den>
          </m:f>
        </m:oMath>
      </m:oMathPara>
    </w:p>
    <w:p>
      <w:pPr>
        <w:pStyle w:val="FirstParagraph"/>
      </w:pPr>
      <w:r>
        <w:t xml:space="preserve">At the nest center (</w:t>
      </w:r>
      <m:oMath>
        <m:r>
          <m:t>r</m:t>
        </m:r>
        <m:r>
          <m:rPr>
            <m:sty m:val="p"/>
          </m:rPr>
          <m:t>=</m:t>
        </m:r>
        <m:r>
          <m:t>0</m:t>
        </m:r>
      </m:oMath>
      <w:r>
        <w:t xml:space="preserve">), where</w:t>
      </w:r>
      <w:r>
        <w:t xml:space="preserve"> </w:t>
      </w:r>
      <m:oMath>
        <m:sSub>
          <m:e>
            <m:r>
              <m:t>I</m:t>
            </m:r>
          </m:e>
          <m:sub>
            <m:r>
              <m:t>0</m:t>
            </m:r>
          </m:sub>
        </m:sSub>
        <m:d>
          <m:dPr>
            <m:begChr m:val="("/>
            <m:endChr m:val=")"/>
            <m:sepChr m:val=""/>
            <m:grow/>
          </m:dPr>
          <m:e>
            <m:r>
              <m:t>0</m:t>
            </m:r>
          </m:e>
        </m:d>
        <m:r>
          <m:rPr>
            <m:sty m:val="p"/>
          </m:rPr>
          <m:t>=</m:t>
        </m:r>
        <m:r>
          <m:t>1</m:t>
        </m:r>
      </m:oMath>
      <w:r>
        <w:t xml:space="preserve">, the core concentration relative to boundary supply is:</w:t>
      </w:r>
    </w:p>
    <w:p>
      <w:pPr>
        <w:pStyle w:val="BodyText"/>
      </w:pPr>
      <m:oMathPara>
        <m:oMathParaPr>
          <m:jc m:val="center"/>
        </m:oMathParaPr>
        <m:oMath>
          <m:f>
            <m:fPr>
              <m:type m:val="bar"/>
            </m:fPr>
            <m:num>
              <m:sSub>
                <m:e>
                  <m:r>
                    <m:t>C</m:t>
                  </m:r>
                </m:e>
                <m:sub>
                  <m:r>
                    <m:rPr>
                      <m:nor/>
                      <m:sty m:val="p"/>
                    </m:rPr>
                    <m:t>in</m:t>
                  </m:r>
                </m:sub>
              </m:sSub>
              <m:d>
                <m:dPr>
                  <m:begChr m:val="("/>
                  <m:endChr m:val=")"/>
                  <m:sepChr m:val=""/>
                  <m:grow/>
                </m:dPr>
                <m:e>
                  <m:r>
                    <m:t>0</m:t>
                  </m:r>
                </m:e>
              </m:d>
            </m:num>
            <m:den>
              <m:sSub>
                <m:e>
                  <m:r>
                    <m:t>C</m:t>
                  </m:r>
                </m:e>
                <m:sub>
                  <m:r>
                    <m:t>0</m:t>
                  </m:r>
                </m:sub>
              </m:sSub>
            </m:den>
          </m:f>
          <m:r>
            <m:rPr>
              <m:sty m:val="p"/>
            </m:rPr>
            <m:t>=</m:t>
          </m:r>
          <m:f>
            <m:fPr>
              <m:type m:val="bar"/>
            </m:fPr>
            <m:num>
              <m:r>
                <m:t>1</m:t>
              </m:r>
            </m:num>
            <m:den>
              <m:sSub>
                <m:e>
                  <m:r>
                    <m:t>I</m:t>
                  </m:r>
                </m:e>
                <m:sub>
                  <m:r>
                    <m:t>0</m:t>
                  </m:r>
                </m:sub>
              </m:sSub>
              <m:d>
                <m:dPr>
                  <m:begChr m:val="("/>
                  <m:endChr m:val=")"/>
                  <m:sepChr m:val=""/>
                  <m:grow/>
                </m:dPr>
                <m:e>
                  <m:r>
                    <m:t>R</m:t>
                  </m:r>
                  <m:r>
                    <m:rPr>
                      <m:sty m:val="p"/>
                    </m:rPr>
                    <m:t>/</m:t>
                  </m:r>
                  <m:r>
                    <m:t>λ</m:t>
                  </m:r>
                </m:e>
              </m:d>
            </m:den>
          </m:f>
        </m:oMath>
      </m:oMathPara>
    </w:p>
    <w:p>
      <w:pPr>
        <w:pStyle w:val="FirstParagraph"/>
      </w:pPr>
      <w:r>
        <w:t xml:space="preserve">Because</w:t>
      </w:r>
      <w:r>
        <w:t xml:space="preserve"> </w:t>
      </w:r>
      <m:oMath>
        <m:sSub>
          <m:e>
            <m:r>
              <m:t>I</m:t>
            </m:r>
          </m:e>
          <m:sub>
            <m:r>
              <m:t>0</m:t>
            </m:r>
          </m:sub>
        </m:sSub>
        <m:d>
          <m:dPr>
            <m:begChr m:val="("/>
            <m:endChr m:val=")"/>
            <m:sepChr m:val=""/>
            <m:grow/>
          </m:dPr>
          <m:e>
            <m:r>
              <m:t>z</m:t>
            </m:r>
          </m:e>
        </m:d>
        <m:r>
          <m:rPr>
            <m:sty m:val="p"/>
          </m:rPr>
          <m:t>≥</m:t>
        </m:r>
        <m:r>
          <m:t>1</m:t>
        </m:r>
      </m:oMath>
      <w:r>
        <w:t xml:space="preserve"> </w:t>
      </w:r>
      <w:r>
        <w:t xml:space="preserve">grows monotonically with</w:t>
      </w:r>
      <w:r>
        <w:t xml:space="preserve"> </w:t>
      </w:r>
      <m:oMath>
        <m:r>
          <m:t>z</m:t>
        </m:r>
      </m:oMath>
      <w:r>
        <w:t xml:space="preserve">, centripetal diffusion concentrates drug toward the central axis.</w:t>
      </w:r>
    </w:p>
    <w:bookmarkEnd w:id="24"/>
    <w:bookmarkStart w:id="25" w:name="Xeb57466bba0eaabf30cf7898f0ae3e852070d88"/>
    <w:p>
      <w:pPr>
        <w:pStyle w:val="Heading4"/>
      </w:pPr>
      <w:r>
        <w:t xml:space="preserve">Oxygen Transport and Cord Viability Boundaries</w:t>
      </w:r>
    </w:p>
    <w:p>
      <w:pPr>
        <w:pStyle w:val="FirstParagraph"/>
      </w:pPr>
      <w:r>
        <w:t xml:space="preserve">Thomlinson &amp; Gray (1955) demonstrated that tumor cords surrounding central blood vessels are bounded by an outer zone of necrosis caused by oxygen consumption. With oxygen diffusivity</w:t>
      </w:r>
      <w:r>
        <w:t xml:space="preserve"> </w:t>
      </w:r>
      <m:oMath>
        <m:sSub>
          <m:e>
            <m:r>
              <m:t>D</m:t>
            </m:r>
          </m:e>
          <m:sub>
            <m:r>
              <m:rPr>
                <m:nor/>
                <m:sty m:val="p"/>
              </m:rPr>
              <m:t>ox</m:t>
            </m:r>
          </m:sub>
        </m:sSub>
        <m:r>
          <m:rPr>
            <m:sty m:val="p"/>
          </m:rPr>
          <m:t>≈</m:t>
        </m:r>
        <m:r>
          <m:t>2.0</m:t>
        </m:r>
        <m:r>
          <m:rPr>
            <m:sty m:val="p"/>
          </m:rPr>
          <m:t>×</m:t>
        </m:r>
        <m:sSup>
          <m:e>
            <m:r>
              <m:t>10</m:t>
            </m:r>
          </m:e>
          <m:sup>
            <m:r>
              <m:rPr>
                <m:sty m:val="p"/>
              </m:rPr>
              <m:t>−</m:t>
            </m:r>
            <m:r>
              <m:t>5</m:t>
            </m:r>
          </m:sup>
        </m:sSup>
        <m:r>
          <m:t> </m:t>
        </m:r>
        <m:sSup>
          <m:e>
            <m:r>
              <m:rPr>
                <m:nor/>
                <m:sty m:val="p"/>
              </m:rPr>
              <m:t>cm</m:t>
            </m:r>
          </m:e>
          <m:sup>
            <m:r>
              <m:t>2</m:t>
            </m:r>
          </m:sup>
        </m:sSup>
        <m:r>
          <m:rPr>
            <m:sty m:val="p"/>
          </m:rPr>
          <m:t>/</m:t>
        </m:r>
        <m:r>
          <m:rPr>
            <m:nor/>
            <m:sty m:val="p"/>
          </m:rPr>
          <m:t>s</m:t>
        </m:r>
      </m:oMath>
      <w:r>
        <w:t xml:space="preserve"> </w:t>
      </w:r>
      <w:r>
        <w:t xml:space="preserve">and constant volumetric consumption</w:t>
      </w:r>
      <w:r>
        <w:t xml:space="preserve"> </w:t>
      </w:r>
      <m:oMath>
        <m:sSub>
          <m:e>
            <m:r>
              <m:t>M</m:t>
            </m:r>
          </m:e>
          <m:sub>
            <m:r>
              <m:rPr>
                <m:nor/>
                <m:sty m:val="p"/>
              </m:rPr>
              <m:t>ox</m:t>
            </m:r>
          </m:sub>
        </m:sSub>
        <m:r>
          <m:rPr>
            <m:sty m:val="p"/>
          </m:rPr>
          <m:t>≈</m:t>
        </m:r>
        <m:r>
          <m:t>1.5</m:t>
        </m:r>
        <m:r>
          <m:rPr>
            <m:sty m:val="p"/>
          </m:rPr>
          <m:t>×</m:t>
        </m:r>
        <m:sSup>
          <m:e>
            <m:r>
              <m:t>10</m:t>
            </m:r>
          </m:e>
          <m:sup>
            <m:r>
              <m:rPr>
                <m:sty m:val="p"/>
              </m:rPr>
              <m:t>−</m:t>
            </m:r>
            <m:r>
              <m:t>7</m:t>
            </m:r>
          </m:sup>
        </m:sSup>
        <m:r>
          <m:t> </m:t>
        </m:r>
        <m:r>
          <m:rPr>
            <m:nor/>
            <m:sty m:val="p"/>
          </m:rPr>
          <m:t>mol</m:t>
        </m:r>
        <m:r>
          <m:rPr>
            <m:sty m:val="p"/>
          </m:rPr>
          <m:t>/</m:t>
        </m:r>
        <m:d>
          <m:dPr>
            <m:begChr m:val="("/>
            <m:endChr m:val=")"/>
            <m:sepChr m:val=""/>
            <m:grow/>
          </m:dPr>
          <m:e>
            <m:sSup>
              <m:e>
                <m:r>
                  <m:rPr>
                    <m:nor/>
                    <m:sty m:val="p"/>
                  </m:rPr>
                  <m:t>cm</m:t>
                </m:r>
              </m:e>
              <m:sup>
                <m:r>
                  <m:t>3</m:t>
                </m:r>
              </m:sup>
            </m:sSup>
            <m:r>
              <m:rPr>
                <m:sty m:val="p"/>
              </m:rPr>
              <m:t>⋅</m:t>
            </m:r>
            <m:r>
              <m:rPr>
                <m:nor/>
                <m:sty m:val="p"/>
              </m:rPr>
              <m:t>s</m:t>
            </m:r>
          </m:e>
        </m:d>
      </m:oMath>
      <w:r>
        <w:t xml:space="preserve">, zero-order diffusion in a Krogh cylinder yields:</w:t>
      </w:r>
    </w:p>
    <w:p>
      <w:pPr>
        <w:pStyle w:val="BodyText"/>
      </w:pPr>
      <m:oMathPara>
        <m:oMathParaPr>
          <m:jc m:val="center"/>
        </m:oMathParaPr>
        <m:oMath>
          <m:sSub>
            <m:e>
              <m:r>
                <m:t>C</m:t>
              </m:r>
            </m:e>
            <m:sub>
              <m:r>
                <m:rPr>
                  <m:nor/>
                  <m:sty m:val="p"/>
                </m:rPr>
                <m:t>ox</m:t>
              </m:r>
            </m:sub>
          </m:sSub>
          <m:d>
            <m:dPr>
              <m:begChr m:val="("/>
              <m:endChr m:val=")"/>
              <m:sepChr m:val=""/>
              <m:grow/>
            </m:dPr>
            <m:e>
              <m:r>
                <m:t>r</m:t>
              </m:r>
            </m:e>
          </m:d>
          <m:r>
            <m:rPr>
              <m:sty m:val="p"/>
            </m:rPr>
            <m:t>=</m:t>
          </m:r>
          <m:sSub>
            <m:e>
              <m:r>
                <m:t>C</m:t>
              </m:r>
            </m:e>
            <m:sub>
              <m:r>
                <m:rPr>
                  <m:nor/>
                  <m:sty m:val="p"/>
                </m:rPr>
                <m:t>ox</m:t>
              </m:r>
            </m:sub>
          </m:sSub>
          <m:d>
            <m:dPr>
              <m:begChr m:val="("/>
              <m:endChr m:val=")"/>
              <m:sepChr m:val=""/>
              <m:grow/>
            </m:dPr>
            <m:e>
              <m:sSub>
                <m:e>
                  <m:r>
                    <m:t>r</m:t>
                  </m:r>
                </m:e>
                <m:sub>
                  <m:r>
                    <m:t>0</m:t>
                  </m:r>
                </m:sub>
              </m:sSub>
            </m:e>
          </m:d>
          <m:r>
            <m:rPr>
              <m:sty m:val="p"/>
            </m:rPr>
            <m:t>−</m:t>
          </m:r>
          <m:f>
            <m:fPr>
              <m:type m:val="bar"/>
            </m:fPr>
            <m:num>
              <m:sSub>
                <m:e>
                  <m:r>
                    <m:t>M</m:t>
                  </m:r>
                </m:e>
                <m:sub>
                  <m:r>
                    <m:rPr>
                      <m:nor/>
                      <m:sty m:val="p"/>
                    </m:rPr>
                    <m:t>ox</m:t>
                  </m:r>
                </m:sub>
              </m:sSub>
            </m:num>
            <m:den>
              <m:r>
                <m:t>4</m:t>
              </m:r>
              <m:sSub>
                <m:e>
                  <m:r>
                    <m:t>D</m:t>
                  </m:r>
                </m:e>
                <m:sub>
                  <m:r>
                    <m:rPr>
                      <m:nor/>
                      <m:sty m:val="p"/>
                    </m:rPr>
                    <m:t>ox</m:t>
                  </m:r>
                </m:sub>
              </m:sSub>
            </m:den>
          </m:f>
          <m:d>
            <m:dPr>
              <m:begChr m:val="("/>
              <m:endChr m:val=")"/>
              <m:sepChr m:val=""/>
              <m:grow/>
            </m:dPr>
            <m:e>
              <m:sSup>
                <m:e>
                  <m:r>
                    <m:t>r</m:t>
                  </m:r>
                </m:e>
                <m:sup>
                  <m:r>
                    <m:t>2</m:t>
                  </m:r>
                </m:sup>
              </m:sSup>
              <m:r>
                <m:rPr>
                  <m:sty m:val="p"/>
                </m:rPr>
                <m:t>−</m:t>
              </m:r>
              <m:sSubSup>
                <m:e>
                  <m:r>
                    <m:t>r</m:t>
                  </m:r>
                </m:e>
                <m:sub>
                  <m:r>
                    <m:t>0</m:t>
                  </m:r>
                </m:sub>
                <m:sup>
                  <m:r>
                    <m:t>2</m:t>
                  </m:r>
                </m:sup>
              </m:sSubSup>
            </m:e>
          </m:d>
          <m:r>
            <m:rPr>
              <m:sty m:val="p"/>
            </m:rPr>
            <m:t>+</m:t>
          </m:r>
          <m:f>
            <m:fPr>
              <m:type m:val="bar"/>
            </m:fPr>
            <m:num>
              <m:sSub>
                <m:e>
                  <m:r>
                    <m:t>M</m:t>
                  </m:r>
                </m:e>
                <m:sub>
                  <m:r>
                    <m:rPr>
                      <m:nor/>
                      <m:sty m:val="p"/>
                    </m:rPr>
                    <m:t>ox</m:t>
                  </m:r>
                </m:sub>
              </m:sSub>
              <m:sSubSup>
                <m:e>
                  <m:r>
                    <m:t>r</m:t>
                  </m:r>
                </m:e>
                <m:sub>
                  <m:r>
                    <m:rPr>
                      <m:nor/>
                      <m:sty m:val="p"/>
                    </m:rPr>
                    <m:t>cord</m:t>
                  </m:r>
                </m:sub>
                <m:sup>
                  <m:r>
                    <m:t>2</m:t>
                  </m:r>
                </m:sup>
              </m:sSubSup>
            </m:num>
            <m:den>
              <m:r>
                <m:t>2</m:t>
              </m:r>
              <m:sSub>
                <m:e>
                  <m:r>
                    <m:t>D</m:t>
                  </m:r>
                </m:e>
                <m:sub>
                  <m:r>
                    <m:rPr>
                      <m:nor/>
                      <m:sty m:val="p"/>
                    </m:rPr>
                    <m:t>ox</m:t>
                  </m:r>
                </m:sub>
              </m:sSub>
            </m:den>
          </m:f>
          <m:r>
            <m:rPr>
              <m:sty m:val="p"/>
            </m:rPr>
            <m:t>ln</m:t>
          </m:r>
          <m:d>
            <m:dPr>
              <m:begChr m:val="("/>
              <m:endChr m:val=")"/>
              <m:sepChr m:val=""/>
              <m:grow/>
            </m:dPr>
            <m:e>
              <m:f>
                <m:fPr>
                  <m:type m:val="bar"/>
                </m:fPr>
                <m:num>
                  <m:r>
                    <m:t>r</m:t>
                  </m:r>
                </m:num>
                <m:den>
                  <m:sSub>
                    <m:e>
                      <m:r>
                        <m:t>r</m:t>
                      </m:r>
                    </m:e>
                    <m:sub>
                      <m:r>
                        <m:t>0</m:t>
                      </m:r>
                    </m:sub>
                  </m:sSub>
                </m:den>
              </m:f>
            </m:e>
          </m:d>
        </m:oMath>
      </m:oMathPara>
    </w:p>
    <w:p>
      <w:pPr>
        <w:pStyle w:val="FirstParagraph"/>
      </w:pPr>
      <w:r>
        <w:t xml:space="preserve">Setting the zero-flux boundary condition</w:t>
      </w:r>
      <w:r>
        <w:t xml:space="preserve"> </w:t>
      </w:r>
      <m:oMath>
        <m:r>
          <m:t>d</m:t>
        </m:r>
        <m:sSub>
          <m:e>
            <m:r>
              <m:t>C</m:t>
            </m:r>
          </m:e>
          <m:sub>
            <m:r>
              <m:rPr>
                <m:nor/>
                <m:sty m:val="p"/>
              </m:rPr>
              <m:t>ox</m:t>
            </m:r>
          </m:sub>
        </m:sSub>
        <m:r>
          <m:rPr>
            <m:sty m:val="p"/>
          </m:rPr>
          <m:t>/</m:t>
        </m:r>
        <m:r>
          <m:t>d</m:t>
        </m:r>
        <m:r>
          <m:t>r</m:t>
        </m:r>
        <m:r>
          <m:rPr>
            <m:sty m:val="p"/>
          </m:rPr>
          <m:t>=</m:t>
        </m:r>
        <m:r>
          <m:t>0</m:t>
        </m:r>
      </m:oMath>
      <w:r>
        <w:t xml:space="preserve"> </w:t>
      </w:r>
      <w:r>
        <w:t xml:space="preserve">at the cord radius</w:t>
      </w:r>
      <w:r>
        <w:t xml:space="preserve"> </w:t>
      </w:r>
      <m:oMath>
        <m:sSub>
          <m:e>
            <m:r>
              <m:t>r</m:t>
            </m:r>
          </m:e>
          <m:sub>
            <m:r>
              <m:rPr>
                <m:nor/>
                <m:sty m:val="p"/>
              </m:rPr>
              <m:t>cord</m:t>
            </m:r>
          </m:sub>
        </m:sSub>
      </m:oMath>
      <w:r>
        <w:t xml:space="preserve"> </w:t>
      </w:r>
      <w:r>
        <w:t xml:space="preserve">gives the physiological limit of tissue oxygenation, established empirically and theoretically at</w:t>
      </w:r>
      <w:r>
        <w:t xml:space="preserve"> </w:t>
      </w:r>
      <m:oMath>
        <m:sSub>
          <m:e>
            <m:r>
              <m:t>r</m:t>
            </m:r>
          </m:e>
          <m:sub>
            <m:r>
              <m:rPr>
                <m:nor/>
                <m:sty m:val="p"/>
              </m:rPr>
              <m:t>ox</m:t>
            </m:r>
          </m:sub>
        </m:sSub>
        <m:r>
          <m:rPr>
            <m:sty m:val="p"/>
          </m:rPr>
          <m:t>≈</m:t>
        </m:r>
        <m:r>
          <m:t>180</m:t>
        </m:r>
        <m:r>
          <m:rPr>
            <m:nor/>
            <m:sty m:val="p"/>
          </m:rPr>
          <m:t>–</m:t>
        </m:r>
        <m:r>
          <m:t>200</m:t>
        </m:r>
        <m:r>
          <m:t> </m:t>
        </m:r>
        <m:r>
          <m:t>μ</m:t>
        </m:r>
        <m:r>
          <m:rPr>
            <m:nor/>
            <m:sty m:val="p"/>
          </m:rPr>
          <m:t>m</m:t>
        </m:r>
      </m:oMath>
      <w:r>
        <w:t xml:space="preserve"> </w:t>
      </w:r>
      <w:r>
        <w:t xml:space="preserve">(Thomlinson &amp; Gray [4]; Hirst et al. [15]; Worth et al. [14]). Beyond</w:t>
      </w:r>
      <w:r>
        <w:t xml:space="preserve"> </w:t>
      </w:r>
      <m:oMath>
        <m:sSub>
          <m:e>
            <m:r>
              <m:t>r</m:t>
            </m:r>
          </m:e>
          <m:sub>
            <m:r>
              <m:rPr>
                <m:nor/>
                <m:sty m:val="p"/>
              </m:rPr>
              <m:t>ox</m:t>
            </m:r>
          </m:sub>
        </m:sSub>
      </m:oMath>
      <w:r>
        <w:t xml:space="preserve">, anoxia precipitates coagulative necrosis.</w:t>
      </w:r>
    </w:p>
    <w:p>
      <w:pPr>
        <w:pStyle w:val="BodyText"/>
      </w:pPr>
      <w:r>
        <w:t xml:space="preserve">In contrast, in an inward avascular nest of radius</w:t>
      </w:r>
      <w:r>
        <w:t xml:space="preserve"> </w:t>
      </w:r>
      <m:oMath>
        <m:r>
          <m:t>R</m:t>
        </m:r>
      </m:oMath>
      <w:r>
        <w:t xml:space="preserve">, zero-order oxygen diffusion yields:</w:t>
      </w:r>
    </w:p>
    <w:p>
      <w:pPr>
        <w:pStyle w:val="BodyText"/>
      </w:pPr>
      <m:oMathPara>
        <m:oMathParaPr>
          <m:jc m:val="center"/>
        </m:oMathParaPr>
        <m:oMath>
          <m:sSub>
            <m:e>
              <m:r>
                <m:t>C</m:t>
              </m:r>
            </m:e>
            <m:sub>
              <m:r>
                <m:rPr>
                  <m:nor/>
                  <m:sty m:val="p"/>
                </m:rPr>
                <m:t>ox</m:t>
              </m:r>
            </m:sub>
          </m:sSub>
          <m:d>
            <m:dPr>
              <m:begChr m:val="("/>
              <m:endChr m:val=")"/>
              <m:sepChr m:val=""/>
              <m:grow/>
            </m:dPr>
            <m:e>
              <m:r>
                <m:t>r</m:t>
              </m:r>
            </m:e>
          </m:d>
          <m:r>
            <m:rPr>
              <m:sty m:val="p"/>
            </m:rPr>
            <m:t>=</m:t>
          </m:r>
          <m:sSub>
            <m:e>
              <m:r>
                <m:t>C</m:t>
              </m:r>
            </m:e>
            <m:sub>
              <m:r>
                <m:rPr>
                  <m:nor/>
                  <m:sty m:val="p"/>
                </m:rPr>
                <m:t>ox</m:t>
              </m:r>
            </m:sub>
          </m:sSub>
          <m:d>
            <m:dPr>
              <m:begChr m:val="("/>
              <m:endChr m:val=")"/>
              <m:sepChr m:val=""/>
              <m:grow/>
            </m:dPr>
            <m:e>
              <m:r>
                <m:t>R</m:t>
              </m:r>
            </m:e>
          </m:d>
          <m:r>
            <m:rPr>
              <m:sty m:val="p"/>
            </m:rPr>
            <m:t>−</m:t>
          </m:r>
          <m:f>
            <m:fPr>
              <m:type m:val="bar"/>
            </m:fPr>
            <m:num>
              <m:sSub>
                <m:e>
                  <m:r>
                    <m:t>M</m:t>
                  </m:r>
                </m:e>
                <m:sub>
                  <m:r>
                    <m:rPr>
                      <m:nor/>
                      <m:sty m:val="p"/>
                    </m:rPr>
                    <m:t>ox</m:t>
                  </m:r>
                </m:sub>
              </m:sSub>
            </m:num>
            <m:den>
              <m:r>
                <m:t>4</m:t>
              </m:r>
              <m:sSub>
                <m:e>
                  <m:r>
                    <m:t>D</m:t>
                  </m:r>
                </m:e>
                <m:sub>
                  <m:r>
                    <m:rPr>
                      <m:nor/>
                      <m:sty m:val="p"/>
                    </m:rPr>
                    <m:t>ox</m:t>
                  </m:r>
                </m:sub>
              </m:sSub>
            </m:den>
          </m:f>
          <m:d>
            <m:dPr>
              <m:begChr m:val="("/>
              <m:endChr m:val=")"/>
              <m:sepChr m:val=""/>
              <m:grow/>
            </m:dPr>
            <m:e>
              <m:sSup>
                <m:e>
                  <m:r>
                    <m:t>R</m:t>
                  </m:r>
                </m:e>
                <m:sup>
                  <m:r>
                    <m:t>2</m:t>
                  </m:r>
                </m:sup>
              </m:sSup>
              <m:r>
                <m:rPr>
                  <m:sty m:val="p"/>
                </m:rPr>
                <m:t>−</m:t>
              </m:r>
              <m:sSup>
                <m:e>
                  <m:r>
                    <m:t>r</m:t>
                  </m:r>
                </m:e>
                <m:sup>
                  <m:r>
                    <m:t>2</m:t>
                  </m:r>
                </m:sup>
              </m:sSup>
            </m:e>
          </m:d>
        </m:oMath>
      </m:oMathPara>
    </w:p>
    <w:p>
      <w:pPr>
        <w:pStyle w:val="FirstParagraph"/>
      </w:pPr>
      <w:r>
        <w:t xml:space="preserve">The maximum viable nest radius before central anoxia (</w:t>
      </w:r>
      <m:oMath>
        <m:sSub>
          <m:e>
            <m:r>
              <m:t>C</m:t>
            </m:r>
          </m:e>
          <m:sub>
            <m:r>
              <m:rPr>
                <m:nor/>
                <m:sty m:val="p"/>
              </m:rPr>
              <m:t>ox</m:t>
            </m:r>
          </m:sub>
        </m:sSub>
        <m:d>
          <m:dPr>
            <m:begChr m:val="("/>
            <m:endChr m:val=")"/>
            <m:sepChr m:val=""/>
            <m:grow/>
          </m:dPr>
          <m:e>
            <m:r>
              <m:t>0</m:t>
            </m:r>
          </m:e>
        </m:d>
        <m:r>
          <m:rPr>
            <m:sty m:val="p"/>
          </m:rPr>
          <m:t>=</m:t>
        </m:r>
        <m:r>
          <m:t>0</m:t>
        </m:r>
      </m:oMath>
      <w:r>
        <w:t xml:space="preserve">) occurs is:</w:t>
      </w:r>
    </w:p>
    <w:p>
      <w:pPr>
        <w:pStyle w:val="BodyText"/>
      </w:pPr>
      <m:oMathPara>
        <m:oMathParaPr>
          <m:jc m:val="center"/>
        </m:oMathParaPr>
        <m:oMath>
          <m:sSub>
            <m:e>
              <m:r>
                <m:t>R</m:t>
              </m:r>
            </m:e>
            <m:sub>
              <m:r>
                <m:rPr>
                  <m:nor/>
                  <m:sty m:val="p"/>
                </m:rPr>
                <m:t>crit,ox</m:t>
              </m:r>
            </m:sub>
          </m:sSub>
          <m:r>
            <m:rPr>
              <m:sty m:val="p"/>
            </m:rPr>
            <m:t>=</m:t>
          </m:r>
          <m:rad>
            <m:radPr>
              <m:degHide m:val="on"/>
            </m:radPr>
            <m:deg/>
            <m:e>
              <m:f>
                <m:fPr>
                  <m:type m:val="bar"/>
                </m:fPr>
                <m:num>
                  <m:r>
                    <m:t>4</m:t>
                  </m:r>
                  <m:sSub>
                    <m:e>
                      <m:r>
                        <m:t>D</m:t>
                      </m:r>
                    </m:e>
                    <m:sub>
                      <m:r>
                        <m:rPr>
                          <m:nor/>
                          <m:sty m:val="p"/>
                        </m:rPr>
                        <m:t>ox</m:t>
                      </m:r>
                    </m:sub>
                  </m:sSub>
                  <m:sSub>
                    <m:e>
                      <m:r>
                        <m:t>C</m:t>
                      </m:r>
                    </m:e>
                    <m:sub>
                      <m:r>
                        <m:rPr>
                          <m:nor/>
                          <m:sty m:val="p"/>
                        </m:rPr>
                        <m:t>ox</m:t>
                      </m:r>
                    </m:sub>
                  </m:sSub>
                  <m:d>
                    <m:dPr>
                      <m:begChr m:val="("/>
                      <m:endChr m:val=")"/>
                      <m:sepChr m:val=""/>
                      <m:grow/>
                    </m:dPr>
                    <m:e>
                      <m:r>
                        <m:t>R</m:t>
                      </m:r>
                    </m:e>
                  </m:d>
                </m:num>
                <m:den>
                  <m:sSub>
                    <m:e>
                      <m:r>
                        <m:t>M</m:t>
                      </m:r>
                    </m:e>
                    <m:sub>
                      <m:r>
                        <m:rPr>
                          <m:nor/>
                          <m:sty m:val="p"/>
                        </m:rPr>
                        <m:t>ox</m:t>
                      </m:r>
                    </m:sub>
                  </m:sSub>
                </m:den>
              </m:f>
            </m:e>
          </m:rad>
          <m:r>
            <m:rPr>
              <m:sty m:val="p"/>
            </m:rPr>
            <m:t>≈</m:t>
          </m:r>
          <m:r>
            <m:t>140</m:t>
          </m:r>
          <m:r>
            <m:rPr>
              <m:nor/>
              <m:sty m:val="p"/>
            </m:rPr>
            <m:t>–</m:t>
          </m:r>
          <m:r>
            <m:t>160</m:t>
          </m:r>
          <m:r>
            <m:t> </m:t>
          </m:r>
          <m:r>
            <m:t>μ</m:t>
          </m:r>
          <m:r>
            <m:rPr>
              <m:nor/>
              <m:sty m:val="p"/>
            </m:rPr>
            <m:t>m</m:t>
          </m:r>
        </m:oMath>
      </m:oMathPara>
    </w:p>
    <w:p>
      <w:pPr>
        <w:pStyle w:val="FirstParagraph"/>
      </w:pPr>
      <w:r>
        <w:t xml:space="preserve">Any avascular nest with radius</w:t>
      </w:r>
      <w:r>
        <w:t xml:space="preserve"> </w:t>
      </w:r>
      <m:oMath>
        <m:r>
          <m:t>R</m:t>
        </m:r>
        <m:r>
          <m:rPr>
            <m:sty m:val="p"/>
          </m:rPr>
          <m:t>&gt;</m:t>
        </m:r>
        <m:r>
          <m:t>160</m:t>
        </m:r>
        <m:r>
          <m:t> </m:t>
        </m:r>
        <m:r>
          <m:t>μ</m:t>
        </m:r>
        <m:r>
          <m:rPr>
            <m:nor/>
            <m:sty m:val="p"/>
          </m:rPr>
          <m:t>m</m:t>
        </m:r>
      </m:oMath>
      <w:r>
        <w:t xml:space="preserve"> </w:t>
      </w:r>
      <w:r>
        <w:t xml:space="preserve">develops a necrotic core.</w:t>
      </w:r>
    </w:p>
    <w:p>
      <w:r>
        <w:pict>
          <v:rect style="width:0;height:1.5pt" o:hralign="center" o:hrstd="t" o:hr="t"/>
        </w:pict>
      </w:r>
    </w:p>
    <w:bookmarkEnd w:id="25"/>
    <w:bookmarkEnd w:id="26"/>
    <w:bookmarkStart w:id="33" w:name="Xafb8e5b921bbe432d3675c288a7ec2ea179635d"/>
    <w:p>
      <w:pPr>
        <w:pStyle w:val="Heading3"/>
      </w:pPr>
      <w:r>
        <w:t xml:space="preserve">2.2 Baseline Biophysical Parameters &amp; Sensitivity Analysis</w:t>
      </w:r>
    </w:p>
    <w:p>
      <w:pPr>
        <w:pStyle w:val="FirstParagraph"/>
      </w:pPr>
      <w:r>
        <w:t xml:space="preserve">We evaluated baseline parameters calibrated to small-molecule TKIs and macromolecular agents:</w:t>
      </w:r>
      <w:r>
        <w:t xml:space="preserve"> </w:t>
      </w:r>
      <w:r>
        <w:t xml:space="preserve">-</w:t>
      </w:r>
      <w:r>
        <w:t xml:space="preserve"> </w:t>
      </w:r>
      <w:r>
        <w:rPr>
          <w:b/>
          <w:bCs/>
        </w:rPr>
        <w:t xml:space="preserve">Small-molecule TKI (Osimertinib, 500 Da):</w:t>
      </w:r>
      <w:r>
        <w:t xml:space="preserve"> </w:t>
      </w:r>
      <w:r>
        <w:t xml:space="preserve">Effective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(incorporating interstitial matrix hindrance; Swabb et al. [9], Nugent &amp; Jain [10]); cellular uptake rate constant</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yielding</w:t>
      </w:r>
      <w:r>
        <w:t xml:space="preserve"> </w:t>
      </w:r>
      <m:oMath>
        <m:r>
          <m:t>λ</m:t>
        </m:r>
        <m:r>
          <m:rPr>
            <m:sty m:val="p"/>
          </m:rPr>
          <m:t>=</m:t>
        </m:r>
        <m:r>
          <m:t>627.7</m:t>
        </m:r>
        <m:r>
          <m:t> </m:t>
        </m:r>
        <m:r>
          <m:t>μ</m:t>
        </m:r>
        <m:r>
          <m:rPr>
            <m:nor/>
            <m:sty m:val="p"/>
          </m:rPr>
          <m:t>m</m:t>
        </m:r>
      </m:oMath>
      <w:r>
        <w:t xml:space="preserve">. Capillary source radius</w:t>
      </w:r>
      <w:r>
        <w:t xml:space="preserve"> </w:t>
      </w:r>
      <m:oMath>
        <m:sSub>
          <m:e>
            <m:r>
              <m:t>r</m:t>
            </m:r>
          </m:e>
          <m:sub>
            <m:r>
              <m:t>0</m:t>
            </m:r>
          </m:sub>
        </m:sSub>
        <m:r>
          <m:rPr>
            <m:sty m:val="p"/>
          </m:rPr>
          <m:t>=</m:t>
        </m:r>
        <m:r>
          <m:t>10.0</m:t>
        </m:r>
        <m:r>
          <m:t> </m:t>
        </m:r>
        <m:r>
          <m:t>μ</m:t>
        </m:r>
        <m:r>
          <m:rPr>
            <m:nor/>
            <m:sty m:val="p"/>
          </m:rPr>
          <m:t>m</m:t>
        </m:r>
      </m:oMath>
      <w:r>
        <w:t xml:space="preserve">. Therapeutic inhibitory threshold</w:t>
      </w:r>
      <w:r>
        <w:t xml:space="preserve"> </w:t>
      </w:r>
      <m:oMath>
        <m:r>
          <m:t>θ</m:t>
        </m:r>
        <m:r>
          <m:rPr>
            <m:sty m:val="p"/>
          </m:rPr>
          <m:t>=</m:t>
        </m:r>
        <m:r>
          <m:t>C</m:t>
        </m:r>
        <m:r>
          <m:rPr>
            <m:sty m:val="p"/>
          </m:rPr>
          <m:t>/</m:t>
        </m:r>
        <m:sSub>
          <m:e>
            <m:r>
              <m:t>C</m:t>
            </m:r>
          </m:e>
          <m:sub>
            <m:r>
              <m:t>0</m:t>
            </m:r>
          </m:sub>
        </m:sSub>
        <m:r>
          <m:rPr>
            <m:sty m:val="p"/>
          </m:rPr>
          <m:t>=</m:t>
        </m:r>
        <m:r>
          <m:t>0.35</m:t>
        </m:r>
      </m:oMath>
      <w:r>
        <w:t xml:space="preserve"> </w:t>
      </w:r>
      <w:r>
        <w:t xml:space="preserve">(derived from the ratio of in vitro</w:t>
      </w:r>
      <w:r>
        <w:t xml:space="preserve"> </w:t>
      </w:r>
      <m:oMath>
        <m:sSub>
          <m:e>
            <m:r>
              <m:rPr>
                <m:nor/>
                <m:sty m:val="p"/>
              </m:rPr>
              <m:t>IC</m:t>
            </m:r>
          </m:e>
          <m:sub>
            <m:r>
              <m:t>50</m:t>
            </m:r>
          </m:sub>
        </m:sSub>
        <m:r>
          <m:rPr>
            <m:sty m:val="p"/>
          </m:rPr>
          <m:t>≈</m:t>
        </m:r>
        <m:r>
          <m:t>15</m:t>
        </m:r>
        <m:r>
          <m:t> </m:t>
        </m:r>
        <m:r>
          <m:rPr>
            <m:nor/>
            <m:sty m:val="p"/>
          </m:rPr>
          <m:t>nM</m:t>
        </m:r>
      </m:oMath>
      <w:r>
        <w:t xml:space="preserve"> </w:t>
      </w:r>
      <w:r>
        <w:t xml:space="preserve">to steady-state human plasma trough</w:t>
      </w:r>
      <w:r>
        <w:t xml:space="preserve"> </w:t>
      </w:r>
      <m:oMath>
        <m:sSub>
          <m:e>
            <m:r>
              <m:t>C</m:t>
            </m:r>
          </m:e>
          <m:sub>
            <m:r>
              <m:t>0</m:t>
            </m:r>
          </m:sub>
        </m:sSub>
        <m:r>
          <m:rPr>
            <m:sty m:val="p"/>
          </m:rPr>
          <m:t>≈</m:t>
        </m:r>
        <m:r>
          <m:t>45</m:t>
        </m:r>
        <m:r>
          <m:rPr>
            <m:nor/>
            <m:sty m:val="p"/>
          </m:rPr>
          <m:t>–</m:t>
        </m:r>
        <m:r>
          <m:t>50</m:t>
        </m:r>
        <m:r>
          <m:t> </m:t>
        </m:r>
        <m:r>
          <m:rPr>
            <m:nor/>
            <m:sty m:val="p"/>
          </m:rPr>
          <m:t>nM</m:t>
        </m:r>
      </m:oMath>
      <w:r>
        <w:t xml:space="preserve">; Cross et al. [5]).</w:t>
      </w:r>
      <w:r>
        <w:t xml:space="preserve"> </w:t>
      </w:r>
      <w:r>
        <w:t xml:space="preserve">-</w:t>
      </w:r>
      <w:r>
        <w:t xml:space="preserve"> </w:t>
      </w:r>
      <w:r>
        <w:rPr>
          <w:b/>
          <w:bCs/>
        </w:rPr>
        <w:t xml:space="preserve">Macromolecular Antibody-Drug Conjugate (ADC, 150 kDa):</w:t>
      </w:r>
      <w:r>
        <w:t xml:space="preserve">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w:t>
      </w:r>
      <w:r>
        <w:t xml:space="preserv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yielding</w:t>
      </w:r>
      <w:r>
        <w:t xml:space="preserve"> </w:t>
      </w:r>
      <m:oMath>
        <m:r>
          <m:t>λ</m:t>
        </m:r>
        <m:r>
          <m:rPr>
            <m:sty m:val="p"/>
          </m:rPr>
          <m:t>=</m:t>
        </m:r>
        <m:r>
          <m:t>77.5</m:t>
        </m:r>
        <m:r>
          <m:t> </m:t>
        </m:r>
        <m:r>
          <m:t>μ</m:t>
        </m:r>
        <m:r>
          <m:rPr>
            <m:nor/>
            <m:sty m:val="p"/>
          </m:rPr>
          <m:t>m</m:t>
        </m:r>
      </m:oMath>
      <w:r>
        <w:t xml:space="preserve">.</w:t>
      </w:r>
    </w:p>
    <w:p>
      <w:pPr>
        <w:pStyle w:val="BodyText"/>
      </w:pPr>
      <w:r>
        <w:t xml:space="preserve">The critical radius</w:t>
      </w:r>
      <w:r>
        <w:t xml:space="preserve"> </w:t>
      </w:r>
      <m:oMath>
        <m:sSub>
          <m:e>
            <m:r>
              <m:t>r</m:t>
            </m:r>
          </m:e>
          <m:sub>
            <m:r>
              <m:rPr>
                <m:nor/>
                <m:sty m:val="p"/>
              </m:rPr>
              <m:t>crit</m:t>
            </m:r>
          </m:sub>
        </m:sSub>
      </m:oMath>
      <w:r>
        <w:t xml:space="preserve"> </w:t>
      </w:r>
      <w:r>
        <w:t xml:space="preserve">is defined as the radial position where local concentration drops below threshold:</w:t>
      </w:r>
      <w:r>
        <w:t xml:space="preserve"> </w:t>
      </w:r>
      <m:oMath>
        <m:r>
          <m:t>C</m:t>
        </m:r>
        <m:d>
          <m:dPr>
            <m:begChr m:val="("/>
            <m:endChr m:val=")"/>
            <m:sepChr m:val=""/>
            <m:grow/>
          </m:dPr>
          <m:e>
            <m:sSub>
              <m:e>
                <m:r>
                  <m:t>r</m:t>
                </m:r>
              </m:e>
              <m:sub>
                <m:r>
                  <m:rPr>
                    <m:nor/>
                    <m:sty m:val="p"/>
                  </m:rPr>
                  <m:t>crit</m:t>
                </m:r>
              </m:sub>
            </m:sSub>
          </m:e>
        </m:d>
        <m:r>
          <m:rPr>
            <m:sty m:val="p"/>
          </m:rPr>
          <m:t>=</m:t>
        </m:r>
        <m:r>
          <m:t>θ</m:t>
        </m:r>
        <m:sSub>
          <m:e>
            <m:r>
              <m:t>C</m:t>
            </m:r>
          </m:e>
          <m:sub>
            <m:r>
              <m:t>0</m:t>
            </m:r>
          </m:sub>
        </m:sSub>
      </m:oMath>
      <w:r>
        <w:t xml:space="preserve">. A viable pharmacological sanctuary shell exists if and only if:</w:t>
      </w:r>
    </w:p>
    <w:p>
      <w:pPr>
        <w:pStyle w:val="BodyText"/>
      </w:pPr>
      <m:oMathPara>
        <m:oMathParaPr>
          <m:jc m:val="center"/>
        </m:oMathParaPr>
        <m:oMath>
          <m:sSub>
            <m:e>
              <m:r>
                <m:t>r</m:t>
              </m:r>
            </m:e>
            <m:sub>
              <m:r>
                <m:rPr>
                  <m:nor/>
                  <m:sty m:val="p"/>
                </m:rPr>
                <m:t>crit</m:t>
              </m:r>
            </m:sub>
          </m:sSub>
          <m:r>
            <m:rPr>
              <m:sty m:val="p"/>
            </m:rPr>
            <m:t>&lt;</m:t>
          </m:r>
          <m:sSub>
            <m:e>
              <m:r>
                <m:t>r</m:t>
              </m:r>
            </m:e>
            <m:sub>
              <m:r>
                <m:rPr>
                  <m:nor/>
                  <m:sty m:val="p"/>
                </m:rPr>
                <m:t>ox</m:t>
              </m:r>
            </m:sub>
          </m:sSub>
        </m:oMath>
      </m:oMathPara>
    </w:p>
    <w:p>
      <w:pPr>
        <w:pStyle w:val="FirstParagraph"/>
      </w:pPr>
      <w:r>
        <w:t xml:space="preserve">The width of this viable sanctuary shell is:</w:t>
      </w:r>
    </w:p>
    <w:p>
      <w:pPr>
        <w:pStyle w:val="BodyText"/>
      </w:pPr>
      <m:oMathPara>
        <m:oMathParaPr>
          <m:jc m:val="center"/>
        </m:oMathParaPr>
        <m:oMath>
          <m:r>
            <m:t>Δ</m:t>
          </m:r>
          <m:r>
            <m:t>r</m:t>
          </m:r>
          <m:r>
            <m:rPr>
              <m:sty m:val="p"/>
            </m:rPr>
            <m:t>=</m:t>
          </m:r>
          <m:sSub>
            <m:e>
              <m:r>
                <m:t>r</m:t>
              </m:r>
            </m:e>
            <m:sub>
              <m:r>
                <m:rPr>
                  <m:nor/>
                  <m:sty m:val="p"/>
                </m:rPr>
                <m:t>ox</m:t>
              </m:r>
            </m:sub>
          </m:sSub>
          <m:r>
            <m:rPr>
              <m:sty m:val="p"/>
            </m:rPr>
            <m:t>−</m:t>
          </m:r>
          <m:sSub>
            <m:e>
              <m:r>
                <m:t>r</m:t>
              </m:r>
            </m:e>
            <m:sub>
              <m:r>
                <m:rPr>
                  <m:nor/>
                  <m:sty m:val="p"/>
                </m:rPr>
                <m:t>crit</m:t>
              </m:r>
            </m:sub>
          </m:sSub>
        </m:oMath>
      </m:oMathPara>
    </w:p>
    <w:p>
      <w:pPr>
        <w:pStyle w:val="SourceCode"/>
      </w:pPr>
      <w:r>
        <w:rPr>
          <w:rStyle w:val="VerbatimChar"/>
        </w:rPr>
        <w:t xml:space="preserve">(Figure 1)</w:t>
      </w:r>
    </w:p>
    <w:p>
      <w:pPr>
        <w:pStyle w:val="FirstParagraph"/>
      </w:pPr>
      <w:r>
        <w:drawing>
          <wp:inline>
            <wp:extent cx="5334000" cy="4267200"/>
            <wp:effectExtent b="0" l="0" r="0" t="0"/>
            <wp:docPr descr="Figure 1: Biophysical Reaction-Diffusion Transport Physics &amp; Sensitivity Mapping" title="" id="28" name="Picture"/>
            <a:graphic>
              <a:graphicData uri="http://schemas.openxmlformats.org/drawingml/2006/picture">
                <pic:pic>
                  <pic:nvPicPr>
                    <pic:cNvPr descr="Figure1_transport_sensitivity.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rPr>
          <w:i/>
          <w:iCs/>
        </w:rPr>
        <w:t xml:space="preserve">Figure 1. Biophysical Reaction-Diffusion Transport Physics &amp; Parameter Sensitivity. (A) Normalized radial drug concentration profiles in outward perivascular geometry (K0, solid line) and inward avascular nest geometry (I0, dashed line). For osimertinib (lambda = 627.7 um), outward concentration falls below the IC50 threshold (theta = 0.35) at rcrit = 165.9 um, creating a viable sanctuary shell (green shaded area, Delta r = 34.1 um) up to the oxygenation boundary rox = 200 um. In inward avascular nests, osimertinib penetrates to &gt;90% throughout. Macromolecular ADCs (lambda = 77.5 um) experience severe penetration failure in both geometries. (B) Parameter sensitivity heatmap of sanctuary shell width Delta r across diffusivity D and uptake k, highlighting the boundary of shell collapse (Delta r = 0).</w:t>
      </w:r>
    </w:p>
    <w:bookmarkStart w:id="30" w:name="X88862ccf7f955b8c98de75c24468291e91202ba"/>
    <w:p>
      <w:pPr>
        <w:pStyle w:val="Heading4"/>
      </w:pPr>
      <w:r>
        <w:t xml:space="preserve">Table 1. Sensitivity of the Outward Perivascular Sanctuary Shell (</w:t>
      </w:r>
      <m:oMath>
        <m:r>
          <m:t>θ</m:t>
        </m:r>
        <m:r>
          <m:rPr>
            <m:sty m:val="p"/>
          </m:rPr>
          <m:t>=</m:t>
        </m:r>
        <m:r>
          <m:t>0.35</m:t>
        </m:r>
        <m:r>
          <m:rPr>
            <m:sty m:val="p"/>
          </m:rPr>
          <m:t>,</m:t>
        </m:r>
        <m:sSub>
          <m:e>
            <m:r>
              <m:t>r</m:t>
            </m:r>
          </m:e>
          <m:sub>
            <m:r>
              <m:t>0</m:t>
            </m:r>
          </m:sub>
        </m:sSub>
        <m:r>
          <m:rPr>
            <m:sty m:val="p"/>
          </m:rPr>
          <m:t>=</m:t>
        </m:r>
        <m:r>
          <m:t>10</m:t>
        </m:r>
        <m:r>
          <m:t> </m:t>
        </m:r>
        <m:r>
          <m:t>μ</m:t>
        </m:r>
        <m:r>
          <m:rPr>
            <m:nor/>
            <m:sty m:val="p"/>
          </m:rPr>
          <m:t>m</m:t>
        </m:r>
        <m:r>
          <m:rPr>
            <m:sty m:val="p"/>
          </m:rPr>
          <m:t>,</m:t>
        </m:r>
        <m:sSub>
          <m:e>
            <m:r>
              <m:t>r</m:t>
            </m:r>
          </m:e>
          <m:sub>
            <m:r>
              <m:rPr>
                <m:nor/>
                <m:sty m:val="p"/>
              </m:rPr>
              <m:t>ox</m:t>
            </m:r>
          </m:sub>
        </m:sSub>
        <m:r>
          <m:rPr>
            <m:sty m:val="p"/>
          </m:rPr>
          <m:t>=</m:t>
        </m:r>
        <m:r>
          <m:t>200</m:t>
        </m:r>
        <m:r>
          <m:t> </m:t>
        </m:r>
        <m:r>
          <m:t>μ</m:t>
        </m:r>
        <m:r>
          <m:rPr>
            <m:nor/>
            <m:sty m:val="p"/>
          </m:rPr>
          <m:t>m</m:t>
        </m:r>
      </m:oMath>
      <w:r>
        <w:t xml:space="preserve">)</w:t>
      </w:r>
    </w:p>
    <w:tbl>
      <w:tblPr>
        <w:tblStyle w:val="Table"/>
        <w:tblW w:type="pct" w:w="5000"/>
        <w:jc w:val="left"/>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Parameter Scenario</w:t>
            </w:r>
          </w:p>
        </w:tc>
        <w:tc>
          <w:tcPr/>
          <w:p>
            <w:pPr>
              <w:pStyle w:val="Compact"/>
              <w:jc w:val="center"/>
            </w:pPr>
            <w:r>
              <w:t xml:space="preserve">Penetration Length</w:t>
            </w:r>
            <w:r>
              <w:t xml:space="preserve"> </w:t>
            </w:r>
            <m:oMath>
              <m:r>
                <m:t>λ</m:t>
              </m:r>
            </m:oMath>
            <w:r>
              <w:t xml:space="preserve"> </w:t>
            </w:r>
            <w:r>
              <w:t xml:space="preserve">(</w:t>
            </w:r>
            <m:oMath>
              <m:r>
                <m:t>μ</m:t>
              </m:r>
              <m:r>
                <m:rPr>
                  <m:nor/>
                  <m:sty m:val="p"/>
                </m:rPr>
                <m:t>m</m:t>
              </m:r>
            </m:oMath>
            <w:r>
              <w:t xml:space="preserve">)</w:t>
            </w:r>
          </w:p>
        </w:tc>
        <w:tc>
          <w:tcPr/>
          <w:p>
            <w:pPr>
              <w:pStyle w:val="Compact"/>
              <w:jc w:val="center"/>
            </w:pPr>
            <w:r>
              <w:t xml:space="preserve">Critical Radius</w:t>
            </w:r>
            <w:r>
              <w:t xml:space="preserve"> </w:t>
            </w:r>
            <m:oMath>
              <m:sSub>
                <m:e>
                  <m:r>
                    <m:t>r</m:t>
                  </m:r>
                </m:e>
                <m:sub>
                  <m:r>
                    <m:rPr>
                      <m:nor/>
                      <m:sty m:val="p"/>
                    </m:rPr>
                    <m:t>crit</m:t>
                  </m:r>
                </m:sub>
              </m:sSub>
            </m:oMath>
            <w:r>
              <w:t xml:space="preserve"> </w:t>
            </w:r>
            <w:r>
              <w:t xml:space="preserve">(</w:t>
            </w:r>
            <m:oMath>
              <m:r>
                <m:t>μ</m:t>
              </m:r>
              <m:r>
                <m:rPr>
                  <m:nor/>
                  <m:sty m:val="p"/>
                </m:rPr>
                <m:t>m</m:t>
              </m:r>
            </m:oMath>
            <w:r>
              <w:t xml:space="preserve">)</w:t>
            </w:r>
          </w:p>
        </w:tc>
        <w:tc>
          <w:tcPr/>
          <w:p>
            <w:pPr>
              <w:pStyle w:val="Compact"/>
              <w:jc w:val="center"/>
            </w:pPr>
            <w:r>
              <w:t xml:space="preserve">Sanctuary Shell Width</w:t>
            </w:r>
            <w:r>
              <w:t xml:space="preserve"> </w:t>
            </w:r>
            <m:oMath>
              <m:r>
                <m:t>Δ</m:t>
              </m:r>
              <m:r>
                <m:t>r</m:t>
              </m:r>
            </m:oMath>
            <w:r>
              <w:t xml:space="preserve"> </w:t>
            </w:r>
            <w:r>
              <w:t xml:space="preserve">(</w:t>
            </w:r>
            <m:oMath>
              <m:r>
                <m:t>μ</m:t>
              </m:r>
              <m:r>
                <m:rPr>
                  <m:nor/>
                  <m:sty m:val="p"/>
                </m:rPr>
                <m:t>m</m:t>
              </m:r>
            </m:oMath>
            <w:r>
              <w:t xml:space="preserve">)</w:t>
            </w:r>
          </w:p>
        </w:tc>
        <w:tc>
          <w:tcPr/>
          <w:p>
            <w:pPr>
              <w:pStyle w:val="Compact"/>
              <w:jc w:val="left"/>
            </w:pPr>
            <w:r>
              <w:t xml:space="preserve">Functional Regime</w:t>
            </w:r>
          </w:p>
        </w:tc>
      </w:tr>
      <w:tr>
        <w:tc>
          <w:tcPr/>
          <w:p>
            <w:pPr>
              <w:pStyle w:val="Compact"/>
              <w:jc w:val="left"/>
            </w:pPr>
            <w:r>
              <w:rPr>
                <w:b/>
                <w:bCs/>
              </w:rPr>
              <w:t xml:space="preserve">Baseline Osimertinib</w:t>
            </w:r>
          </w:p>
        </w:tc>
        <w:tc>
          <w:tcPr/>
          <w:p>
            <w:pPr>
              <w:pStyle w:val="Compact"/>
              <w:jc w:val="center"/>
            </w:pPr>
            <w:r>
              <w:rPr>
                <w:b/>
                <w:bCs/>
              </w:rPr>
              <w:t xml:space="preserve">627.7</w:t>
            </w:r>
          </w:p>
        </w:tc>
        <w:tc>
          <w:tcPr/>
          <w:p>
            <w:pPr>
              <w:pStyle w:val="Compact"/>
              <w:jc w:val="center"/>
            </w:pPr>
            <w:r>
              <w:rPr>
                <w:b/>
                <w:bCs/>
              </w:rPr>
              <w:t xml:space="preserve">165.9</w:t>
            </w:r>
          </w:p>
        </w:tc>
        <w:tc>
          <w:tcPr/>
          <w:p>
            <w:pPr>
              <w:pStyle w:val="Compact"/>
              <w:jc w:val="center"/>
            </w:pPr>
            <w:r>
              <w:rPr>
                <w:b/>
                <w:bCs/>
              </w:rPr>
              <w:t xml:space="preserve">34.1</w:t>
            </w:r>
          </w:p>
        </w:tc>
        <w:tc>
          <w:tcPr/>
          <w:p>
            <w:pPr>
              <w:pStyle w:val="Compact"/>
              <w:jc w:val="left"/>
            </w:pPr>
            <w:r>
              <w:rPr>
                <w:b/>
                <w:bCs/>
              </w:rPr>
              <w:t xml:space="preserve">Viable Sanctuary Shell</w:t>
            </w:r>
          </w:p>
        </w:tc>
      </w:tr>
      <w:tr>
        <w:tc>
          <w:tcPr/>
          <w:p>
            <w:pPr>
              <w:pStyle w:val="Compact"/>
              <w:jc w:val="left"/>
            </w:pPr>
            <m:oMath>
              <m:r>
                <m:t>D</m:t>
              </m:r>
              <m:r>
                <m:rPr>
                  <m:sty m:val="p"/>
                </m:rPr>
                <m:t>+</m:t>
              </m:r>
              <m:r>
                <m:t>30</m:t>
              </m:r>
              <m:r>
                <m:rPr>
                  <m:sty m:val="p"/>
                </m:rPr>
                <m:t>%</m:t>
              </m:r>
            </m:oMath>
          </w:p>
        </w:tc>
        <w:tc>
          <w:tcPr/>
          <w:p>
            <w:pPr>
              <w:pStyle w:val="Compact"/>
              <w:jc w:val="center"/>
            </w:pPr>
            <w:r>
              <w:t xml:space="preserve">715.6</w:t>
            </w:r>
          </w:p>
        </w:tc>
        <w:tc>
          <w:tcPr/>
          <w:p>
            <w:pPr>
              <w:pStyle w:val="Compact"/>
              <w:jc w:val="center"/>
            </w:pPr>
            <w:r>
              <w:t xml:space="preserve">180.1</w:t>
            </w:r>
          </w:p>
        </w:tc>
        <w:tc>
          <w:tcPr/>
          <w:p>
            <w:pPr>
              <w:pStyle w:val="Compact"/>
              <w:jc w:val="center"/>
            </w:pPr>
            <w:r>
              <w:t xml:space="preserve">19.9</w:t>
            </w:r>
          </w:p>
        </w:tc>
        <w:tc>
          <w:tcPr/>
          <w:p>
            <w:pPr>
              <w:pStyle w:val="Compact"/>
              <w:jc w:val="left"/>
            </w:pPr>
            <w:r>
              <w:t xml:space="preserve">Viable Sanctuary Shell</w:t>
            </w:r>
          </w:p>
        </w:tc>
      </w:tr>
      <w:tr>
        <w:tc>
          <w:tcPr/>
          <w:p>
            <w:pPr>
              <w:pStyle w:val="Compact"/>
              <w:jc w:val="left"/>
            </w:pPr>
            <m:oMath>
              <m:r>
                <m:t>D</m:t>
              </m:r>
              <m:r>
                <m:rPr>
                  <m:sty m:val="p"/>
                </m:rPr>
                <m:t>−</m:t>
              </m:r>
              <m:r>
                <m:t>30</m:t>
              </m:r>
              <m:r>
                <m:rPr>
                  <m:sty m:val="p"/>
                </m:rPr>
                <m:t>%</m:t>
              </m:r>
            </m:oMath>
          </w:p>
        </w:tc>
        <w:tc>
          <w:tcPr/>
          <w:p>
            <w:pPr>
              <w:pStyle w:val="Compact"/>
              <w:jc w:val="center"/>
            </w:pPr>
            <w:r>
              <w:t xml:space="preserve">525.1</w:t>
            </w:r>
          </w:p>
        </w:tc>
        <w:tc>
          <w:tcPr/>
          <w:p>
            <w:pPr>
              <w:pStyle w:val="Compact"/>
              <w:jc w:val="center"/>
            </w:pPr>
            <w:r>
              <w:t xml:space="preserve">148.5</w:t>
            </w:r>
          </w:p>
        </w:tc>
        <w:tc>
          <w:tcPr/>
          <w:p>
            <w:pPr>
              <w:pStyle w:val="Compact"/>
              <w:jc w:val="center"/>
            </w:pPr>
            <w:r>
              <w:t xml:space="preserve">51.5</w:t>
            </w:r>
          </w:p>
        </w:tc>
        <w:tc>
          <w:tcPr/>
          <w:p>
            <w:pPr>
              <w:pStyle w:val="Compact"/>
              <w:jc w:val="left"/>
            </w:pPr>
            <w:r>
              <w:t xml:space="preserve">Expanded Sanctuary Shell</w:t>
            </w:r>
          </w:p>
        </w:tc>
      </w:tr>
      <w:tr>
        <w:tc>
          <w:tcPr/>
          <w:p>
            <w:pPr>
              <w:pStyle w:val="Compact"/>
              <w:jc w:val="left"/>
            </w:pPr>
            <m:oMath>
              <m:r>
                <m:t>k</m:t>
              </m:r>
              <m:r>
                <m:rPr>
                  <m:sty m:val="p"/>
                </m:rPr>
                <m:t>+</m:t>
              </m:r>
              <m:r>
                <m:t>30</m:t>
              </m:r>
              <m:r>
                <m:rPr>
                  <m:sty m:val="p"/>
                </m:rPr>
                <m:t>%</m:t>
              </m:r>
            </m:oMath>
          </w:p>
        </w:tc>
        <w:tc>
          <w:tcPr/>
          <w:p>
            <w:pPr>
              <w:pStyle w:val="Compact"/>
              <w:jc w:val="center"/>
            </w:pPr>
            <w:r>
              <w:t xml:space="preserve">550.5</w:t>
            </w:r>
          </w:p>
        </w:tc>
        <w:tc>
          <w:tcPr/>
          <w:p>
            <w:pPr>
              <w:pStyle w:val="Compact"/>
              <w:jc w:val="center"/>
            </w:pPr>
            <w:r>
              <w:t xml:space="preserve">152.9</w:t>
            </w:r>
          </w:p>
        </w:tc>
        <w:tc>
          <w:tcPr/>
          <w:p>
            <w:pPr>
              <w:pStyle w:val="Compact"/>
              <w:jc w:val="center"/>
            </w:pPr>
            <w:r>
              <w:t xml:space="preserve">47.1</w:t>
            </w:r>
          </w:p>
        </w:tc>
        <w:tc>
          <w:tcPr/>
          <w:p>
            <w:pPr>
              <w:pStyle w:val="Compact"/>
              <w:jc w:val="left"/>
            </w:pPr>
            <w:r>
              <w:t xml:space="preserve">Expanded Sanctuary Shell</w:t>
            </w:r>
          </w:p>
        </w:tc>
      </w:tr>
      <w:tr>
        <w:tc>
          <w:tcPr/>
          <w:p>
            <w:pPr>
              <w:pStyle w:val="Compact"/>
              <w:jc w:val="left"/>
            </w:pPr>
            <m:oMath>
              <m:r>
                <m:t>k</m:t>
              </m:r>
              <m:r>
                <m:rPr>
                  <m:sty m:val="p"/>
                </m:rPr>
                <m:t>−</m:t>
              </m:r>
              <m:r>
                <m:t>30</m:t>
              </m:r>
              <m:r>
                <m:rPr>
                  <m:sty m:val="p"/>
                </m:rPr>
                <m:t>%</m:t>
              </m:r>
            </m:oMath>
          </w:p>
        </w:tc>
        <w:tc>
          <w:tcPr/>
          <w:p>
            <w:pPr>
              <w:pStyle w:val="Compact"/>
              <w:jc w:val="center"/>
            </w:pPr>
            <w:r>
              <w:t xml:space="preserve">750.2</w:t>
            </w:r>
          </w:p>
        </w:tc>
        <w:tc>
          <w:tcPr/>
          <w:p>
            <w:pPr>
              <w:pStyle w:val="Compact"/>
              <w:jc w:val="center"/>
            </w:pPr>
            <w:r>
              <w:t xml:space="preserve">185.5</w:t>
            </w:r>
          </w:p>
        </w:tc>
        <w:tc>
          <w:tcPr/>
          <w:p>
            <w:pPr>
              <w:pStyle w:val="Compact"/>
              <w:jc w:val="center"/>
            </w:pPr>
            <w:r>
              <w:t xml:space="preserve">14.5</w:t>
            </w:r>
          </w:p>
        </w:tc>
        <w:tc>
          <w:tcPr/>
          <w:p>
            <w:pPr>
              <w:pStyle w:val="Compact"/>
              <w:jc w:val="left"/>
            </w:pPr>
            <w:r>
              <w:t xml:space="preserve">Viable Sanctuary Shell</w:t>
            </w:r>
          </w:p>
        </w:tc>
      </w:tr>
      <w:tr>
        <w:tc>
          <w:tcPr/>
          <w:p>
            <w:pPr>
              <w:pStyle w:val="Compact"/>
              <w:jc w:val="left"/>
            </w:pPr>
            <m:oMath>
              <m:r>
                <m:t>D</m:t>
              </m:r>
              <m:r>
                <m:rPr>
                  <m:sty m:val="p"/>
                </m:rPr>
                <m:t>+</m:t>
              </m:r>
              <m:r>
                <m:t>30</m:t>
              </m:r>
              <m:r>
                <m:rPr>
                  <m:sty m:val="p"/>
                </m:rPr>
                <m:t>%</m:t>
              </m:r>
            </m:oMath>
            <w:r>
              <w:rPr>
                <w:b/>
                <w:bCs/>
              </w:rPr>
              <w:t xml:space="preserve"> </w:t>
            </w:r>
            <w:r>
              <w:rPr>
                <w:b/>
                <w:bCs/>
              </w:rPr>
              <w:t xml:space="preserve">and</w:t>
            </w:r>
            <w:r>
              <w:rPr>
                <w:b/>
                <w:bCs/>
              </w:rPr>
              <w:t xml:space="preserve"> </w:t>
            </w:r>
            <m:oMath>
              <m:r>
                <m:t>k</m:t>
              </m:r>
              <m:r>
                <m:rPr>
                  <m:sty m:val="p"/>
                </m:rPr>
                <m:t>−</m:t>
              </m:r>
              <m:r>
                <m:t>30</m:t>
              </m:r>
              <m:r>
                <m:rPr>
                  <m:sty m:val="p"/>
                </m:rPr>
                <m:t>%</m:t>
              </m:r>
            </m:oMath>
          </w:p>
        </w:tc>
        <w:tc>
          <w:tcPr/>
          <w:p>
            <w:pPr>
              <w:pStyle w:val="Compact"/>
              <w:jc w:val="center"/>
            </w:pPr>
            <w:r>
              <w:rPr>
                <w:b/>
                <w:bCs/>
              </w:rPr>
              <w:t xml:space="preserve">855.3</w:t>
            </w:r>
          </w:p>
        </w:tc>
        <w:tc>
          <w:tcPr/>
          <w:p>
            <w:pPr>
              <w:pStyle w:val="Compact"/>
              <w:jc w:val="center"/>
            </w:pPr>
            <w:r>
              <w:rPr>
                <w:b/>
                <w:bCs/>
              </w:rPr>
              <w:t xml:space="preserve">201.4</w:t>
            </w:r>
          </w:p>
        </w:tc>
        <w:tc>
          <w:tcPr/>
          <w:p>
            <w:pPr>
              <w:pStyle w:val="Compact"/>
              <w:jc w:val="center"/>
            </w:pPr>
            <w:r>
              <w:rPr>
                <w:b/>
                <w:bCs/>
              </w:rPr>
              <w:t xml:space="preserve">0.0</w:t>
            </w:r>
          </w:p>
        </w:tc>
        <w:tc>
          <w:tcPr/>
          <w:p>
            <w:pPr>
              <w:pStyle w:val="Compact"/>
              <w:jc w:val="left"/>
            </w:pPr>
            <w:r>
              <w:rPr>
                <w:b/>
                <w:bCs/>
              </w:rPr>
              <w:t xml:space="preserve">Sanctuary Collapsed (</w:t>
            </w:r>
            <m:oMath>
              <m:sSub>
                <m:e>
                  <m:r>
                    <m:t>r</m:t>
                  </m:r>
                </m:e>
                <m:sub>
                  <m:r>
                    <m:rPr>
                      <m:nor/>
                      <m:sty m:val="p"/>
                    </m:rPr>
                    <m:t>crit</m:t>
                  </m:r>
                </m:sub>
              </m:sSub>
              <m:r>
                <m:rPr>
                  <m:sty m:val="p"/>
                </m:rPr>
                <m:t>&gt;</m:t>
              </m:r>
              <m:sSub>
                <m:e>
                  <m:r>
                    <m:t>r</m:t>
                  </m:r>
                </m:e>
                <m:sub>
                  <m:r>
                    <m:rPr>
                      <m:nor/>
                      <m:sty m:val="p"/>
                    </m:rPr>
                    <m:t>ox</m:t>
                  </m:r>
                </m:sub>
              </m:sSub>
            </m:oMath>
            <w:r>
              <w:rPr>
                <w:b/>
                <w:bCs/>
              </w:rPr>
              <w:t xml:space="preserve">)</w:t>
            </w:r>
          </w:p>
        </w:tc>
      </w:tr>
      <w:tr>
        <w:tc>
          <w:tcPr/>
          <w:p>
            <w:pPr>
              <w:pStyle w:val="Compact"/>
              <w:jc w:val="left"/>
            </w:pPr>
            <m:oMath>
              <m:r>
                <m:t>D</m:t>
              </m:r>
              <m:r>
                <m:rPr>
                  <m:sty m:val="p"/>
                </m:rPr>
                <m:t>−</m:t>
              </m:r>
              <m:r>
                <m:t>30</m:t>
              </m:r>
              <m:r>
                <m:rPr>
                  <m:sty m:val="p"/>
                </m:rPr>
                <m:t>%</m:t>
              </m:r>
            </m:oMath>
            <w:r>
              <w:t xml:space="preserve"> </w:t>
            </w:r>
            <w:r>
              <w:t xml:space="preserve">and</w:t>
            </w:r>
            <w:r>
              <w:t xml:space="preserve"> </w:t>
            </w:r>
            <m:oMath>
              <m:r>
                <m:t>k</m:t>
              </m:r>
              <m:r>
                <m:rPr>
                  <m:sty m:val="p"/>
                </m:rPr>
                <m:t>+</m:t>
              </m:r>
              <m:r>
                <m:t>30</m:t>
              </m:r>
              <m:r>
                <m:rPr>
                  <m:sty m:val="p"/>
                </m:rPr>
                <m:t>%</m:t>
              </m:r>
            </m:oMath>
          </w:p>
        </w:tc>
        <w:tc>
          <w:tcPr/>
          <w:p>
            <w:pPr>
              <w:pStyle w:val="Compact"/>
              <w:jc w:val="center"/>
            </w:pPr>
            <w:r>
              <w:t xml:space="preserve">460.6</w:t>
            </w:r>
          </w:p>
        </w:tc>
        <w:tc>
          <w:tcPr/>
          <w:p>
            <w:pPr>
              <w:pStyle w:val="Compact"/>
              <w:jc w:val="center"/>
            </w:pPr>
            <w:r>
              <w:t xml:space="preserve">136.9</w:t>
            </w:r>
          </w:p>
        </w:tc>
        <w:tc>
          <w:tcPr/>
          <w:p>
            <w:pPr>
              <w:pStyle w:val="Compact"/>
              <w:jc w:val="center"/>
            </w:pPr>
            <w:r>
              <w:t xml:space="preserve">63.1</w:t>
            </w:r>
          </w:p>
        </w:tc>
        <w:tc>
          <w:tcPr/>
          <w:p>
            <w:pPr>
              <w:pStyle w:val="Compact"/>
              <w:jc w:val="left"/>
            </w:pPr>
            <w:r>
              <w:t xml:space="preserve">Expanded Sanctuary Shell</w:t>
            </w:r>
          </w:p>
        </w:tc>
      </w:tr>
      <w:tr>
        <w:tc>
          <w:tcPr/>
          <w:p>
            <w:pPr>
              <w:pStyle w:val="Compact"/>
              <w:jc w:val="left"/>
            </w:pPr>
            <m:oMath>
              <m:sSub>
                <m:e>
                  <m:r>
                    <m:t>r</m:t>
                  </m:r>
                </m:e>
                <m:sub>
                  <m:r>
                    <m:t>0</m:t>
                  </m:r>
                </m:sub>
              </m:sSub>
              <m:r>
                <m:rPr>
                  <m:sty m:val="p"/>
                </m:rPr>
                <m:t>=</m:t>
              </m:r>
              <m:r>
                <m:t>5.0</m:t>
              </m:r>
              <m:r>
                <m:t> </m:t>
              </m:r>
              <m:r>
                <m:t>μ</m:t>
              </m:r>
              <m:r>
                <m:rPr>
                  <m:nor/>
                  <m:sty m:val="p"/>
                </m:rPr>
                <m:t>m</m:t>
              </m:r>
            </m:oMath>
          </w:p>
        </w:tc>
        <w:tc>
          <w:tcPr/>
          <w:p>
            <w:pPr>
              <w:pStyle w:val="Compact"/>
              <w:jc w:val="center"/>
            </w:pPr>
            <w:r>
              <w:t xml:space="preserve">627.7</w:t>
            </w:r>
          </w:p>
        </w:tc>
        <w:tc>
          <w:tcPr/>
          <w:p>
            <w:pPr>
              <w:pStyle w:val="Compact"/>
              <w:jc w:val="center"/>
            </w:pPr>
            <w:r>
              <w:t xml:space="preserve">128.3</w:t>
            </w:r>
          </w:p>
        </w:tc>
        <w:tc>
          <w:tcPr/>
          <w:p>
            <w:pPr>
              <w:pStyle w:val="Compact"/>
              <w:jc w:val="center"/>
            </w:pPr>
            <w:r>
              <w:t xml:space="preserve">71.7</w:t>
            </w:r>
          </w:p>
        </w:tc>
        <w:tc>
          <w:tcPr/>
          <w:p>
            <w:pPr>
              <w:pStyle w:val="Compact"/>
              <w:jc w:val="left"/>
            </w:pPr>
            <w:r>
              <w:t xml:space="preserve">Expanded Sanctuary Shell</w:t>
            </w:r>
          </w:p>
        </w:tc>
      </w:tr>
      <w:tr>
        <w:tc>
          <w:tcPr/>
          <w:p>
            <w:pPr>
              <w:pStyle w:val="Compact"/>
              <w:jc w:val="left"/>
            </w:pPr>
            <m:oMath>
              <m:sSub>
                <m:e>
                  <m:r>
                    <m:t>r</m:t>
                  </m:r>
                </m:e>
                <m:sub>
                  <m:r>
                    <m:t>0</m:t>
                  </m:r>
                </m:sub>
              </m:sSub>
              <m:r>
                <m:rPr>
                  <m:sty m:val="p"/>
                </m:rPr>
                <m:t>=</m:t>
              </m:r>
              <m:r>
                <m:t>20.0</m:t>
              </m:r>
              <m:r>
                <m:t> </m:t>
              </m:r>
              <m:r>
                <m:t>μ</m:t>
              </m:r>
              <m:r>
                <m:rPr>
                  <m:nor/>
                  <m:sty m:val="p"/>
                </m:rPr>
                <m:t>m</m:t>
              </m:r>
            </m:oMath>
          </w:p>
        </w:tc>
        <w:tc>
          <w:tcPr/>
          <w:p>
            <w:pPr>
              <w:pStyle w:val="Compact"/>
              <w:jc w:val="center"/>
            </w:pPr>
            <w:r>
              <w:t xml:space="preserve">627.7</w:t>
            </w:r>
          </w:p>
        </w:tc>
        <w:tc>
          <w:tcPr/>
          <w:p>
            <w:pPr>
              <w:pStyle w:val="Compact"/>
              <w:jc w:val="center"/>
            </w:pPr>
            <w:r>
              <w:t xml:space="preserve">216.2</w:t>
            </w:r>
          </w:p>
        </w:tc>
        <w:tc>
          <w:tcPr/>
          <w:p>
            <w:pPr>
              <w:pStyle w:val="Compact"/>
              <w:jc w:val="center"/>
            </w:pPr>
            <w:r>
              <w:t xml:space="preserve">0.0</w:t>
            </w:r>
          </w:p>
        </w:tc>
        <w:tc>
          <w:tcPr/>
          <w:p>
            <w:pPr>
              <w:pStyle w:val="Compact"/>
              <w:jc w:val="left"/>
            </w:pPr>
            <w:r>
              <w:t xml:space="preserve">Sanctuary Collapsed</w:t>
            </w:r>
          </w:p>
        </w:tc>
      </w:tr>
      <w:tr>
        <w:tc>
          <w:tcPr/>
          <w:p>
            <w:pPr>
              <w:pStyle w:val="Compact"/>
              <w:jc w:val="left"/>
            </w:pPr>
            <w:r>
              <w:rPr>
                <w:b/>
                <w:bCs/>
              </w:rPr>
              <w:t xml:space="preserve">ADC Macromolecule</w:t>
            </w:r>
          </w:p>
        </w:tc>
        <w:tc>
          <w:tcPr/>
          <w:p>
            <w:pPr>
              <w:pStyle w:val="Compact"/>
              <w:jc w:val="center"/>
            </w:pPr>
            <w:r>
              <w:rPr>
                <w:b/>
                <w:bCs/>
              </w:rPr>
              <w:t xml:space="preserve">77.5</w:t>
            </w:r>
          </w:p>
        </w:tc>
        <w:tc>
          <w:tcPr/>
          <w:p>
            <w:pPr>
              <w:pStyle w:val="Compact"/>
              <w:jc w:val="center"/>
            </w:pPr>
            <w:r>
              <w:rPr>
                <w:b/>
                <w:bCs/>
              </w:rPr>
              <w:t xml:space="preserve">47.4</w:t>
            </w:r>
          </w:p>
        </w:tc>
        <w:tc>
          <w:tcPr/>
          <w:p>
            <w:pPr>
              <w:pStyle w:val="Compact"/>
              <w:jc w:val="center"/>
            </w:pPr>
            <w:r>
              <w:rPr>
                <w:b/>
                <w:bCs/>
              </w:rPr>
              <w:t xml:space="preserve">152.6</w:t>
            </w:r>
          </w:p>
        </w:tc>
        <w:tc>
          <w:tcPr/>
          <w:p>
            <w:pPr>
              <w:pStyle w:val="Compact"/>
              <w:jc w:val="left"/>
            </w:pPr>
            <w:r>
              <w:rPr>
                <w:b/>
                <w:bCs/>
              </w:rPr>
              <w:t xml:space="preserve">Massive Sanctuary Shell (94.4% viable area)</w:t>
            </w:r>
          </w:p>
        </w:tc>
      </w:tr>
    </w:tbl>
    <w:bookmarkEnd w:id="30"/>
    <w:bookmarkStart w:id="31" w:name="X6b17b717b40621e5c8ccbbc2926d94008867e5b"/>
    <w:p>
      <w:pPr>
        <w:pStyle w:val="Heading4"/>
      </w:pPr>
      <w:r>
        <w:t xml:space="preserve">Table 2. Inward Avascular Nest Geometry: Central Core Concentration</w:t>
      </w:r>
      <w:r>
        <w:t xml:space="preserve"> </w:t>
      </w:r>
      <m:oMath>
        <m:sSub>
          <m:e>
            <m:r>
              <m:t>C</m:t>
            </m:r>
          </m:e>
          <m:sub>
            <m:r>
              <m:rPr>
                <m:nor/>
                <m:sty m:val="p"/>
              </m:rPr>
              <m:t>in</m:t>
            </m:r>
          </m:sub>
        </m:sSub>
        <m:d>
          <m:dPr>
            <m:begChr m:val="("/>
            <m:endChr m:val=")"/>
            <m:sepChr m:val=""/>
            <m:grow/>
          </m:dPr>
          <m:e>
            <m:r>
              <m:t>0</m:t>
            </m:r>
          </m:e>
        </m:d>
        <m:r>
          <m:rPr>
            <m:sty m:val="p"/>
          </m:rPr>
          <m:t>/</m:t>
        </m:r>
        <m:sSub>
          <m:e>
            <m:r>
              <m:t>C</m:t>
            </m:r>
          </m:e>
          <m:sub>
            <m:r>
              <m:t>0</m:t>
            </m:r>
          </m:sub>
        </m:sSub>
        <m:r>
          <m:rPr>
            <m:sty m:val="p"/>
          </m:rPr>
          <m:t>=</m:t>
        </m:r>
        <m:r>
          <m:t>1</m:t>
        </m:r>
        <m:r>
          <m:rPr>
            <m:sty m:val="p"/>
          </m:rPr>
          <m:t>/</m:t>
        </m:r>
        <m:sSub>
          <m:e>
            <m:r>
              <m:t>I</m:t>
            </m:r>
          </m:e>
          <m:sub>
            <m:r>
              <m:t>0</m:t>
            </m:r>
          </m:sub>
        </m:sSub>
        <m:d>
          <m:dPr>
            <m:begChr m:val="("/>
            <m:endChr m:val=")"/>
            <m:sepChr m:val=""/>
            <m:grow/>
          </m:dPr>
          <m:e>
            <m:r>
              <m:t>R</m:t>
            </m:r>
            <m:r>
              <m:rPr>
                <m:sty m:val="p"/>
              </m:rPr>
              <m:t>/</m:t>
            </m:r>
            <m:r>
              <m:t>λ</m:t>
            </m:r>
          </m:e>
        </m:d>
      </m:oMath>
    </w:p>
    <w:tbl>
      <w:tblPr>
        <w:tblStyle w:val="Table"/>
        <w:tblW w:type="pct" w:w="5000"/>
        <w:jc w:val="left"/>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t xml:space="preserve">Nest Outer Radius</w:t>
            </w:r>
            <w:r>
              <w:t xml:space="preserve"> </w:t>
            </w:r>
            <m:oMath>
              <m:r>
                <m:t>R</m:t>
              </m:r>
            </m:oMath>
            <w:r>
              <w:t xml:space="preserve"> </w:t>
            </w:r>
            <w:r>
              <w:t xml:space="preserve">(</w:t>
            </w:r>
            <m:oMath>
              <m:r>
                <m:t>μ</m:t>
              </m:r>
              <m:r>
                <m:rPr>
                  <m:nor/>
                  <m:sty m:val="p"/>
                </m:rPr>
                <m:t>m</m:t>
              </m:r>
            </m:oMath>
            <w:r>
              <w:t xml:space="preserve">)</w:t>
            </w:r>
          </w:p>
        </w:tc>
        <w:tc>
          <w:tcPr/>
          <w:p>
            <w:pPr>
              <w:pStyle w:val="Compact"/>
              <w:jc w:val="center"/>
            </w:pPr>
            <w:r>
              <w:t xml:space="preserve">Osimertinib (</w:t>
            </w:r>
            <m:oMath>
              <m:r>
                <m:t>λ</m:t>
              </m:r>
              <m:r>
                <m:rPr>
                  <m:sty m:val="p"/>
                </m:rPr>
                <m:t>=</m:t>
              </m:r>
              <m:r>
                <m:t>627.7</m:t>
              </m:r>
              <m:r>
                <m:t> </m:t>
              </m:r>
              <m:r>
                <m:t>μ</m:t>
              </m:r>
              <m:r>
                <m:rPr>
                  <m:nor/>
                  <m:sty m:val="p"/>
                </m:rPr>
                <m:t>m</m:t>
              </m:r>
            </m:oMath>
            <w:r>
              <w:t xml:space="preserve">)</w:t>
            </w:r>
          </w:p>
        </w:tc>
        <w:tc>
          <w:tcPr/>
          <w:p>
            <w:pPr>
              <w:pStyle w:val="Compact"/>
              <w:jc w:val="center"/>
            </w:pPr>
            <w:r>
              <w:t xml:space="preserve">Macromolecule ADC (</w:t>
            </w:r>
            <m:oMath>
              <m:r>
                <m:t>λ</m:t>
              </m:r>
              <m:r>
                <m:rPr>
                  <m:sty m:val="p"/>
                </m:rPr>
                <m:t>=</m:t>
              </m:r>
              <m:r>
                <m:t>77.5</m:t>
              </m:r>
              <m:r>
                <m:t> </m:t>
              </m:r>
              <m:r>
                <m:t>μ</m:t>
              </m:r>
              <m:r>
                <m:rPr>
                  <m:nor/>
                  <m:sty m:val="p"/>
                </m:rPr>
                <m:t>m</m:t>
              </m:r>
            </m:oMath>
            <w:r>
              <w:t xml:space="preserve">)</w:t>
            </w:r>
          </w:p>
        </w:tc>
        <w:tc>
          <w:tcPr/>
          <w:p>
            <w:pPr>
              <w:pStyle w:val="Compact"/>
              <w:jc w:val="left"/>
            </w:pPr>
            <w:r>
              <w:t xml:space="preserve">Viability Status</w:t>
            </w:r>
          </w:p>
        </w:tc>
      </w:tr>
      <w:tr>
        <w:tc>
          <w:tcPr/>
          <w:p>
            <w:pPr>
              <w:pStyle w:val="Compact"/>
              <w:jc w:val="center"/>
            </w:pPr>
            <m:oMath>
              <m:r>
                <m:t>100</m:t>
              </m:r>
              <m:r>
                <m:t> </m:t>
              </m:r>
              <m:r>
                <m:t>μ</m:t>
              </m:r>
              <m:r>
                <m:rPr>
                  <m:nor/>
                  <m:sty m:val="p"/>
                </m:rPr>
                <m:t>m</m:t>
              </m:r>
            </m:oMath>
          </w:p>
        </w:tc>
        <w:tc>
          <w:tcPr/>
          <w:p>
            <w:pPr>
              <w:pStyle w:val="Compact"/>
              <w:jc w:val="center"/>
            </w:pPr>
            <w:r>
              <w:rPr>
                <w:b/>
                <w:bCs/>
              </w:rPr>
              <w:t xml:space="preserve">0.994</w:t>
            </w:r>
            <w:r>
              <w:t xml:space="preserve"> </w:t>
            </w:r>
            <w:r>
              <w:t xml:space="preserve">(99.4%)</w:t>
            </w:r>
          </w:p>
        </w:tc>
        <w:tc>
          <w:tcPr/>
          <w:p>
            <w:pPr>
              <w:pStyle w:val="Compact"/>
              <w:jc w:val="center"/>
            </w:pPr>
            <w:r>
              <w:t xml:space="preserve">0.444 (44.4%)</w:t>
            </w:r>
          </w:p>
        </w:tc>
        <w:tc>
          <w:tcPr/>
          <w:p>
            <w:pPr>
              <w:pStyle w:val="Compact"/>
              <w:jc w:val="left"/>
            </w:pPr>
            <w:r>
              <w:t xml:space="preserve">Viable throughout</w:t>
            </w:r>
          </w:p>
        </w:tc>
      </w:tr>
      <w:tr>
        <w:tc>
          <w:tcPr/>
          <w:p>
            <w:pPr>
              <w:pStyle w:val="Compact"/>
              <w:jc w:val="center"/>
            </w:pPr>
            <m:oMath>
              <m:r>
                <m:t>150</m:t>
              </m:r>
              <m:r>
                <m:t> </m:t>
              </m:r>
              <m:r>
                <m:t>μ</m:t>
              </m:r>
              <m:r>
                <m:rPr>
                  <m:nor/>
                  <m:sty m:val="p"/>
                </m:rPr>
                <m:t>m</m:t>
              </m:r>
            </m:oMath>
          </w:p>
        </w:tc>
        <w:tc>
          <w:tcPr/>
          <w:p>
            <w:pPr>
              <w:pStyle w:val="Compact"/>
              <w:jc w:val="center"/>
            </w:pPr>
            <w:r>
              <w:rPr>
                <w:b/>
                <w:bCs/>
              </w:rPr>
              <w:t xml:space="preserve">0.986</w:t>
            </w:r>
            <w:r>
              <w:t xml:space="preserve"> </w:t>
            </w:r>
            <w:r>
              <w:t xml:space="preserve">(98.6%)</w:t>
            </w:r>
          </w:p>
        </w:tc>
        <w:tc>
          <w:tcPr/>
          <w:p>
            <w:pPr>
              <w:pStyle w:val="Compact"/>
              <w:jc w:val="center"/>
            </w:pPr>
            <w:r>
              <w:t xml:space="preserve">0.203 (20.3%)</w:t>
            </w:r>
          </w:p>
        </w:tc>
        <w:tc>
          <w:tcPr/>
          <w:p>
            <w:pPr>
              <w:pStyle w:val="Compact"/>
              <w:jc w:val="left"/>
            </w:pPr>
            <w:r>
              <w:t xml:space="preserve">Viable throughout</w:t>
            </w:r>
          </w:p>
        </w:tc>
      </w:tr>
      <w:tr>
        <w:tc>
          <w:tcPr/>
          <w:p>
            <w:pPr>
              <w:pStyle w:val="Compact"/>
              <w:jc w:val="center"/>
            </w:pPr>
            <m:oMath>
              <m:r>
                <m:t>200</m:t>
              </m:r>
              <m:r>
                <m:t> </m:t>
              </m:r>
              <m:r>
                <m:t>μ</m:t>
              </m:r>
              <m:r>
                <m:rPr>
                  <m:nor/>
                  <m:sty m:val="p"/>
                </m:rPr>
                <m:t>m</m:t>
              </m:r>
            </m:oMath>
          </w:p>
        </w:tc>
        <w:tc>
          <w:tcPr/>
          <w:p>
            <w:pPr>
              <w:pStyle w:val="Compact"/>
              <w:jc w:val="center"/>
            </w:pPr>
            <w:r>
              <w:rPr>
                <w:b/>
                <w:bCs/>
              </w:rPr>
              <w:t xml:space="preserve">0.975</w:t>
            </w:r>
            <w:r>
              <w:t xml:space="preserve"> </w:t>
            </w:r>
            <w:r>
              <w:t xml:space="preserve">(97.5%)</w:t>
            </w:r>
          </w:p>
        </w:tc>
        <w:tc>
          <w:tcPr/>
          <w:p>
            <w:pPr>
              <w:pStyle w:val="Compact"/>
              <w:jc w:val="center"/>
            </w:pPr>
            <w:r>
              <w:t xml:space="preserve">0.086 (8.6%)</w:t>
            </w:r>
          </w:p>
        </w:tc>
        <w:tc>
          <w:tcPr/>
          <w:p>
            <w:pPr>
              <w:pStyle w:val="Compact"/>
              <w:jc w:val="left"/>
            </w:pPr>
            <w:r>
              <w:t xml:space="preserve">Central core hypoxic/necrotic (</w:t>
            </w:r>
            <m:oMath>
              <m:r>
                <m:t>R</m:t>
              </m:r>
              <m:r>
                <m:rPr>
                  <m:sty m:val="p"/>
                </m:rPr>
                <m:t>&gt;</m:t>
              </m:r>
              <m:sSub>
                <m:e>
                  <m:r>
                    <m:t>R</m:t>
                  </m:r>
                </m:e>
                <m:sub>
                  <m:r>
                    <m:rPr>
                      <m:nor/>
                      <m:sty m:val="p"/>
                    </m:rPr>
                    <m:t>crit,ox</m:t>
                  </m:r>
                </m:sub>
              </m:sSub>
            </m:oMath>
            <w:r>
              <w:t xml:space="preserve">)</w:t>
            </w:r>
          </w:p>
        </w:tc>
      </w:tr>
      <w:tr>
        <w:tc>
          <w:tcPr/>
          <w:p>
            <w:pPr>
              <w:pStyle w:val="Compact"/>
              <w:jc w:val="center"/>
            </w:pPr>
            <m:oMath>
              <m:r>
                <m:t>300</m:t>
              </m:r>
              <m:r>
                <m:t> </m:t>
              </m:r>
              <m:r>
                <m:t>μ</m:t>
              </m:r>
              <m:r>
                <m:rPr>
                  <m:nor/>
                  <m:sty m:val="p"/>
                </m:rPr>
                <m:t>m</m:t>
              </m:r>
            </m:oMath>
          </w:p>
        </w:tc>
        <w:tc>
          <w:tcPr/>
          <w:p>
            <w:pPr>
              <w:pStyle w:val="Compact"/>
              <w:jc w:val="center"/>
            </w:pPr>
            <w:r>
              <w:rPr>
                <w:b/>
                <w:bCs/>
              </w:rPr>
              <w:t xml:space="preserve">0.945</w:t>
            </w:r>
            <w:r>
              <w:t xml:space="preserve"> </w:t>
            </w:r>
            <w:r>
              <w:t xml:space="preserve">(94.5%)</w:t>
            </w:r>
          </w:p>
        </w:tc>
        <w:tc>
          <w:tcPr/>
          <w:p>
            <w:pPr>
              <w:pStyle w:val="Compact"/>
              <w:jc w:val="center"/>
            </w:pPr>
            <w:r>
              <w:t xml:space="preserve">0.013 (1.3%)</w:t>
            </w:r>
          </w:p>
        </w:tc>
        <w:tc>
          <w:tcPr/>
          <w:p>
            <w:pPr>
              <w:pStyle w:val="Compact"/>
              <w:jc w:val="left"/>
            </w:pPr>
            <w:r>
              <w:t xml:space="preserve">Extensive central necrosis</w:t>
            </w:r>
          </w:p>
        </w:tc>
      </w:tr>
      <w:tr>
        <w:tc>
          <w:tcPr/>
          <w:p>
            <w:pPr>
              <w:pStyle w:val="Compact"/>
              <w:jc w:val="center"/>
            </w:pPr>
            <m:oMath>
              <m:r>
                <m:t>400</m:t>
              </m:r>
              <m:r>
                <m:t> </m:t>
              </m:r>
              <m:r>
                <m:t>μ</m:t>
              </m:r>
              <m:r>
                <m:rPr>
                  <m:nor/>
                  <m:sty m:val="p"/>
                </m:rPr>
                <m:t>m</m:t>
              </m:r>
            </m:oMath>
          </w:p>
        </w:tc>
        <w:tc>
          <w:tcPr/>
          <w:p>
            <w:pPr>
              <w:pStyle w:val="Compact"/>
              <w:jc w:val="center"/>
            </w:pPr>
            <w:r>
              <w:rPr>
                <w:b/>
                <w:bCs/>
              </w:rPr>
              <w:t xml:space="preserve">0.906</w:t>
            </w:r>
            <w:r>
              <w:t xml:space="preserve"> </w:t>
            </w:r>
            <w:r>
              <w:t xml:space="preserve">(90.6%)</w:t>
            </w:r>
          </w:p>
        </w:tc>
        <w:tc>
          <w:tcPr/>
          <w:p>
            <w:pPr>
              <w:pStyle w:val="Compact"/>
              <w:jc w:val="center"/>
            </w:pPr>
            <w:r>
              <w:t xml:space="preserve">0.002 (0.2%)</w:t>
            </w:r>
          </w:p>
        </w:tc>
        <w:tc>
          <w:tcPr/>
          <w:p>
            <w:pPr>
              <w:pStyle w:val="Compact"/>
              <w:jc w:val="left"/>
            </w:pPr>
            <w:r>
              <w:t xml:space="preserve">Extensive central necrosis</w:t>
            </w:r>
          </w:p>
        </w:tc>
      </w:tr>
    </w:tbl>
    <w:p>
      <w:pPr>
        <w:pStyle w:val="BodyText"/>
      </w:pPr>
      <w:r>
        <w:t xml:space="preserve">As demonstrated in</w:t>
      </w:r>
      <w:r>
        <w:t xml:space="preserve"> </w:t>
      </w:r>
      <w:r>
        <w:rPr>
          <w:b/>
          <w:bCs/>
        </w:rPr>
        <w:t xml:space="preserve">Table 2</w:t>
      </w:r>
      <w:r>
        <w:t xml:space="preserve">, for small-molecule osimertinib, central core concentration remains at</w:t>
      </w:r>
      <w:r>
        <w:t xml:space="preserve"> </w:t>
      </w:r>
      <m:oMath>
        <m:r>
          <m:rPr>
            <m:sty m:val="p"/>
          </m:rPr>
          <m:t>≥</m:t>
        </m:r>
        <m:r>
          <m:t>97.5</m:t>
        </m:r>
        <m:r>
          <m:rPr>
            <m:sty m:val="p"/>
          </m:rPr>
          <m:t>%</m:t>
        </m:r>
      </m:oMath>
      <w:r>
        <w:t xml:space="preserve"> </w:t>
      </w:r>
      <w:r>
        <w:t xml:space="preserve">of vascular supply for any nest radius up to the oxygenation viability boundary (</w:t>
      </w:r>
      <m:oMath>
        <m:r>
          <m:t>R</m:t>
        </m:r>
        <m:r>
          <m:rPr>
            <m:sty m:val="p"/>
          </m:rPr>
          <m:t>≤</m:t>
        </m:r>
        <m:r>
          <m:t>160</m:t>
        </m:r>
        <m:r>
          <m:rPr>
            <m:nor/>
            <m:sty m:val="p"/>
          </m:rPr>
          <m:t>–</m:t>
        </m:r>
        <m:r>
          <m:t>200</m:t>
        </m:r>
        <m:r>
          <m:t> </m:t>
        </m:r>
        <m:r>
          <m:t>μ</m:t>
        </m:r>
        <m:r>
          <m:rPr>
            <m:nor/>
            <m:sty m:val="p"/>
          </m:rPr>
          <m:t>m</m:t>
        </m:r>
      </m:oMath>
      <w:r>
        <w:t xml:space="preserve">). Consequently,</w:t>
      </w:r>
      <w:r>
        <w:t xml:space="preserve"> </w:t>
      </w:r>
      <w:r>
        <w:rPr>
          <w:b/>
          <w:bCs/>
        </w:rPr>
        <w:t xml:space="preserve">avascular tumor nests do not establish pharmacological sanctuaries for small-molecule TKIs</w:t>
      </w:r>
      <w:r>
        <w:t xml:space="preserve">. Sanctuaries for small molecules are physically restricted to outward perivascular cords where geometric divergence accelerates concentration decay.</w:t>
      </w:r>
    </w:p>
    <w:bookmarkEnd w:id="31"/>
    <w:bookmarkStart w:id="32" w:name="X91b0839a1eb4c04ad7c61f3c8d5e2b08a69e2df"/>
    <w:p>
      <w:pPr>
        <w:pStyle w:val="Heading4"/>
      </w:pPr>
      <w:r>
        <w:t xml:space="preserve">Monte Carlo Analysis of Parameter Uncertainty</w:t>
      </w:r>
    </w:p>
    <w:p>
      <w:pPr>
        <w:pStyle w:val="FirstParagraph"/>
      </w:pPr>
      <w:r>
        <w:t xml:space="preserve">Because tissue transport parameters cannot be measured non-invasively in individual patients, we evaluated the prior probability of sanctuary existence using Monte Carlo sampling (</w:t>
      </w:r>
      <m:oMath>
        <m:r>
          <m:t>N</m:t>
        </m:r>
        <m:r>
          <m:rPr>
            <m:sty m:val="p"/>
          </m:rPr>
          <m:t>=</m:t>
        </m:r>
        <m:r>
          <m:t>10</m:t>
        </m:r>
        <m:r>
          <m:rPr>
            <m:sty m:val="p"/>
          </m:rPr>
          <m:t>,</m:t>
        </m:r>
        <m:r>
          <m:t>000</m:t>
        </m:r>
      </m:oMath>
      <w:r>
        <w:t xml:space="preserve"> </w:t>
      </w:r>
      <w:r>
        <w:t xml:space="preserve">draws, fixed pseudorandom seed = 2). Parameters were sampled from log-normal distributions centered at baseline values:</w:t>
      </w:r>
      <w:r>
        <w:t xml:space="preserve"> </w:t>
      </w:r>
      <m:oMath>
        <m:r>
          <m:t>D</m:t>
        </m:r>
      </m:oMath>
      <w:r>
        <w:t xml:space="preserve"> </w:t>
      </w:r>
      <w:r>
        <w:t xml:space="preserve">and</w:t>
      </w:r>
      <w:r>
        <w:t xml:space="preserve"> </w:t>
      </w:r>
      <m:oMath>
        <m:r>
          <m:t>k</m:t>
        </m:r>
      </m:oMath>
      <w:r>
        <w:t xml:space="preserve"> </w:t>
      </w:r>
      <w:r>
        <w:t xml:space="preserve">with 90% confidence spans spanning a 3-fold factor (</w:t>
      </w:r>
      <m:oMath>
        <m:r>
          <m:t>σ</m:t>
        </m:r>
        <m:r>
          <m:rPr>
            <m:sty m:val="p"/>
          </m:rPr>
          <m:t>=</m:t>
        </m:r>
        <m:r>
          <m:rPr>
            <m:sty m:val="p"/>
          </m:rPr>
          <m:t>ln</m:t>
        </m:r>
        <m:d>
          <m:dPr>
            <m:begChr m:val="("/>
            <m:endChr m:val=")"/>
            <m:sepChr m:val=""/>
            <m:grow/>
          </m:dPr>
          <m:e>
            <m:r>
              <m:t>3</m:t>
            </m:r>
          </m:e>
        </m:d>
        <m:r>
          <m:rPr>
            <m:sty m:val="p"/>
          </m:rPr>
          <m:t>/</m:t>
        </m:r>
        <m:r>
          <m:t>1.645</m:t>
        </m:r>
        <m:r>
          <m:rPr>
            <m:sty m:val="p"/>
          </m:rPr>
          <m:t>≈</m:t>
        </m:r>
        <m:r>
          <m:t>0.668</m:t>
        </m:r>
      </m:oMath>
      <w:r>
        <w:t xml:space="preserve">),</w:t>
      </w:r>
      <w:r>
        <w:t xml:space="preserve"> </w:t>
      </w:r>
      <m:oMath>
        <m:r>
          <m:t>θ</m:t>
        </m:r>
      </m:oMath>
      <w:r>
        <w:t xml:space="preserve"> </w:t>
      </w:r>
      <w:r>
        <w:t xml:space="preserve">log-normally distributed with a 2-fold factor (</w:t>
      </w:r>
      <m:oMath>
        <m:r>
          <m:t>σ</m:t>
        </m:r>
        <m:r>
          <m:rPr>
            <m:sty m:val="p"/>
          </m:rPr>
          <m:t>=</m:t>
        </m:r>
        <m:r>
          <m:rPr>
            <m:sty m:val="p"/>
          </m:rPr>
          <m:t>ln</m:t>
        </m:r>
        <m:d>
          <m:dPr>
            <m:begChr m:val="("/>
            <m:endChr m:val=")"/>
            <m:sepChr m:val=""/>
            <m:grow/>
          </m:dPr>
          <m:e>
            <m:r>
              <m:t>2</m:t>
            </m:r>
          </m:e>
        </m:d>
        <m:r>
          <m:rPr>
            <m:sty m:val="p"/>
          </m:rPr>
          <m:t>/</m:t>
        </m:r>
        <m:r>
          <m:t>1.645</m:t>
        </m:r>
        <m:r>
          <m:rPr>
            <m:sty m:val="p"/>
          </m:rPr>
          <m:t>≈</m:t>
        </m:r>
        <m:r>
          <m:t>0.421</m:t>
        </m:r>
      </m:oMath>
      <w:r>
        <w:t xml:space="preserve">), and oxygen limit</w:t>
      </w:r>
      <w:r>
        <w:t xml:space="preserve"> </w:t>
      </w:r>
      <m:oMath>
        <m:sSub>
          <m:e>
            <m:r>
              <m:t>r</m:t>
            </m:r>
          </m:e>
          <m:sub>
            <m:r>
              <m:rPr>
                <m:nor/>
                <m:sty m:val="p"/>
              </m:rPr>
              <m:t>ox</m:t>
            </m:r>
          </m:sub>
        </m:sSub>
      </m:oMath>
      <w:r>
        <w:t xml:space="preserve"> </w:t>
      </w:r>
      <w:r>
        <w:t xml:space="preserve">distributed uniformly between</w:t>
      </w:r>
      <w:r>
        <w:t xml:space="preserve"> </w:t>
      </w:r>
      <m:oMath>
        <m:r>
          <m:t>100</m:t>
        </m:r>
      </m:oMath>
      <w:r>
        <w:t xml:space="preserve"> </w:t>
      </w:r>
      <w:r>
        <w:t xml:space="preserve">and</w:t>
      </w:r>
      <w:r>
        <w:t xml:space="preserve"> </w:t>
      </w:r>
      <m:oMath>
        <m:r>
          <m:t>200</m:t>
        </m:r>
        <m:r>
          <m:t> </m:t>
        </m:r>
        <m:r>
          <m:t>μ</m:t>
        </m:r>
        <m:r>
          <m:rPr>
            <m:nor/>
            <m:sty m:val="p"/>
          </m:rPr>
          <m:t>m</m:t>
        </m:r>
      </m:oMath>
      <w:r>
        <w:t xml:space="preserve"> </w:t>
      </w:r>
      <w:r>
        <w:t xml:space="preserve">(Thomlinson &amp; Gray [4]; Worth et al. [14]).</w:t>
      </w:r>
    </w:p>
    <w:p>
      <w:pPr>
        <w:pStyle w:val="BodyText"/>
      </w:pPr>
      <w:r>
        <w:t xml:space="preserve">Under this prior distribution, an outward perivascular sanctuary shell existed in</w:t>
      </w:r>
      <w:r>
        <w:t xml:space="preserve"> </w:t>
      </w:r>
      <w:r>
        <w:rPr>
          <w:b/>
          <w:bCs/>
        </w:rPr>
        <w:t xml:space="preserve">46.1% of draws</w:t>
      </w:r>
      <w:r>
        <w:t xml:space="preserve"> </w:t>
      </w:r>
      <w:r>
        <w:t xml:space="preserve">(and in</w:t>
      </w:r>
      <w:r>
        <w:t xml:space="preserve"> </w:t>
      </w:r>
      <w:r>
        <w:rPr>
          <w:b/>
          <w:bCs/>
        </w:rPr>
        <w:t xml:space="preserve">62.8% of draws</w:t>
      </w:r>
      <w:r>
        <w:t xml:space="preserve"> </w:t>
      </w:r>
      <w:r>
        <w:t xml:space="preserve">if</w:t>
      </w:r>
      <w:r>
        <w:t xml:space="preserve"> </w:t>
      </w:r>
      <m:oMath>
        <m:sSub>
          <m:e>
            <m:r>
              <m:t>r</m:t>
            </m:r>
          </m:e>
          <m:sub>
            <m:r>
              <m:rPr>
                <m:nor/>
                <m:sty m:val="p"/>
              </m:rPr>
              <m:t>ox</m:t>
            </m:r>
          </m:sub>
        </m:sSub>
      </m:oMath>
      <w:r>
        <w:t xml:space="preserve"> </w:t>
      </w:r>
      <w:r>
        <w:t xml:space="preserve">was held fixed at</w:t>
      </w:r>
      <w:r>
        <w:t xml:space="preserve"> </w:t>
      </w:r>
      <m:oMath>
        <m:r>
          <m:t>200</m:t>
        </m:r>
        <m:r>
          <m:t> </m:t>
        </m:r>
        <m:r>
          <m:t>μ</m:t>
        </m:r>
        <m:r>
          <m:rPr>
            <m:nor/>
            <m:sty m:val="p"/>
          </m:rPr>
          <m:t>m</m:t>
        </m:r>
      </m:oMath>
      <w:r>
        <w:t xml:space="preserve">). This confirms that sanctuary existence is a plausible but parameter-sensitive physical state, rather than an inevitable biological certainty.</w:t>
      </w:r>
    </w:p>
    <w:p>
      <w:r>
        <w:pict>
          <v:rect style="width:0;height:1.5pt" o:hralign="center" o:hrstd="t" o:hr="t"/>
        </w:pict>
      </w:r>
    </w:p>
    <w:bookmarkEnd w:id="32"/>
    <w:bookmarkEnd w:id="33"/>
    <w:bookmarkEnd w:id="34"/>
    <w:bookmarkStart w:id="43" w:name="Xcea0d77608f34f02d8c6ac88b5f42600f427e7a"/>
    <w:p>
      <w:pPr>
        <w:pStyle w:val="Heading2"/>
      </w:pPr>
      <w:r>
        <w:t xml:space="preserve">3. Evolutionary Dynamics &amp; The Regrowth Lead-Time Identity</w:t>
      </w:r>
    </w:p>
    <w:bookmarkStart w:id="35" w:name="X5c12400c06cdcac188466d5054ff920decf4e0a"/>
    <w:p>
      <w:pPr>
        <w:pStyle w:val="Heading3"/>
      </w:pPr>
      <w:r>
        <w:t xml:space="preserve">3.1 Subclonal Replicator Dynamics within the Sanctuary Niche</w:t>
      </w:r>
    </w:p>
    <w:p>
      <w:pPr>
        <w:pStyle w:val="FirstParagraph"/>
      </w:pPr>
      <w:r>
        <w:t xml:space="preserve">Within the perivascular sanctuary shell, sub-inhibitory drug exposure allows sensitive proliferating cells (</w:t>
      </w:r>
      <m:oMath>
        <m:r>
          <m:t>S</m:t>
        </m:r>
      </m:oMath>
      <w:r>
        <w:t xml:space="preserve">) and drug-tolerant persister cells (</w:t>
      </w:r>
      <m:oMath>
        <m:r>
          <m:t>P</m:t>
        </m:r>
      </m:oMath>
      <w:r>
        <w:t xml:space="preserve">) to interact. We formalized this interaction using a standard symmetric</w:t>
      </w:r>
      <w:r>
        <w:t xml:space="preserve"> </w:t>
      </w:r>
      <m:oMath>
        <m:r>
          <m:t>2</m:t>
        </m:r>
        <m:r>
          <m:rPr>
            <m:sty m:val="p"/>
          </m:rPr>
          <m:t>×</m:t>
        </m:r>
        <m:r>
          <m:t>2</m:t>
        </m:r>
      </m:oMath>
      <w:r>
        <w:t xml:space="preserve"> </w:t>
      </w:r>
      <w:r>
        <w:t xml:space="preserve">matrix game governed by the continuous replicator equation:</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oMath>
      </m:oMathPara>
    </w:p>
    <w:p>
      <w:pPr>
        <w:pStyle w:val="FirstParagraph"/>
      </w:pPr>
      <w:r>
        <w:t xml:space="preserve">where</w:t>
      </w:r>
      <w:r>
        <w:t xml:space="preserve"> </w:t>
      </w:r>
      <m:oMath>
        <m:r>
          <m:t>x</m:t>
        </m:r>
      </m:oMath>
      <w:r>
        <w:t xml:space="preserve"> </w:t>
      </w:r>
      <w:r>
        <w:t xml:space="preserve">represents the fraction of sensitive cells. To illustrate subclonal coexistence, we adopted payoff parameters formalizing a classic Hawk–Dove / Snowdrift game structure:</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rPr>
                        <m:sty m:val="p"/>
                      </m:rPr>
                      <m:t>+</m:t>
                    </m:r>
                    <m:r>
                      <m:t>2.866</m:t>
                    </m:r>
                  </m:e>
                </m:mr>
                <m:mr>
                  <m:e>
                    <m:r>
                      <m:rPr>
                        <m:sty m:val="p"/>
                      </m:rPr>
                      <m:t>+</m:t>
                    </m:r>
                    <m:r>
                      <m:t>2.188</m:t>
                    </m:r>
                  </m:e>
                  <m:e>
                    <m:r>
                      <m:rPr>
                        <m:sty m:val="p"/>
                      </m:rPr>
                      <m:t>−</m:t>
                    </m:r>
                    <m:r>
                      <m:t>1.772</m:t>
                    </m:r>
                  </m:e>
                </m:mr>
              </m:m>
            </m:e>
          </m:d>
        </m:oMath>
      </m:oMathPara>
    </w:p>
    <w:p>
      <w:pPr>
        <w:pStyle w:val="FirstParagraph"/>
      </w:pPr>
      <w:r>
        <w:t xml:space="preserve">This structure yields an internal Nash equilibrium:</w:t>
      </w:r>
    </w:p>
    <w:p>
      <w:pPr>
        <w:pStyle w:val="BodyText"/>
      </w:pPr>
      <m:oMathPara>
        <m:oMathParaPr>
          <m:jc m:val="center"/>
        </m:oMathParaPr>
        <m:oMath>
          <m:sSup>
            <m:e>
              <m:r>
                <m:t>x</m:t>
              </m:r>
            </m:e>
            <m:sup>
              <m:r>
                <m:rPr>
                  <m:sty m:val="p"/>
                </m:rPr>
                <m:t>*</m:t>
              </m:r>
            </m:sup>
          </m:sSup>
          <m:r>
            <m:rPr>
              <m:sty m:val="p"/>
            </m:rPr>
            <m:t>=</m:t>
          </m:r>
          <m:f>
            <m:fPr>
              <m:type m:val="bar"/>
            </m:fPr>
            <m:num>
              <m:sSub>
                <m:e>
                  <m:r>
                    <m:t>a</m:t>
                  </m:r>
                </m:e>
                <m:sub>
                  <m:r>
                    <m:t>22</m:t>
                  </m:r>
                </m:sub>
              </m:sSub>
              <m:r>
                <m:rPr>
                  <m:sty m:val="p"/>
                </m:rPr>
                <m:t>−</m:t>
              </m:r>
              <m:sSub>
                <m:e>
                  <m:r>
                    <m:t>a</m:t>
                  </m:r>
                </m:e>
                <m:sub>
                  <m:r>
                    <m:t>12</m:t>
                  </m:r>
                </m:sub>
              </m:sSub>
            </m:num>
            <m:den>
              <m:d>
                <m:dPr>
                  <m:begChr m:val="("/>
                  <m:endChr m:val=")"/>
                  <m:sepChr m:val=""/>
                  <m:grow/>
                </m:dPr>
                <m:e>
                  <m:sSub>
                    <m:e>
                      <m:r>
                        <m:t>a</m:t>
                      </m:r>
                    </m:e>
                    <m:sub>
                      <m:r>
                        <m:t>11</m:t>
                      </m:r>
                    </m:sub>
                  </m:sSub>
                  <m:r>
                    <m:rPr>
                      <m:sty m:val="p"/>
                    </m:rPr>
                    <m:t>−</m:t>
                  </m:r>
                  <m:sSub>
                    <m:e>
                      <m:r>
                        <m:t>a</m:t>
                      </m:r>
                    </m:e>
                    <m:sub>
                      <m:r>
                        <m:t>21</m:t>
                      </m:r>
                    </m:sub>
                  </m:sSub>
                </m:e>
              </m:d>
              <m:r>
                <m:rPr>
                  <m:sty m:val="p"/>
                </m:rPr>
                <m:t>+</m:t>
              </m:r>
              <m:d>
                <m:dPr>
                  <m:begChr m:val="("/>
                  <m:endChr m:val=")"/>
                  <m:sepChr m:val=""/>
                  <m:grow/>
                </m:dPr>
                <m:e>
                  <m:sSub>
                    <m:e>
                      <m:r>
                        <m:t>a</m:t>
                      </m:r>
                    </m:e>
                    <m:sub>
                      <m:r>
                        <m:t>22</m:t>
                      </m:r>
                    </m:sub>
                  </m:sSub>
                  <m:r>
                    <m:rPr>
                      <m:sty m:val="p"/>
                    </m:rPr>
                    <m:t>−</m:t>
                  </m:r>
                  <m:sSub>
                    <m:e>
                      <m:r>
                        <m:t>a</m:t>
                      </m:r>
                    </m:e>
                    <m:sub>
                      <m:r>
                        <m:t>12</m:t>
                      </m:r>
                    </m:sub>
                  </m:sSub>
                </m:e>
              </m:d>
            </m:den>
          </m:f>
          <m:r>
            <m:rPr>
              <m:sty m:val="p"/>
            </m:rPr>
            <m:t>=</m:t>
          </m:r>
          <m:f>
            <m:fPr>
              <m:type m:val="bar"/>
            </m:fPr>
            <m:num>
              <m:r>
                <m:rPr>
                  <m:sty m:val="p"/>
                </m:rPr>
                <m:t>−</m:t>
              </m:r>
              <m:r>
                <m:t>1.772</m:t>
              </m:r>
              <m:r>
                <m:rPr>
                  <m:sty m:val="p"/>
                </m:rPr>
                <m:t>−</m:t>
              </m:r>
              <m:r>
                <m:t>2.866</m:t>
              </m:r>
            </m:num>
            <m:den>
              <m:d>
                <m:dPr>
                  <m:begChr m:val="("/>
                  <m:endChr m:val=")"/>
                  <m:sepChr m:val=""/>
                  <m:grow/>
                </m:dPr>
                <m:e>
                  <m:r>
                    <m:rPr>
                      <m:sty m:val="p"/>
                    </m:rPr>
                    <m:t>−</m:t>
                  </m:r>
                  <m:r>
                    <m:t>0.736</m:t>
                  </m:r>
                  <m:r>
                    <m:rPr>
                      <m:sty m:val="p"/>
                    </m:rPr>
                    <m:t>−</m:t>
                  </m:r>
                  <m:r>
                    <m:t>2.188</m:t>
                  </m:r>
                </m:e>
              </m:d>
              <m:r>
                <m:rPr>
                  <m:sty m:val="p"/>
                </m:rPr>
                <m:t>+</m:t>
              </m:r>
              <m:d>
                <m:dPr>
                  <m:begChr m:val="("/>
                  <m:endChr m:val=")"/>
                  <m:sepChr m:val=""/>
                  <m:grow/>
                </m:dPr>
                <m:e>
                  <m:r>
                    <m:rPr>
                      <m:sty m:val="p"/>
                    </m:rPr>
                    <m:t>−</m:t>
                  </m:r>
                  <m:r>
                    <m:t>1.772</m:t>
                  </m:r>
                  <m:r>
                    <m:rPr>
                      <m:sty m:val="p"/>
                    </m:rPr>
                    <m:t>−</m:t>
                  </m:r>
                  <m:r>
                    <m:t>2.866</m:t>
                  </m:r>
                </m:e>
              </m:d>
            </m:den>
          </m:f>
          <m:r>
            <m:rPr>
              <m:sty m:val="p"/>
            </m:rPr>
            <m:t>=</m:t>
          </m:r>
          <m:r>
            <m:t>0.6133</m:t>
          </m:r>
        </m:oMath>
      </m:oMathPara>
    </w:p>
    <w:p>
      <w:pPr>
        <w:pStyle w:val="FirstParagraph"/>
      </w:pPr>
      <w:r>
        <w:t xml:space="preserve">The Jacobian eigenvalue at</w:t>
      </w:r>
      <w:r>
        <w:t xml:space="preserve"> </w:t>
      </w:r>
      <m:oMath>
        <m:sSup>
          <m:e>
            <m:r>
              <m:t>x</m:t>
            </m:r>
          </m:e>
          <m:sup>
            <m:r>
              <m:rPr>
                <m:sty m:val="p"/>
              </m:rPr>
              <m:t>*</m:t>
            </m:r>
          </m:sup>
        </m:sSup>
      </m:oMath>
      <w:r>
        <w:t xml:space="preserve"> </w:t>
      </w:r>
      <w:r>
        <w:t xml:space="preserve">is</w:t>
      </w:r>
      <w:r>
        <w:t xml:space="preserve"> </w:t>
      </w:r>
      <m:oMath>
        <m:sSub>
          <m:e>
            <m:r>
              <m:t>λ</m:t>
            </m:r>
          </m:e>
          <m:sub>
            <m:r>
              <m:rPr>
                <m:nor/>
                <m:sty m:val="p"/>
              </m:rPr>
              <m:t>eig</m:t>
            </m:r>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rPr>
            <m:sty m:val="p"/>
          </m:rPr>
          <m:t>−</m:t>
        </m:r>
        <m:r>
          <m:t>1.793</m:t>
        </m:r>
        <m:r>
          <m:rPr>
            <m:sty m:val="p"/>
          </m:rPr>
          <m:t>&lt;</m:t>
        </m:r>
        <m:r>
          <m:t>0</m:t>
        </m:r>
      </m:oMath>
      <w:r>
        <w:t xml:space="preserve">, confirming that</w:t>
      </w:r>
      <w:r>
        <w:t xml:space="preserve"> </w:t>
      </w:r>
      <m:oMath>
        <m:sSup>
          <m:e>
            <m:r>
              <m:t>x</m:t>
            </m:r>
          </m:e>
          <m:sup>
            <m:r>
              <m:rPr>
                <m:sty m:val="p"/>
              </m:rPr>
              <m:t>*</m:t>
            </m:r>
          </m:sup>
        </m:sSup>
        <m:r>
          <m:rPr>
            <m:sty m:val="p"/>
          </m:rPr>
          <m:t>=</m:t>
        </m:r>
        <m:r>
          <m:t>0.6133</m:t>
        </m:r>
      </m:oMath>
      <w:r>
        <w:t xml:space="preserve"> </w:t>
      </w:r>
      <w:r>
        <w:t xml:space="preserve">is an asymptotically stable Lyapunov attractor. While in vitro matrix game formulations have been demonstrated in targeted therapy for NSCLC cell lines (Kaznatcheev et al.,</w:t>
      </w:r>
      <w:r>
        <w:t xml:space="preserve"> </w:t>
      </w:r>
      <w:r>
        <w:rPr>
          <w:i/>
          <w:iCs/>
        </w:rPr>
        <w:t xml:space="preserve">Cancer Res</w:t>
      </w:r>
      <w:r>
        <w:t xml:space="preserve"> </w:t>
      </w:r>
      <w:r>
        <w:t xml:space="preserve">2019 [11]), we explicitly emphasize that these payoff values represent uncalibrated theoretical parameters chosen to demonstrate coexistence, rather than empirically measured quantities.</w:t>
      </w:r>
    </w:p>
    <w:p>
      <w:r>
        <w:pict>
          <v:rect style="width:0;height:1.5pt" o:hralign="center" o:hrstd="t" o:hr="t"/>
        </w:pict>
      </w:r>
    </w:p>
    <w:bookmarkEnd w:id="35"/>
    <w:bookmarkStart w:id="42" w:name="X488d3e74259c2febd71b13f02e94b13da7d2a37"/>
    <w:p>
      <w:pPr>
        <w:pStyle w:val="Heading3"/>
      </w:pPr>
      <w:r>
        <w:t xml:space="preserve">3.2 Post-Cessation Clonal Regrowth &amp; The Analytical Lead-Time Identity</w:t>
      </w:r>
    </w:p>
    <w:p>
      <w:pPr>
        <w:pStyle w:val="FirstParagraph"/>
      </w:pPr>
      <w:r>
        <w:t xml:space="preserve">Following adjuvant therapy cessation at month 36, drug clears rapidly from the sanctuary niche. Residual tumor burden expands from an initial microscopic inoculum</w:t>
      </w:r>
      <w:r>
        <w:t xml:space="preserve"> </w:t>
      </w:r>
      <m:oMath>
        <m:sSub>
          <m:e>
            <m:r>
              <m:t>N</m:t>
            </m:r>
          </m:e>
          <m:sub>
            <m:r>
              <m:t>0</m:t>
            </m:r>
          </m:sub>
        </m:sSub>
      </m:oMath>
      <w:r>
        <w:t xml:space="preserve"> </w:t>
      </w:r>
      <w:r>
        <w:t xml:space="preserve">with sensitive fraction</w:t>
      </w:r>
      <w:r>
        <w:t xml:space="preserve"> </w:t>
      </w:r>
      <m:oMath>
        <m:sSup>
          <m:e>
            <m:r>
              <m:t>x</m:t>
            </m:r>
          </m:e>
          <m:sup>
            <m:r>
              <m:rPr>
                <m:sty m:val="p"/>
              </m:rPr>
              <m:t>*</m:t>
            </m:r>
          </m:sup>
        </m:sSup>
        <m:r>
          <m:rPr>
            <m:sty m:val="p"/>
          </m:rPr>
          <m:t>=</m:t>
        </m:r>
        <m:r>
          <m:t>0.6133</m:t>
        </m:r>
      </m:oMath>
      <w:r>
        <w:t xml:space="preserve">:</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r>
                <m:rPr>
                  <m:sty m:val="p"/>
                </m:rPr>
                <m:t>⋅</m:t>
              </m:r>
              <m:sSup>
                <m:e>
                  <m:r>
                    <m:t>2</m:t>
                  </m:r>
                </m:e>
                <m:sup>
                  <m:r>
                    <m:t>t</m:t>
                  </m:r>
                  <m:r>
                    <m:rPr>
                      <m:sty m:val="p"/>
                    </m:rPr>
                    <m:t>/</m:t>
                  </m:r>
                  <m:sSub>
                    <m:e>
                      <m:r>
                        <m:t>T</m:t>
                      </m:r>
                    </m:e>
                    <m:sub>
                      <m:r>
                        <m:t>s</m:t>
                      </m:r>
                    </m:sub>
                  </m:sSub>
                </m:sup>
              </m:sSup>
              <m:r>
                <m:rPr>
                  <m:sty m:val="p"/>
                </m:rPr>
                <m:t>+</m:t>
              </m:r>
              <m:d>
                <m:dPr>
                  <m:begChr m:val="("/>
                  <m:endChr m:val=")"/>
                  <m:sepChr m:val=""/>
                  <m:grow/>
                </m:dPr>
                <m:e>
                  <m:r>
                    <m:t>1</m:t>
                  </m:r>
                  <m:r>
                    <m:rPr>
                      <m:sty m:val="p"/>
                    </m:rPr>
                    <m:t>−</m:t>
                  </m:r>
                  <m:sSup>
                    <m:e>
                      <m:r>
                        <m:t>x</m:t>
                      </m:r>
                    </m:e>
                    <m:sup>
                      <m:r>
                        <m:rPr>
                          <m:sty m:val="p"/>
                        </m:rPr>
                        <m:t>*</m:t>
                      </m:r>
                    </m:sup>
                  </m:sSup>
                </m:e>
              </m:d>
              <m:r>
                <m:rPr>
                  <m:sty m:val="p"/>
                </m:rPr>
                <m:t>⋅</m:t>
              </m:r>
              <m:sSup>
                <m:e>
                  <m:r>
                    <m:t>2</m:t>
                  </m:r>
                </m:e>
                <m:sup>
                  <m:r>
                    <m:t>t</m:t>
                  </m:r>
                  <m:r>
                    <m:rPr>
                      <m:sty m:val="p"/>
                    </m:rPr>
                    <m:t>/</m:t>
                  </m:r>
                  <m:sSub>
                    <m:e>
                      <m:r>
                        <m:t>T</m:t>
                      </m:r>
                    </m:e>
                    <m:sub>
                      <m:r>
                        <m:t>p</m:t>
                      </m:r>
                    </m:sub>
                  </m:sSub>
                </m:sup>
              </m:sSup>
            </m:e>
          </m:d>
        </m:oMath>
      </m:oMathPara>
    </w:p>
    <w:p>
      <w:pPr>
        <w:pStyle w:val="FirstParagraph"/>
      </w:pPr>
      <w:r>
        <w:t xml:space="preserve">where</w:t>
      </w:r>
      <w:r>
        <w:t xml:space="preserve"> </w:t>
      </w:r>
      <m:oMath>
        <m:sSub>
          <m:e>
            <m:r>
              <m:t>T</m:t>
            </m:r>
          </m:e>
          <m:sub>
            <m:r>
              <m:t>s</m:t>
            </m:r>
          </m:sub>
        </m:sSub>
        <m:r>
          <m:rPr>
            <m:sty m:val="p"/>
          </m:rPr>
          <m:t>=</m:t>
        </m:r>
        <m:r>
          <m:t>25.0</m:t>
        </m:r>
        <m:r>
          <m:t> </m:t>
        </m:r>
        <m:r>
          <m:rPr>
            <m:nor/>
            <m:sty m:val="p"/>
          </m:rPr>
          <m:t>days</m:t>
        </m:r>
      </m:oMath>
      <w:r>
        <w:t xml:space="preserve"> </w:t>
      </w:r>
      <w:r>
        <w:t xml:space="preserve">is the doubling time of proliferating sensitive cells and</w:t>
      </w:r>
      <w:r>
        <w:t xml:space="preserve"> </w:t>
      </w:r>
      <m:oMath>
        <m:sSub>
          <m:e>
            <m:r>
              <m:t>T</m:t>
            </m:r>
          </m:e>
          <m:sub>
            <m:r>
              <m:t>p</m:t>
            </m:r>
          </m:sub>
        </m:sSub>
        <m:r>
          <m:rPr>
            <m:sty m:val="p"/>
          </m:rPr>
          <m:t>=</m:t>
        </m:r>
        <m:r>
          <m:t>120.0</m:t>
        </m:r>
        <m:r>
          <m:t> </m:t>
        </m:r>
        <m:r>
          <m:rPr>
            <m:nor/>
            <m:sty m:val="p"/>
          </m:rPr>
          <m:t>days</m:t>
        </m:r>
      </m:oMath>
      <w:r>
        <w:t xml:space="preserve"> </w:t>
      </w:r>
      <w:r>
        <w:t xml:space="preserve">is the doubling time of persister cells.</w:t>
      </w:r>
    </w:p>
    <w:p>
      <w:pPr>
        <w:pStyle w:val="SourceCode"/>
      </w:pPr>
      <w:r>
        <w:rPr>
          <w:rStyle w:val="VerbatimChar"/>
        </w:rPr>
        <w:t xml:space="preserve">(Figure 2)</w:t>
      </w:r>
    </w:p>
    <w:p>
      <w:pPr>
        <w:pStyle w:val="FirstParagraph"/>
      </w:pPr>
      <w:r>
        <w:drawing>
          <wp:inline>
            <wp:extent cx="5334000" cy="1689099"/>
            <wp:effectExtent b="0" l="0" r="0" t="0"/>
            <wp:docPr descr="Figure 2: Evolutionary Replicator Dynamics &amp; Post-Cessation Regrowth Identity" title="" id="37" name="Picture"/>
            <a:graphic>
              <a:graphicData uri="http://schemas.openxmlformats.org/drawingml/2006/picture">
                <pic:pic>
                  <pic:nvPicPr>
                    <pic:cNvPr descr="Figure2_regrowth_identity.png" id="38" name="Picture"/>
                    <pic:cNvPicPr>
                      <a:picLocks noChangeArrowheads="1" noChangeAspect="1"/>
                    </pic:cNvPicPr>
                  </pic:nvPicPr>
                  <pic:blipFill>
                    <a:blip r:embed="rId36"/>
                    <a:stretch>
                      <a:fillRect/>
                    </a:stretch>
                  </pic:blipFill>
                  <pic:spPr bwMode="auto">
                    <a:xfrm>
                      <a:off x="0" y="0"/>
                      <a:ext cx="5334000" cy="1689099"/>
                    </a:xfrm>
                    <a:prstGeom prst="rect">
                      <a:avLst/>
                    </a:prstGeom>
                    <a:noFill/>
                    <a:ln w="9525">
                      <a:noFill/>
                      <a:headEnd/>
                      <a:tailEnd/>
                    </a:ln>
                  </pic:spPr>
                </pic:pic>
              </a:graphicData>
            </a:graphic>
          </wp:inline>
        </w:drawing>
      </w:r>
      <w:r>
        <w:t xml:space="preserve"> </w:t>
      </w:r>
      <w:r>
        <w:rPr>
          <w:i/>
          <w:iCs/>
        </w:rPr>
        <w:t xml:space="preserve">Figure 2. Clonal Regrowth Dynamics &amp; The Analytical Lead-Time Identity. (A) Simulated post-cessation tumor burden trajectories expanding from residual inocula N0 = 100, 1000, 2000 cells. Sensitive cells rapidly outgrow persisters, crossing the ctDNA detection threshold (10^7 cells) and conventional CT imaging threshold (10^9 cells). (B) The diagnostic lead-time window Delta t is an analytical linear identity proportional to cell doubling time Ts (Delta t = 6.6439</w:t>
      </w:r>
      <w:r>
        <w:rPr>
          <w:i/>
          <w:iCs/>
        </w:rPr>
        <w:t xml:space="preserve"> </w:t>
      </w:r>
      <w:r>
        <w:t xml:space="preserve"> </w:t>
      </w:r>
      <w:r>
        <w:t xml:space="preserve">Ts), proving that lead time is invariant to initial sanctuary burden N0.*</w:t>
      </w:r>
    </w:p>
    <w:bookmarkStart w:id="39" w:name="Xc34b099eea29bd500f3794f4b7b4e9d36faed3e"/>
    <w:p>
      <w:pPr>
        <w:pStyle w:val="Heading4"/>
      </w:pPr>
      <w:r>
        <w:t xml:space="preserve">Derivation of the Analytical Lead-Time Identity</w:t>
      </w:r>
    </w:p>
    <w:p>
      <w:pPr>
        <w:pStyle w:val="FirstParagraph"/>
      </w:pPr>
      <w:r>
        <w:t xml:space="preserve">Because sensitive cells divide much faster than persisters (</w:t>
      </w:r>
      <m:oMath>
        <m:sSub>
          <m:e>
            <m:r>
              <m:t>T</m:t>
            </m:r>
          </m:e>
          <m:sub>
            <m:r>
              <m:t>s</m:t>
            </m:r>
          </m:sub>
        </m:sSub>
        <m:r>
          <m:rPr>
            <m:sty m:val="p"/>
          </m:rPr>
          <m:t>≪</m:t>
        </m:r>
        <m:sSub>
          <m:e>
            <m:r>
              <m:t>T</m:t>
            </m:r>
          </m:e>
          <m:sub>
            <m:r>
              <m:t>p</m:t>
            </m:r>
          </m:sub>
        </m:sSub>
      </m:oMath>
      <w:r>
        <w:t xml:space="preserve">), sensitive cells rapidly constitute</w:t>
      </w:r>
      <w:r>
        <w:t xml:space="preserve"> </w:t>
      </w:r>
      <m:oMath>
        <m:r>
          <m:rPr>
            <m:sty m:val="p"/>
          </m:rPr>
          <m:t>&gt;</m:t>
        </m:r>
        <m:r>
          <m:t>99.9</m:t>
        </m:r>
        <m:r>
          <m:rPr>
            <m:sty m:val="p"/>
          </m:rPr>
          <m:t>%</m:t>
        </m:r>
      </m:oMath>
      <w:r>
        <w:t xml:space="preserve"> </w:t>
      </w:r>
      <w:r>
        <w:t xml:space="preserve">of the expanding clone before the burden reaches the molecular residual disease (ctDNA) detection limit (</w:t>
      </w:r>
      <m:oMath>
        <m:sSub>
          <m:e>
            <m:r>
              <m:t>N</m:t>
            </m:r>
          </m:e>
          <m:sub>
            <m:r>
              <m:rPr>
                <m:nor/>
                <m:sty m:val="p"/>
              </m:rPr>
              <m:t>MRD</m:t>
            </m:r>
          </m:sub>
        </m:sSub>
        <m:r>
          <m:rPr>
            <m:sty m:val="p"/>
          </m:rPr>
          <m:t>≈</m:t>
        </m:r>
        <m:sSup>
          <m:e>
            <m:r>
              <m:t>10</m:t>
            </m:r>
          </m:e>
          <m:sup>
            <m:r>
              <m:t>7</m:t>
            </m:r>
          </m:sup>
        </m:sSup>
        <m:r>
          <m:t> </m:t>
        </m:r>
        <m:r>
          <m:rPr>
            <m:nor/>
            <m:sty m:val="p"/>
          </m:rPr>
          <m:t>cells</m:t>
        </m:r>
      </m:oMath>
      <w:r>
        <w:t xml:space="preserve">, corresponding to</w:t>
      </w:r>
      <w:r>
        <w:t xml:space="preserve"> </w:t>
      </w:r>
      <m:oMath>
        <m:r>
          <m:rPr>
            <m:sty m:val="p"/>
          </m:rPr>
          <m:t>∼</m:t>
        </m:r>
        <m:r>
          <m:t>0.01</m:t>
        </m:r>
        <m:r>
          <m:rPr>
            <m:nor/>
            <m:sty m:val="p"/>
          </m:rPr>
          <m:t>–</m:t>
        </m:r>
        <m:r>
          <m:t>0.1</m:t>
        </m:r>
        <m:r>
          <m:rPr>
            <m:sty m:val="p"/>
          </m:rPr>
          <m:t>%</m:t>
        </m:r>
      </m:oMath>
      <w:r>
        <w:t xml:space="preserve"> </w:t>
      </w:r>
      <w:r>
        <w:t xml:space="preserve">variant allele frequency).</w:t>
      </w:r>
    </w:p>
    <w:p>
      <w:pPr>
        <w:pStyle w:val="BodyText"/>
      </w:pPr>
      <w:r>
        <w:t xml:space="preserve">Between molecular detection (</w:t>
      </w:r>
      <m:oMath>
        <m:sSub>
          <m:e>
            <m:r>
              <m:t>N</m:t>
            </m:r>
          </m:e>
          <m:sub>
            <m:r>
              <m:rPr>
                <m:nor/>
                <m:sty m:val="p"/>
              </m:rPr>
              <m:t>MRD</m:t>
            </m:r>
          </m:sub>
        </m:sSub>
        <m:r>
          <m:rPr>
            <m:sty m:val="p"/>
          </m:rPr>
          <m:t>=</m:t>
        </m:r>
        <m:sSup>
          <m:e>
            <m:r>
              <m:t>10</m:t>
            </m:r>
          </m:e>
          <m:sup>
            <m:r>
              <m:t>7</m:t>
            </m:r>
          </m:sup>
        </m:sSup>
      </m:oMath>
      <w:r>
        <w:t xml:space="preserve">) and macroscopic radiographic detection by computed tomography (</w:t>
      </w:r>
      <m:oMath>
        <m:sSub>
          <m:e>
            <m:r>
              <m:t>N</m:t>
            </m:r>
          </m:e>
          <m:sub>
            <m:r>
              <m:rPr>
                <m:nor/>
                <m:sty m:val="p"/>
              </m:rPr>
              <m:t>CT</m:t>
            </m:r>
          </m:sub>
        </m:sSub>
        <m:r>
          <m:rPr>
            <m:sty m:val="p"/>
          </m:rPr>
          <m:t>≈</m:t>
        </m:r>
        <m:sSup>
          <m:e>
            <m:r>
              <m:t>10</m:t>
            </m:r>
          </m:e>
          <m:sup>
            <m:r>
              <m:t>9</m:t>
            </m:r>
          </m:sup>
        </m:sSup>
        <m:r>
          <m:t> </m:t>
        </m:r>
        <m:r>
          <m:rPr>
            <m:nor/>
            <m:sty m:val="p"/>
          </m:rPr>
          <m:t>cells</m:t>
        </m:r>
      </m:oMath>
      <w:r>
        <w:t xml:space="preserve">, corresponding to a</w:t>
      </w:r>
      <w:r>
        <w:t xml:space="preserve"> </w:t>
      </w:r>
      <m:oMath>
        <m:r>
          <m:rPr>
            <m:sty m:val="p"/>
          </m:rPr>
          <m:t>∼</m:t>
        </m:r>
        <m:r>
          <m:t>1</m:t>
        </m:r>
        <m:r>
          <m:t> </m:t>
        </m:r>
        <m:sSup>
          <m:e>
            <m:r>
              <m:rPr>
                <m:nor/>
                <m:sty m:val="p"/>
              </m:rPr>
              <m:t>cm</m:t>
            </m:r>
          </m:e>
          <m:sup>
            <m:r>
              <m:t>3</m:t>
            </m:r>
          </m:sup>
        </m:sSup>
      </m:oMath>
      <w:r>
        <w:t xml:space="preserve"> </w:t>
      </w:r>
      <w:r>
        <w:t xml:space="preserve">spherical lesion), the tumor must undergo a 100-fold expansion:</w:t>
      </w:r>
    </w:p>
    <w:p>
      <w:pPr>
        <w:pStyle w:val="BodyText"/>
      </w:pPr>
      <m:oMathPara>
        <m:oMathParaPr>
          <m:jc m:val="center"/>
        </m:oMathParaPr>
        <m:oMath>
          <m:f>
            <m:fPr>
              <m:type m:val="bar"/>
            </m:fPr>
            <m:num>
              <m:sSub>
                <m:e>
                  <m:r>
                    <m:t>N</m:t>
                  </m:r>
                </m:e>
                <m:sub>
                  <m:r>
                    <m:rPr>
                      <m:nor/>
                      <m:sty m:val="p"/>
                    </m:rPr>
                    <m:t>CT</m:t>
                  </m:r>
                </m:sub>
              </m:sSub>
            </m:num>
            <m:den>
              <m:sSub>
                <m:e>
                  <m:r>
                    <m:t>N</m:t>
                  </m:r>
                </m:e>
                <m:sub>
                  <m:r>
                    <m:rPr>
                      <m:nor/>
                      <m:sty m:val="p"/>
                    </m:rPr>
                    <m:t>MRD</m:t>
                  </m:r>
                </m:sub>
              </m:sSub>
            </m:den>
          </m:f>
          <m:r>
            <m:rPr>
              <m:sty m:val="p"/>
            </m:rPr>
            <m:t>=</m:t>
          </m:r>
          <m:f>
            <m:fPr>
              <m:type m:val="bar"/>
            </m:fPr>
            <m:num>
              <m:sSup>
                <m:e>
                  <m:r>
                    <m:t>10</m:t>
                  </m:r>
                </m:e>
                <m:sup>
                  <m:r>
                    <m:t>9</m:t>
                  </m:r>
                </m:sup>
              </m:sSup>
            </m:num>
            <m:den>
              <m:sSup>
                <m:e>
                  <m:r>
                    <m:t>10</m:t>
                  </m:r>
                </m:e>
                <m:sup>
                  <m:r>
                    <m:t>7</m:t>
                  </m:r>
                </m:sup>
              </m:sSup>
            </m:den>
          </m:f>
          <m:r>
            <m:rPr>
              <m:sty m:val="p"/>
            </m:rPr>
            <m:t>=</m:t>
          </m:r>
          <m:r>
            <m:t>100</m:t>
          </m:r>
        </m:oMath>
      </m:oMathPara>
    </w:p>
    <w:p>
      <w:pPr>
        <w:pStyle w:val="FirstParagraph"/>
      </w:pPr>
      <w:r>
        <w:t xml:space="preserve">The number of population doublings required is strictly:</w:t>
      </w:r>
    </w:p>
    <w:p>
      <w:pPr>
        <w:pStyle w:val="BodyText"/>
      </w:pPr>
      <m:oMathPara>
        <m:oMathParaPr>
          <m:jc m:val="center"/>
        </m:oMathParaPr>
        <m:oMath>
          <m:sSub>
            <m:e>
              <m:r>
                <m:rPr>
                  <m:sty m:val="p"/>
                </m:rPr>
                <m:t>log</m:t>
              </m:r>
            </m:e>
            <m:sub>
              <m:r>
                <m:t>2</m:t>
              </m:r>
            </m:sub>
          </m:sSub>
          <m:d>
            <m:dPr>
              <m:begChr m:val="("/>
              <m:endChr m:val=")"/>
              <m:sepChr m:val=""/>
              <m:grow/>
            </m:dPr>
            <m:e>
              <m:r>
                <m:t>100</m:t>
              </m:r>
            </m:e>
          </m:d>
          <m:r>
            <m:rPr>
              <m:sty m:val="p"/>
            </m:rPr>
            <m:t>=</m:t>
          </m:r>
          <m:f>
            <m:fPr>
              <m:type m:val="bar"/>
            </m:fPr>
            <m:num>
              <m:r>
                <m:rPr>
                  <m:sty m:val="p"/>
                </m:rPr>
                <m:t>ln</m:t>
              </m:r>
              <m:d>
                <m:dPr>
                  <m:begChr m:val="("/>
                  <m:endChr m:val=")"/>
                  <m:sepChr m:val=""/>
                  <m:grow/>
                </m:dPr>
                <m:e>
                  <m:r>
                    <m:t>100</m:t>
                  </m:r>
                </m:e>
              </m:d>
            </m:num>
            <m:den>
              <m:r>
                <m:rPr>
                  <m:sty m:val="p"/>
                </m:rPr>
                <m:t>ln</m:t>
              </m:r>
              <m:d>
                <m:dPr>
                  <m:begChr m:val="("/>
                  <m:endChr m:val=")"/>
                  <m:sepChr m:val=""/>
                  <m:grow/>
                </m:dPr>
                <m:e>
                  <m:r>
                    <m:t>2</m:t>
                  </m:r>
                </m:e>
              </m:d>
            </m:den>
          </m:f>
          <m:r>
            <m:rPr>
              <m:sty m:val="p"/>
            </m:rPr>
            <m:t>≈</m:t>
          </m:r>
          <m:r>
            <m:t>6.643856</m:t>
          </m:r>
          <m:r>
            <m:t> </m:t>
          </m:r>
          <m:r>
            <m:rPr>
              <m:nor/>
              <m:sty m:val="p"/>
            </m:rPr>
            <m:t>doublings</m:t>
          </m:r>
        </m:oMath>
      </m:oMathPara>
    </w:p>
    <w:p>
      <w:pPr>
        <w:pStyle w:val="FirstParagraph"/>
      </w:pPr>
      <w:r>
        <w:t xml:space="preserve">Therefore, the diagnostic lead time</w:t>
      </w:r>
      <w:r>
        <w:t xml:space="preserve"> </w:t>
      </w:r>
      <m:oMath>
        <m:r>
          <m:t>Δ</m:t>
        </m:r>
        <m:r>
          <m:t>t</m:t>
        </m:r>
      </m:oMath>
      <w:r>
        <w:t xml:space="preserve"> </w:t>
      </w:r>
      <w:r>
        <w:t xml:space="preserve">is given by an exact algebraic identity:</w:t>
      </w:r>
    </w:p>
    <w:p>
      <w:pPr>
        <w:pStyle w:val="BodyText"/>
      </w:pPr>
      <m:oMathPara>
        <m:oMathParaPr>
          <m:jc m:val="center"/>
        </m:oMathParaPr>
        <m:oMath>
          <m:r>
            <m:t>Δ</m:t>
          </m:r>
          <m:r>
            <m:t>t</m:t>
          </m:r>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6.6439</m:t>
          </m:r>
          <m:r>
            <m:rPr>
              <m:sty m:val="p"/>
            </m:rPr>
            <m:t>⋅</m:t>
          </m:r>
          <m:sSub>
            <m:e>
              <m:r>
                <m:t>T</m:t>
              </m:r>
            </m:e>
            <m:sub>
              <m:r>
                <m:t>s</m:t>
              </m:r>
            </m:sub>
          </m:sSub>
        </m:oMath>
      </m:oMathPara>
    </w:p>
    <w:p>
      <w:pPr>
        <w:pStyle w:val="FirstParagraph"/>
      </w:pPr>
      <w:r>
        <w:t xml:space="preserve">For a standard baseline doubling time</w:t>
      </w:r>
      <w:r>
        <w:t xml:space="preserve"> </w:t>
      </w:r>
      <m:oMath>
        <m:sSub>
          <m:e>
            <m:r>
              <m:t>T</m:t>
            </m:r>
          </m:e>
          <m:sub>
            <m:r>
              <m:t>s</m:t>
            </m:r>
          </m:sub>
        </m:sSub>
        <m:r>
          <m:rPr>
            <m:sty m:val="p"/>
          </m:rPr>
          <m:t>=</m:t>
        </m:r>
        <m:r>
          <m:t>25.0</m:t>
        </m:r>
        <m:r>
          <m:t> </m:t>
        </m:r>
        <m:r>
          <m:rPr>
            <m:nor/>
            <m:sty m:val="p"/>
          </m:rPr>
          <m:t>days</m:t>
        </m:r>
      </m:oMath>
      <w:r>
        <w:t xml:space="preserve">, this interval is:</w:t>
      </w:r>
    </w:p>
    <w:p>
      <w:pPr>
        <w:pStyle w:val="BodyText"/>
      </w:pPr>
      <m:oMathPara>
        <m:oMathParaPr>
          <m:jc m:val="center"/>
        </m:oMathParaPr>
        <m:oMath>
          <m:r>
            <m:t>Δ</m:t>
          </m:r>
          <m:r>
            <m:t>t</m:t>
          </m:r>
          <m:r>
            <m:rPr>
              <m:sty m:val="p"/>
            </m:rPr>
            <m:t>=</m:t>
          </m:r>
          <m:r>
            <m:t>25.0</m:t>
          </m:r>
          <m:r>
            <m:rPr>
              <m:sty m:val="p"/>
            </m:rPr>
            <m:t>×</m:t>
          </m:r>
          <m:r>
            <m:t>6.643856</m:t>
          </m:r>
          <m:r>
            <m:rPr>
              <m:sty m:val="p"/>
            </m:rPr>
            <m:t>=</m:t>
          </m:r>
          <m:r>
            <m:t>166.1</m:t>
          </m:r>
          <m:r>
            <m:t> </m:t>
          </m:r>
          <m:r>
            <m:rPr>
              <m:nor/>
              <m:sty m:val="p"/>
            </m:rPr>
            <m:t>days</m:t>
          </m:r>
          <m:r>
            <m:rPr>
              <m:sty m:val="p"/>
            </m:rPr>
            <m:t>=</m:t>
          </m:r>
          <m:r>
            <m:rPr>
              <m:sty m:val="b"/>
            </m:rPr>
            <m:t>5.46</m:t>
          </m:r>
          <m:r>
            <m:rPr>
              <m:sty m:val="b"/>
            </m:rPr>
            <m:t> </m:t>
          </m:r>
          <m:r>
            <m:rPr>
              <m:nor/>
              <m:sty m:val="p"/>
            </m:rPr>
            <m:t>months</m:t>
          </m:r>
        </m:oMath>
      </m:oMathPara>
    </w:p>
    <w:p>
      <w:pPr>
        <w:pStyle w:val="FirstParagraph"/>
      </w:pPr>
      <w:r>
        <w:t xml:space="preserve">Crucially,</w:t>
      </w:r>
      <w:r>
        <w:t xml:space="preserve"> </w:t>
      </w:r>
      <w:r>
        <w:rPr>
          <w:b/>
          <w:bCs/>
        </w:rPr>
        <w:t xml:space="preserve">the lead time</w:t>
      </w:r>
      <w:r>
        <w:rPr>
          <w:b/>
          <w:bCs/>
        </w:rPr>
        <w:t xml:space="preserve"> </w:t>
      </w:r>
      <m:oMath>
        <m:r>
          <m:t>Δ</m:t>
        </m:r>
        <m:r>
          <m:t>t</m:t>
        </m:r>
        <m:r>
          <m:rPr>
            <m:sty m:val="p"/>
          </m:rPr>
          <m:t>=</m:t>
        </m:r>
        <m:r>
          <m:t>5.46</m:t>
        </m:r>
        <m:r>
          <m:t> </m:t>
        </m:r>
        <m:r>
          <m:rPr>
            <m:nor/>
            <m:sty m:val="p"/>
          </m:rPr>
          <m:t>months</m:t>
        </m:r>
      </m:oMath>
      <w:r>
        <w:rPr>
          <w:b/>
          <w:bCs/>
        </w:rPr>
        <w:t xml:space="preserve"> </w:t>
      </w:r>
      <w:r>
        <w:rPr>
          <w:b/>
          <w:bCs/>
        </w:rPr>
        <w:t xml:space="preserve">is an invariant property of exponential growth kinetics and assay limits; it is entirely independent of initial inoculum</w:t>
      </w:r>
      <w:r>
        <w:rPr>
          <w:b/>
          <w:bCs/>
        </w:rPr>
        <w:t xml:space="preserve"> </w:t>
      </w:r>
      <m:oMath>
        <m:sSub>
          <m:e>
            <m:r>
              <m:t>N</m:t>
            </m:r>
          </m:e>
          <m:sub>
            <m:r>
              <m:t>0</m:t>
            </m:r>
          </m:sub>
        </m:sSub>
      </m:oMath>
      <w:r>
        <w:rPr>
          <w:b/>
          <w:bCs/>
        </w:rPr>
        <w:t xml:space="preserve">, independent of persister dynamics, and independent of any spatial sanctuary mechanism</w:t>
      </w:r>
      <w:r>
        <w:t xml:space="preserve">. Agreement between this calculated window and empirical observation reflects a plausible doubling time (</w:t>
      </w:r>
      <m:oMath>
        <m:sSub>
          <m:e>
            <m:r>
              <m:t>T</m:t>
            </m:r>
          </m:e>
          <m:sub>
            <m:r>
              <m:t>s</m:t>
            </m:r>
          </m:sub>
        </m:sSub>
        <m:r>
          <m:rPr>
            <m:sty m:val="p"/>
          </m:rPr>
          <m:t>≈</m:t>
        </m:r>
        <m:r>
          <m:t>21.5</m:t>
        </m:r>
        <m:r>
          <m:rPr>
            <m:nor/>
            <m:sty m:val="p"/>
          </m:rPr>
          <m:t>–</m:t>
        </m:r>
        <m:r>
          <m:t>25</m:t>
        </m:r>
        <m:r>
          <m:t> </m:t>
        </m:r>
        <m:r>
          <m:rPr>
            <m:nor/>
            <m:sty m:val="p"/>
          </m:rPr>
          <m:t>days</m:t>
        </m:r>
      </m:oMath>
      <w:r>
        <w:t xml:space="preserve">), rather than an independent validation of spatial transport models.</w:t>
      </w:r>
    </w:p>
    <w:bookmarkEnd w:id="39"/>
    <w:bookmarkStart w:id="40" w:name="Xd99d8ebf4c2bedfe6d6edd67e8cba36b6018c65"/>
    <w:p>
      <w:pPr>
        <w:pStyle w:val="Heading4"/>
      </w:pPr>
      <w:r>
        <w:t xml:space="preserve">Table 3A. Dependence of Diagnostic Lead Time</w:t>
      </w:r>
      <w:r>
        <w:t xml:space="preserve"> </w:t>
      </w:r>
      <m:oMath>
        <m:r>
          <m:t>Δ</m:t>
        </m:r>
        <m:r>
          <m:t>t</m:t>
        </m:r>
      </m:oMath>
      <w:r>
        <w:t xml:space="preserve"> </w:t>
      </w:r>
      <w:r>
        <w:t xml:space="preserve">on Sensitive Doubling Time</w:t>
      </w:r>
      <w:r>
        <w:t xml:space="preserve"> </w:t>
      </w:r>
      <m:oMath>
        <m:sSub>
          <m:e>
            <m:r>
              <m:t>T</m:t>
            </m:r>
          </m:e>
          <m:sub>
            <m:r>
              <m:t>s</m:t>
            </m:r>
          </m:sub>
        </m:sSub>
      </m:oMath>
      <w:r>
        <w:t xml:space="preserve"> </w:t>
      </w:r>
      <w:r>
        <w:t xml:space="preserve">(</w:t>
      </w:r>
      <m:oMath>
        <m:r>
          <m:t>Δ</m:t>
        </m:r>
        <m:r>
          <m:t>t</m:t>
        </m:r>
        <m:r>
          <m:rPr>
            <m:sty m:val="p"/>
          </m:rPr>
          <m:t>=</m:t>
        </m:r>
        <m:r>
          <m:t>6.6439</m:t>
        </m:r>
        <m:r>
          <m:rPr>
            <m:sty m:val="p"/>
          </m:rPr>
          <m:t>⋅</m:t>
        </m:r>
        <m:sSub>
          <m:e>
            <m:r>
              <m:t>T</m:t>
            </m:r>
          </m:e>
          <m:sub>
            <m:r>
              <m:t>s</m:t>
            </m:r>
          </m:sub>
        </m:sSub>
      </m:oMath>
      <w:r>
        <w:t xml:space="preserve">)</w:t>
      </w:r>
    </w:p>
    <w:tbl>
      <w:tblPr>
        <w:tblStyle w:val="Table"/>
        <w:tblW w:type="pct" w:w="5000"/>
        <w:jc w:val="left"/>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t xml:space="preserve">Assumed Doubling Time</w:t>
            </w:r>
            <w:r>
              <w:t xml:space="preserve"> </w:t>
            </w:r>
            <m:oMath>
              <m:sSub>
                <m:e>
                  <m:r>
                    <m:t>T</m:t>
                  </m:r>
                </m:e>
                <m:sub>
                  <m:r>
                    <m:t>s</m:t>
                  </m:r>
                </m:sub>
              </m:sSub>
            </m:oMath>
          </w:p>
        </w:tc>
        <w:tc>
          <w:tcPr/>
          <w:p>
            <w:pPr>
              <w:pStyle w:val="Compact"/>
              <w:jc w:val="center"/>
            </w:pPr>
            <w:r>
              <w:t xml:space="preserve">Required Population Doublings</w:t>
            </w:r>
          </w:p>
        </w:tc>
        <w:tc>
          <w:tcPr/>
          <w:p>
            <w:pPr>
              <w:pStyle w:val="Compact"/>
              <w:jc w:val="center"/>
            </w:pPr>
            <w:r>
              <w:t xml:space="preserve">Diagnostic Lead Time (Days)</w:t>
            </w:r>
          </w:p>
        </w:tc>
        <w:tc>
          <w:tcPr/>
          <w:p>
            <w:pPr>
              <w:pStyle w:val="Compact"/>
              <w:jc w:val="center"/>
            </w:pPr>
            <w:r>
              <w:t xml:space="preserve">Diagnostic Lead Time (Months)</w:t>
            </w:r>
          </w:p>
        </w:tc>
        <w:tc>
          <w:tcPr/>
          <w:p>
            <w:pPr>
              <w:pStyle w:val="Compact"/>
              <w:jc w:val="left"/>
            </w:pPr>
            <w:r>
              <w:t xml:space="preserve">Clinical Context</w:t>
            </w:r>
          </w:p>
        </w:tc>
      </w:tr>
      <w:tr>
        <w:tc>
          <w:tcPr/>
          <w:p>
            <w:pPr>
              <w:pStyle w:val="Compact"/>
              <w:jc w:val="center"/>
            </w:pPr>
            <w:r>
              <w:t xml:space="preserve">10.0 days</w:t>
            </w:r>
          </w:p>
        </w:tc>
        <w:tc>
          <w:tcPr/>
          <w:p>
            <w:pPr>
              <w:pStyle w:val="Compact"/>
              <w:jc w:val="center"/>
            </w:pPr>
            <w:r>
              <w:t xml:space="preserve">6.64 doublings</w:t>
            </w:r>
          </w:p>
        </w:tc>
        <w:tc>
          <w:tcPr/>
          <w:p>
            <w:pPr>
              <w:pStyle w:val="Compact"/>
              <w:jc w:val="center"/>
            </w:pPr>
            <w:r>
              <w:t xml:space="preserve">66.4 days</w:t>
            </w:r>
          </w:p>
        </w:tc>
        <w:tc>
          <w:tcPr/>
          <w:p>
            <w:pPr>
              <w:pStyle w:val="Compact"/>
              <w:jc w:val="center"/>
            </w:pPr>
            <w:r>
              <w:t xml:space="preserve">2.18 months</w:t>
            </w:r>
          </w:p>
        </w:tc>
        <w:tc>
          <w:tcPr/>
          <w:p>
            <w:pPr>
              <w:pStyle w:val="Compact"/>
              <w:jc w:val="left"/>
            </w:pPr>
            <w:r>
              <w:t xml:space="preserve">Highly aggressive dedifferentiated relapse</w:t>
            </w:r>
          </w:p>
        </w:tc>
      </w:tr>
      <w:tr>
        <w:tc>
          <w:tcPr/>
          <w:p>
            <w:pPr>
              <w:pStyle w:val="Compact"/>
              <w:jc w:val="center"/>
            </w:pPr>
            <w:r>
              <w:t xml:space="preserve">15.0 days</w:t>
            </w:r>
          </w:p>
        </w:tc>
        <w:tc>
          <w:tcPr/>
          <w:p>
            <w:pPr>
              <w:pStyle w:val="Compact"/>
              <w:jc w:val="center"/>
            </w:pPr>
            <w:r>
              <w:t xml:space="preserve">6.64 doublings</w:t>
            </w:r>
          </w:p>
        </w:tc>
        <w:tc>
          <w:tcPr/>
          <w:p>
            <w:pPr>
              <w:pStyle w:val="Compact"/>
              <w:jc w:val="center"/>
            </w:pPr>
            <w:r>
              <w:t xml:space="preserve">99.7 days</w:t>
            </w:r>
          </w:p>
        </w:tc>
        <w:tc>
          <w:tcPr/>
          <w:p>
            <w:pPr>
              <w:pStyle w:val="Compact"/>
              <w:jc w:val="center"/>
            </w:pPr>
            <w:r>
              <w:t xml:space="preserve">3.27 months</w:t>
            </w:r>
          </w:p>
        </w:tc>
        <w:tc>
          <w:tcPr/>
          <w:p>
            <w:pPr>
              <w:pStyle w:val="Compact"/>
              <w:jc w:val="left"/>
            </w:pPr>
            <w:r>
              <w:t xml:space="preserve">Rapid relapse</w:t>
            </w:r>
          </w:p>
        </w:tc>
      </w:tr>
      <w:tr>
        <w:tc>
          <w:tcPr/>
          <w:p>
            <w:pPr>
              <w:pStyle w:val="Compact"/>
              <w:jc w:val="center"/>
            </w:pPr>
            <w:r>
              <w:t xml:space="preserve">20.0 days</w:t>
            </w:r>
          </w:p>
        </w:tc>
        <w:tc>
          <w:tcPr/>
          <w:p>
            <w:pPr>
              <w:pStyle w:val="Compact"/>
              <w:jc w:val="center"/>
            </w:pPr>
            <w:r>
              <w:t xml:space="preserve">6.64 doublings</w:t>
            </w:r>
          </w:p>
        </w:tc>
        <w:tc>
          <w:tcPr/>
          <w:p>
            <w:pPr>
              <w:pStyle w:val="Compact"/>
              <w:jc w:val="center"/>
            </w:pPr>
            <w:r>
              <w:t xml:space="preserve">132.9 days</w:t>
            </w:r>
          </w:p>
        </w:tc>
        <w:tc>
          <w:tcPr/>
          <w:p>
            <w:pPr>
              <w:pStyle w:val="Compact"/>
              <w:jc w:val="center"/>
            </w:pPr>
            <w:r>
              <w:t xml:space="preserve">4.37 months</w:t>
            </w:r>
          </w:p>
        </w:tc>
        <w:tc>
          <w:tcPr/>
          <w:p>
            <w:pPr>
              <w:pStyle w:val="Compact"/>
              <w:jc w:val="left"/>
            </w:pPr>
            <w:r>
              <w:t xml:space="preserve">Intermediate-high proliferative rate</w:t>
            </w:r>
          </w:p>
        </w:tc>
      </w:tr>
      <w:tr>
        <w:tc>
          <w:tcPr/>
          <w:p>
            <w:pPr>
              <w:pStyle w:val="Compact"/>
              <w:jc w:val="center"/>
            </w:pPr>
            <w:r>
              <w:rPr>
                <w:b/>
                <w:bCs/>
              </w:rPr>
              <w:t xml:space="preserve">21.5 days</w:t>
            </w:r>
          </w:p>
        </w:tc>
        <w:tc>
          <w:tcPr/>
          <w:p>
            <w:pPr>
              <w:pStyle w:val="Compact"/>
              <w:jc w:val="center"/>
            </w:pPr>
            <w:r>
              <w:rPr>
                <w:b/>
                <w:bCs/>
              </w:rPr>
              <w:t xml:space="preserve">6.64 doublings</w:t>
            </w:r>
          </w:p>
        </w:tc>
        <w:tc>
          <w:tcPr/>
          <w:p>
            <w:pPr>
              <w:pStyle w:val="Compact"/>
              <w:jc w:val="center"/>
            </w:pPr>
            <w:r>
              <w:rPr>
                <w:b/>
                <w:bCs/>
              </w:rPr>
              <w:t xml:space="preserve">142.8 days</w:t>
            </w:r>
          </w:p>
        </w:tc>
        <w:tc>
          <w:tcPr/>
          <w:p>
            <w:pPr>
              <w:pStyle w:val="Compact"/>
              <w:jc w:val="center"/>
            </w:pPr>
            <w:r>
              <w:rPr>
                <w:b/>
                <w:bCs/>
              </w:rPr>
              <w:t xml:space="preserve">4.69 months</w:t>
            </w:r>
          </w:p>
        </w:tc>
        <w:tc>
          <w:tcPr/>
          <w:p>
            <w:pPr>
              <w:pStyle w:val="Compact"/>
              <w:jc w:val="left"/>
            </w:pPr>
            <w:r>
              <w:rPr>
                <w:b/>
                <w:bCs/>
              </w:rPr>
              <w:t xml:space="preserve">ADAURA Reported Median (4.7 months [13])</w:t>
            </w:r>
          </w:p>
        </w:tc>
      </w:tr>
      <w:tr>
        <w:tc>
          <w:tcPr/>
          <w:p>
            <w:pPr>
              <w:pStyle w:val="Compact"/>
              <w:jc w:val="center"/>
            </w:pPr>
            <w:r>
              <w:rPr>
                <w:b/>
                <w:bCs/>
              </w:rPr>
              <w:t xml:space="preserve">25.0 days</w:t>
            </w:r>
          </w:p>
        </w:tc>
        <w:tc>
          <w:tcPr/>
          <w:p>
            <w:pPr>
              <w:pStyle w:val="Compact"/>
              <w:jc w:val="center"/>
            </w:pPr>
            <w:r>
              <w:rPr>
                <w:b/>
                <w:bCs/>
              </w:rPr>
              <w:t xml:space="preserve">6.64 doublings</w:t>
            </w:r>
          </w:p>
        </w:tc>
        <w:tc>
          <w:tcPr/>
          <w:p>
            <w:pPr>
              <w:pStyle w:val="Compact"/>
              <w:jc w:val="center"/>
            </w:pPr>
            <w:r>
              <w:rPr>
                <w:b/>
                <w:bCs/>
              </w:rPr>
              <w:t xml:space="preserve">166.1 days</w:t>
            </w:r>
          </w:p>
        </w:tc>
        <w:tc>
          <w:tcPr/>
          <w:p>
            <w:pPr>
              <w:pStyle w:val="Compact"/>
              <w:jc w:val="center"/>
            </w:pPr>
            <w:r>
              <w:rPr>
                <w:b/>
                <w:bCs/>
              </w:rPr>
              <w:t xml:space="preserve">5.46 months</w:t>
            </w:r>
          </w:p>
        </w:tc>
        <w:tc>
          <w:tcPr/>
          <w:p>
            <w:pPr>
              <w:pStyle w:val="Compact"/>
              <w:jc w:val="left"/>
            </w:pPr>
            <w:r>
              <w:rPr>
                <w:b/>
                <w:bCs/>
              </w:rPr>
              <w:t xml:space="preserve">Baseline Model Calibration</w:t>
            </w:r>
          </w:p>
        </w:tc>
      </w:tr>
      <w:tr>
        <w:tc>
          <w:tcPr/>
          <w:p>
            <w:pPr>
              <w:pStyle w:val="Compact"/>
              <w:jc w:val="center"/>
            </w:pPr>
            <w:r>
              <w:t xml:space="preserve">30.0 days</w:t>
            </w:r>
          </w:p>
        </w:tc>
        <w:tc>
          <w:tcPr/>
          <w:p>
            <w:pPr>
              <w:pStyle w:val="Compact"/>
              <w:jc w:val="center"/>
            </w:pPr>
            <w:r>
              <w:t xml:space="preserve">6.64 doublings</w:t>
            </w:r>
          </w:p>
        </w:tc>
        <w:tc>
          <w:tcPr/>
          <w:p>
            <w:pPr>
              <w:pStyle w:val="Compact"/>
              <w:jc w:val="center"/>
            </w:pPr>
            <w:r>
              <w:t xml:space="preserve">199.3 days</w:t>
            </w:r>
          </w:p>
        </w:tc>
        <w:tc>
          <w:tcPr/>
          <w:p>
            <w:pPr>
              <w:pStyle w:val="Compact"/>
              <w:jc w:val="center"/>
            </w:pPr>
            <w:r>
              <w:t xml:space="preserve">6.55 months</w:t>
            </w:r>
          </w:p>
        </w:tc>
        <w:tc>
          <w:tcPr/>
          <w:p>
            <w:pPr>
              <w:pStyle w:val="Compact"/>
              <w:jc w:val="left"/>
            </w:pPr>
            <w:r>
              <w:t xml:space="preserve">Indolent relapse</w:t>
            </w:r>
          </w:p>
        </w:tc>
      </w:tr>
    </w:tbl>
    <w:bookmarkEnd w:id="40"/>
    <w:bookmarkStart w:id="41" w:name="X7959ff552c17281a6cb1fb7712aebc666b61477"/>
    <w:p>
      <w:pPr>
        <w:pStyle w:val="Heading4"/>
      </w:pPr>
      <w:r>
        <w:t xml:space="preserve">Table 3B. Dependence of Relapse Calendar Timing on Residual Inoculum</w:t>
      </w:r>
      <w:r>
        <w:t xml:space="preserve"> </w:t>
      </w:r>
      <m:oMath>
        <m:sSub>
          <m:e>
            <m:r>
              <m:t>N</m:t>
            </m:r>
          </m:e>
          <m:sub>
            <m:r>
              <m:t>0</m:t>
            </m:r>
          </m:sub>
        </m:sSub>
      </m:oMath>
      <w:r>
        <w:t xml:space="preserve"> </w:t>
      </w:r>
      <w:r>
        <w:t xml:space="preserve">(</w:t>
      </w:r>
      <m:oMath>
        <m:sSub>
          <m:e>
            <m:r>
              <m:t>T</m:t>
            </m:r>
          </m:e>
          <m:sub>
            <m:r>
              <m:t>s</m:t>
            </m:r>
          </m:sub>
        </m:sSub>
        <m:r>
          <m:rPr>
            <m:sty m:val="p"/>
          </m:rPr>
          <m:t>=</m:t>
        </m:r>
        <m:r>
          <m:t>25.0</m:t>
        </m:r>
        <m:r>
          <m:t> </m:t>
        </m:r>
        <m:r>
          <m:rPr>
            <m:nor/>
            <m:sty m:val="p"/>
          </m:rPr>
          <m:t>days</m:t>
        </m:r>
      </m:oMath>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Residual Inoculum</w:t>
            </w:r>
            <w:r>
              <w:t xml:space="preserve"> </w:t>
            </w:r>
            <m:oMath>
              <m:sSub>
                <m:e>
                  <m:r>
                    <m:t>N</m:t>
                  </m:r>
                </m:e>
                <m:sub>
                  <m:r>
                    <m:t>0</m:t>
                  </m:r>
                </m:sub>
              </m:sSub>
            </m:oMath>
          </w:p>
        </w:tc>
        <w:tc>
          <w:tcPr/>
          <w:p>
            <w:pPr>
              <w:pStyle w:val="Compact"/>
              <w:jc w:val="center"/>
            </w:pPr>
            <w:r>
              <w:t xml:space="preserve">ctDNA Recurrence Month (</w:t>
            </w:r>
            <m:oMath>
              <m:sSup>
                <m:e>
                  <m:r>
                    <m:t>10</m:t>
                  </m:r>
                </m:e>
                <m:sup>
                  <m:r>
                    <m:t>7</m:t>
                  </m:r>
                </m:sup>
              </m:sSup>
            </m:oMath>
            <w:r>
              <w:t xml:space="preserve"> </w:t>
            </w:r>
            <w:r>
              <w:t xml:space="preserve">cells)</w:t>
            </w:r>
          </w:p>
        </w:tc>
        <w:tc>
          <w:tcPr/>
          <w:p>
            <w:pPr>
              <w:pStyle w:val="Compact"/>
              <w:jc w:val="center"/>
            </w:pPr>
            <w:r>
              <w:t xml:space="preserve">CT Imaging Relapse Month (</w:t>
            </w:r>
            <m:oMath>
              <m:sSup>
                <m:e>
                  <m:r>
                    <m:t>10</m:t>
                  </m:r>
                </m:e>
                <m:sup>
                  <m:r>
                    <m:t>9</m:t>
                  </m:r>
                </m:sup>
              </m:sSup>
            </m:oMath>
            <w:r>
              <w:t xml:space="preserve"> </w:t>
            </w:r>
            <w:r>
              <w:t xml:space="preserve">cells)</w:t>
            </w:r>
          </w:p>
        </w:tc>
        <w:tc>
          <w:tcPr/>
          <w:p>
            <w:pPr>
              <w:pStyle w:val="Compact"/>
              <w:jc w:val="center"/>
            </w:pPr>
            <w:r>
              <w:t xml:space="preserve">Diagnostic Lead Time</w:t>
            </w:r>
            <w:r>
              <w:t xml:space="preserve"> </w:t>
            </w:r>
            <m:oMath>
              <m:r>
                <m:t>Δ</m:t>
              </m:r>
              <m:r>
                <m:t>t</m:t>
              </m:r>
            </m:oMath>
          </w:p>
        </w:tc>
      </w:tr>
      <w:tr>
        <w:tc>
          <w:tcPr/>
          <w:p>
            <w:pPr>
              <w:pStyle w:val="Compact"/>
              <w:jc w:val="center"/>
            </w:pPr>
            <m:oMath>
              <m:sSub>
                <m:e>
                  <m:r>
                    <m:t>N</m:t>
                  </m:r>
                </m:e>
                <m:sub>
                  <m:r>
                    <m:t>0</m:t>
                  </m:r>
                </m:sub>
              </m:sSub>
              <m:r>
                <m:rPr>
                  <m:sty m:val="p"/>
                </m:rPr>
                <m:t>=</m:t>
              </m:r>
              <m:r>
                <m:t>1</m:t>
              </m:r>
            </m:oMath>
            <w:r>
              <w:t xml:space="preserve"> </w:t>
            </w:r>
            <w:r>
              <w:t xml:space="preserve">cell</w:t>
            </w:r>
          </w:p>
        </w:tc>
        <w:tc>
          <w:tcPr/>
          <w:p>
            <w:pPr>
              <w:pStyle w:val="Compact"/>
              <w:jc w:val="center"/>
            </w:pPr>
            <w:r>
              <w:t xml:space="preserve">19.7 months</w:t>
            </w:r>
          </w:p>
        </w:tc>
        <w:tc>
          <w:tcPr/>
          <w:p>
            <w:pPr>
              <w:pStyle w:val="Compact"/>
              <w:jc w:val="center"/>
            </w:pPr>
            <w:r>
              <w:t xml:space="preserve">25.1 months</w:t>
            </w:r>
          </w:p>
        </w:tc>
        <w:tc>
          <w:tcPr/>
          <w:p>
            <w:pPr>
              <w:pStyle w:val="Compact"/>
              <w:jc w:val="center"/>
            </w:pPr>
            <w:r>
              <w:t xml:space="preserve">5.46 months</w:t>
            </w:r>
          </w:p>
        </w:tc>
      </w:tr>
      <w:tr>
        <w:tc>
          <w:tcPr/>
          <w:p>
            <w:pPr>
              <w:pStyle w:val="Compact"/>
              <w:jc w:val="center"/>
            </w:pPr>
            <m:oMath>
              <m:sSub>
                <m:e>
                  <m:r>
                    <m:t>N</m:t>
                  </m:r>
                </m:e>
                <m:sub>
                  <m:r>
                    <m:t>0</m:t>
                  </m:r>
                </m:sub>
              </m:sSub>
              <m:r>
                <m:rPr>
                  <m:sty m:val="p"/>
                </m:rPr>
                <m:t>=</m:t>
              </m:r>
              <m:r>
                <m:t>100</m:t>
              </m:r>
            </m:oMath>
            <w:r>
              <w:t xml:space="preserve"> </w:t>
            </w:r>
            <w:r>
              <w:t xml:space="preserve">cells</w:t>
            </w:r>
          </w:p>
        </w:tc>
        <w:tc>
          <w:tcPr/>
          <w:p>
            <w:pPr>
              <w:pStyle w:val="Compact"/>
              <w:jc w:val="center"/>
            </w:pPr>
            <w:r>
              <w:t xml:space="preserve">14.2 months</w:t>
            </w:r>
          </w:p>
        </w:tc>
        <w:tc>
          <w:tcPr/>
          <w:p>
            <w:pPr>
              <w:pStyle w:val="Compact"/>
              <w:jc w:val="center"/>
            </w:pPr>
            <w:r>
              <w:t xml:space="preserve">19.7 months</w:t>
            </w:r>
          </w:p>
        </w:tc>
        <w:tc>
          <w:tcPr/>
          <w:p>
            <w:pPr>
              <w:pStyle w:val="Compact"/>
              <w:jc w:val="center"/>
            </w:pPr>
            <w:r>
              <w:t xml:space="preserve">5.46 months</w:t>
            </w:r>
          </w:p>
        </w:tc>
      </w:tr>
      <w:tr>
        <w:tc>
          <w:tcPr/>
          <w:p>
            <w:pPr>
              <w:pStyle w:val="Compact"/>
              <w:jc w:val="center"/>
            </w:pPr>
            <m:oMath>
              <m:sSub>
                <m:e>
                  <m:r>
                    <m:t>N</m:t>
                  </m:r>
                </m:e>
                <m:sub>
                  <m:r>
                    <m:t>0</m:t>
                  </m:r>
                </m:sub>
              </m:sSub>
              <m:r>
                <m:rPr>
                  <m:sty m:val="p"/>
                </m:rPr>
                <m:t>=</m:t>
              </m:r>
              <m:r>
                <m:t>1</m:t>
              </m:r>
              <m:r>
                <m:rPr>
                  <m:sty m:val="p"/>
                </m:rPr>
                <m:t>,</m:t>
              </m:r>
              <m:r>
                <m:t>000</m:t>
              </m:r>
            </m:oMath>
            <w:r>
              <w:t xml:space="preserve"> </w:t>
            </w:r>
            <w:r>
              <w:t xml:space="preserve">cells</w:t>
            </w:r>
          </w:p>
        </w:tc>
        <w:tc>
          <w:tcPr/>
          <w:p>
            <w:pPr>
              <w:pStyle w:val="Compact"/>
              <w:jc w:val="center"/>
            </w:pPr>
            <w:r>
              <w:t xml:space="preserve">11.5 months</w:t>
            </w:r>
          </w:p>
        </w:tc>
        <w:tc>
          <w:tcPr/>
          <w:p>
            <w:pPr>
              <w:pStyle w:val="Compact"/>
              <w:jc w:val="center"/>
            </w:pPr>
            <w:r>
              <w:t xml:space="preserve">17.0 months</w:t>
            </w:r>
          </w:p>
        </w:tc>
        <w:tc>
          <w:tcPr/>
          <w:p>
            <w:pPr>
              <w:pStyle w:val="Compact"/>
              <w:jc w:val="center"/>
            </w:pPr>
            <w:r>
              <w:t xml:space="preserve">5.46 months</w:t>
            </w:r>
          </w:p>
        </w:tc>
      </w:tr>
      <w:tr>
        <w:tc>
          <w:tcPr/>
          <w:p>
            <w:pPr>
              <w:pStyle w:val="Compact"/>
              <w:jc w:val="center"/>
            </w:pPr>
            <m:oMath>
              <m:sSub>
                <m:e>
                  <m:r>
                    <m:t>N</m:t>
                  </m:r>
                </m:e>
                <m:sub>
                  <m:r>
                    <m:t>0</m:t>
                  </m:r>
                </m:sub>
              </m:sSub>
              <m:r>
                <m:rPr>
                  <m:sty m:val="p"/>
                </m:rPr>
                <m:t>=</m:t>
              </m:r>
              <m:r>
                <m:t>2</m:t>
              </m:r>
              <m:r>
                <m:rPr>
                  <m:sty m:val="p"/>
                </m:rPr>
                <m:t>,</m:t>
              </m:r>
              <m:r>
                <m:t>000</m:t>
              </m:r>
            </m:oMath>
            <w:r>
              <w:rPr>
                <w:b/>
                <w:bCs/>
              </w:rPr>
              <w:t xml:space="preserve"> </w:t>
            </w:r>
            <w:r>
              <w:rPr>
                <w:b/>
                <w:bCs/>
              </w:rPr>
              <w:t xml:space="preserve">cells</w:t>
            </w:r>
          </w:p>
        </w:tc>
        <w:tc>
          <w:tcPr/>
          <w:p>
            <w:pPr>
              <w:pStyle w:val="Compact"/>
              <w:jc w:val="center"/>
            </w:pPr>
            <w:r>
              <w:rPr>
                <w:b/>
                <w:bCs/>
              </w:rPr>
              <w:t xml:space="preserve">10.7 months</w:t>
            </w:r>
          </w:p>
        </w:tc>
        <w:tc>
          <w:tcPr/>
          <w:p>
            <w:pPr>
              <w:pStyle w:val="Compact"/>
              <w:jc w:val="center"/>
            </w:pPr>
            <w:r>
              <w:rPr>
                <w:b/>
                <w:bCs/>
              </w:rPr>
              <w:t xml:space="preserve">16.1 months</w:t>
            </w:r>
          </w:p>
        </w:tc>
        <w:tc>
          <w:tcPr/>
          <w:p>
            <w:pPr>
              <w:pStyle w:val="Compact"/>
              <w:jc w:val="center"/>
            </w:pPr>
            <w:r>
              <w:rPr>
                <w:b/>
                <w:bCs/>
              </w:rPr>
              <w:t xml:space="preserve">5.46 months</w:t>
            </w:r>
          </w:p>
        </w:tc>
      </w:tr>
      <w:tr>
        <w:tc>
          <w:tcPr/>
          <w:p>
            <w:pPr>
              <w:pStyle w:val="Compact"/>
              <w:jc w:val="center"/>
            </w:pPr>
            <m:oMath>
              <m:sSub>
                <m:e>
                  <m:r>
                    <m:t>N</m:t>
                  </m:r>
                </m:e>
                <m:sub>
                  <m:r>
                    <m:t>0</m:t>
                  </m:r>
                </m:sub>
              </m:sSub>
              <m:r>
                <m:rPr>
                  <m:sty m:val="p"/>
                </m:rPr>
                <m:t>=</m:t>
              </m:r>
              <m:r>
                <m:t>10</m:t>
              </m:r>
              <m:r>
                <m:rPr>
                  <m:sty m:val="p"/>
                </m:rPr>
                <m:t>,</m:t>
              </m:r>
              <m:r>
                <m:t>000</m:t>
              </m:r>
            </m:oMath>
            <w:r>
              <w:t xml:space="preserve"> </w:t>
            </w:r>
            <w:r>
              <w:t xml:space="preserve">cells</w:t>
            </w:r>
          </w:p>
        </w:tc>
        <w:tc>
          <w:tcPr/>
          <w:p>
            <w:pPr>
              <w:pStyle w:val="Compact"/>
              <w:jc w:val="center"/>
            </w:pPr>
            <w:r>
              <w:t xml:space="preserve">8.8 months</w:t>
            </w:r>
          </w:p>
        </w:tc>
        <w:tc>
          <w:tcPr/>
          <w:p>
            <w:pPr>
              <w:pStyle w:val="Compact"/>
              <w:jc w:val="center"/>
            </w:pPr>
            <w:r>
              <w:t xml:space="preserve">14.2 months</w:t>
            </w:r>
          </w:p>
        </w:tc>
        <w:tc>
          <w:tcPr/>
          <w:p>
            <w:pPr>
              <w:pStyle w:val="Compact"/>
              <w:jc w:val="center"/>
            </w:pPr>
            <w:r>
              <w:t xml:space="preserve">5.46 months</w:t>
            </w:r>
          </w:p>
        </w:tc>
      </w:tr>
      <w:tr>
        <w:tc>
          <w:tcPr/>
          <w:p>
            <w:pPr>
              <w:pStyle w:val="Compact"/>
              <w:jc w:val="center"/>
            </w:pPr>
            <m:oMath>
              <m:sSub>
                <m:e>
                  <m:r>
                    <m:t>N</m:t>
                  </m:r>
                </m:e>
                <m:sub>
                  <m:r>
                    <m:t>0</m:t>
                  </m:r>
                </m:sub>
              </m:sSub>
              <m:r>
                <m:rPr>
                  <m:sty m:val="p"/>
                </m:rPr>
                <m:t>=</m:t>
              </m:r>
              <m:r>
                <m:t>100</m:t>
              </m:r>
              <m:r>
                <m:rPr>
                  <m:sty m:val="p"/>
                </m:rPr>
                <m:t>,</m:t>
              </m:r>
              <m:r>
                <m:t>000</m:t>
              </m:r>
            </m:oMath>
            <w:r>
              <w:t xml:space="preserve"> </w:t>
            </w:r>
            <w:r>
              <w:t xml:space="preserve">cells</w:t>
            </w:r>
          </w:p>
        </w:tc>
        <w:tc>
          <w:tcPr/>
          <w:p>
            <w:pPr>
              <w:pStyle w:val="Compact"/>
              <w:jc w:val="center"/>
            </w:pPr>
            <w:r>
              <w:t xml:space="preserve">6.0 months</w:t>
            </w:r>
          </w:p>
        </w:tc>
        <w:tc>
          <w:tcPr/>
          <w:p>
            <w:pPr>
              <w:pStyle w:val="Compact"/>
              <w:jc w:val="center"/>
            </w:pPr>
            <w:r>
              <w:t xml:space="preserve">11.5 months</w:t>
            </w:r>
          </w:p>
        </w:tc>
        <w:tc>
          <w:tcPr/>
          <w:p>
            <w:pPr>
              <w:pStyle w:val="Compact"/>
              <w:jc w:val="center"/>
            </w:pPr>
            <w:r>
              <w:t xml:space="preserve">5.47 months</w:t>
            </w:r>
          </w:p>
        </w:tc>
      </w:tr>
    </w:tbl>
    <w:p>
      <w:pPr>
        <w:pStyle w:val="BodyText"/>
      </w:pPr>
      <w:r>
        <w:t xml:space="preserve">As shown in</w:t>
      </w:r>
      <w:r>
        <w:t xml:space="preserve"> </w:t>
      </w:r>
      <w:r>
        <w:rPr>
          <w:b/>
          <w:bCs/>
        </w:rPr>
        <w:t xml:space="preserve">Table 3B</w:t>
      </w:r>
      <w:r>
        <w:t xml:space="preserve">, varying</w:t>
      </w:r>
      <w:r>
        <w:t xml:space="preserve"> </w:t>
      </w:r>
      <m:oMath>
        <m:sSub>
          <m:e>
            <m:r>
              <m:t>N</m:t>
            </m:r>
          </m:e>
          <m:sub>
            <m:r>
              <m:t>0</m:t>
            </m:r>
          </m:sub>
        </m:sSub>
      </m:oMath>
      <w:r>
        <w:t xml:space="preserve"> </w:t>
      </w:r>
      <w:r>
        <w:t xml:space="preserve">between 100 and 10,000 cells shifts the calendar appearance of ctDNA positivity from month 14.2 to month 8.8 post-cessation. In ADAURA (Herbst et al. [13]), 11 of 19 post-cessation recurrences occurred within the first 12 months. This empirical clustering can be accommodated by residual inocula in the range of</w:t>
      </w:r>
      <w:r>
        <w:t xml:space="preserve"> </w:t>
      </w:r>
      <m:oMath>
        <m:sSub>
          <m:e>
            <m:r>
              <m:t>N</m:t>
            </m:r>
          </m:e>
          <m:sub>
            <m:r>
              <m:t>0</m:t>
            </m:r>
          </m:sub>
        </m:sSub>
        <m:r>
          <m:rPr>
            <m:sty m:val="p"/>
          </m:rPr>
          <m:t>≈</m:t>
        </m:r>
        <m:r>
          <m:t>1</m:t>
        </m:r>
        <m:r>
          <m:rPr>
            <m:sty m:val="p"/>
          </m:rPr>
          <m:t>,</m:t>
        </m:r>
        <m:r>
          <m:t>000</m:t>
        </m:r>
        <m:r>
          <m:rPr>
            <m:nor/>
            <m:sty m:val="p"/>
          </m:rPr>
          <m:t>–</m:t>
        </m:r>
        <m:r>
          <m:t>10</m:t>
        </m:r>
        <m:r>
          <m:rPr>
            <m:sty m:val="p"/>
          </m:rPr>
          <m:t>,</m:t>
        </m:r>
        <m:r>
          <m:t>000</m:t>
        </m:r>
        <m:r>
          <m:t> </m:t>
        </m:r>
        <m:r>
          <m:rPr>
            <m:nor/>
            <m:sty m:val="p"/>
          </m:rPr>
          <m:t>cells</m:t>
        </m:r>
      </m:oMath>
      <w:r>
        <w:t xml:space="preserve">, but fitting</w:t>
      </w:r>
      <w:r>
        <w:t xml:space="preserve"> </w:t>
      </w:r>
      <m:oMath>
        <m:sSub>
          <m:e>
            <m:r>
              <m:t>N</m:t>
            </m:r>
          </m:e>
          <m:sub>
            <m:r>
              <m:t>0</m:t>
            </m:r>
          </m:sub>
        </m:sSub>
      </m:oMath>
      <w:r>
        <w:t xml:space="preserve"> </w:t>
      </w:r>
      <w:r>
        <w:t xml:space="preserve">to match clinical timing is an exploratory exercise rather than a predictive proof.</w:t>
      </w:r>
    </w:p>
    <w:p>
      <w:r>
        <w:pict>
          <v:rect style="width:0;height:1.5pt" o:hralign="center" o:hrstd="t" o:hr="t"/>
        </w:pict>
      </w:r>
    </w:p>
    <w:bookmarkEnd w:id="41"/>
    <w:bookmarkEnd w:id="42"/>
    <w:bookmarkEnd w:id="43"/>
    <w:bookmarkStart w:id="52" w:name="Xe8899abaf8d4f6f0a4a36398f5d9d9ea73bc19c"/>
    <w:p>
      <w:pPr>
        <w:pStyle w:val="Heading2"/>
      </w:pPr>
      <w:r>
        <w:t xml:space="preserve">4. Descriptive Survival Analysis of the MSKCC Cohort (</w:t>
      </w:r>
      <m:oMath>
        <m:r>
          <m:t>N</m:t>
        </m:r>
        <m:r>
          <m:rPr>
            <m:sty m:val="p"/>
          </m:rPr>
          <m:t>=</m:t>
        </m:r>
        <m:r>
          <m:t>604</m:t>
        </m:r>
      </m:oMath>
      <w:r>
        <w:t xml:space="preserve">)</w:t>
      </w:r>
    </w:p>
    <w:bookmarkStart w:id="48" w:name="cohort-characteristics-methods"/>
    <w:p>
      <w:pPr>
        <w:pStyle w:val="Heading3"/>
      </w:pPr>
      <w:r>
        <w:t xml:space="preserve">4.1 Cohort Characteristics &amp; Methods</w:t>
      </w:r>
    </w:p>
    <w:p>
      <w:pPr>
        <w:pStyle w:val="FirstParagraph"/>
      </w:pPr>
      <w:r>
        <w:t xml:space="preserve">To examine whether architectural growth patterns correlate with disease recurrence in the clinic, we analyzed the authenticated Memorial Sloan Kettering Cancer Center cohort (Caso et al.,</w:t>
      </w:r>
      <w:r>
        <w:t xml:space="preserve"> </w:t>
      </w:r>
      <w:r>
        <w:rPr>
          <w:i/>
          <w:iCs/>
        </w:rPr>
        <w:t xml:space="preserve">J Thorac Oncol</w:t>
      </w:r>
      <w:r>
        <w:t xml:space="preserve"> </w:t>
      </w:r>
      <w:r>
        <w:t xml:space="preserve">2020 [3]), comprising 604 consecutive surgically resected lung adenocarcinoma patients with predominant IASLC histologic subtypes, pathologic stage (I/II/III),</w:t>
      </w:r>
      <w:r>
        <w:t xml:space="preserve"> </w:t>
      </w:r>
      <w:r>
        <w:rPr>
          <w:i/>
          <w:iCs/>
        </w:rPr>
        <w:t xml:space="preserve">EGFR</w:t>
      </w:r>
      <w:r>
        <w:t xml:space="preserve"> </w:t>
      </w:r>
      <w:r>
        <w:t xml:space="preserve">mutational status, recurrence-free survival (RFS) duration, and recurrence events (98 recurrences, 16.23%). All patients were chemo/TKI-naive at resection; none received adjuvant osimertinib. This cohort serves as a real-world baseline of intrinsic natural history in resected adenocarcinoma.</w:t>
      </w:r>
    </w:p>
    <w:p>
      <w:pPr>
        <w:pStyle w:val="BodyText"/>
      </w:pPr>
      <w:r>
        <w:t xml:space="preserve">Survival analyses were performed using Kaplan–Meier estimators and multivariable Cox proportional hazards models with Efron tie handling. True median follow-up was computed using the</w:t>
      </w:r>
      <w:r>
        <w:t xml:space="preserve"> </w:t>
      </w:r>
      <w:r>
        <w:rPr>
          <w:b/>
          <w:bCs/>
        </w:rPr>
        <w:t xml:space="preserve">reverse Kaplan–Meier method</w:t>
      </w:r>
      <w:r>
        <w:t xml:space="preserve"> </w:t>
      </w:r>
      <w:r>
        <w:t xml:space="preserve">(Schemper &amp; Smith,</w:t>
      </w:r>
      <w:r>
        <w:t xml:space="preserve"> </w:t>
      </w:r>
      <w:r>
        <w:rPr>
          <w:i/>
          <w:iCs/>
        </w:rPr>
        <w:t xml:space="preserve">Control Clin Trials</w:t>
      </w:r>
      <w:r>
        <w:t xml:space="preserve"> </w:t>
      </w:r>
      <w:r>
        <w:t xml:space="preserve">1996 [12]):</w:t>
      </w:r>
      <w:r>
        <w:t xml:space="preserve"> </w:t>
      </w:r>
      <w:r>
        <w:rPr>
          <w:b/>
          <w:bCs/>
        </w:rPr>
        <w:t xml:space="preserve">median follow-up was 23.8 months</w:t>
      </w:r>
      <w:r>
        <w:t xml:space="preserve"> </w:t>
      </w:r>
      <w:r>
        <w:t xml:space="preserve">(IQR: 13.3–31.8 months; raw RFS duration median was 21.4 months). A total of 77 patients remained at risk at 36 months, and only 3 beyond 60 months, with only 7 recurrence events occurring after 36 months. Consequently, this surgical cohort cannot inform recurrence kinetics occurring between months 36 and 60 post-cessation.</w:t>
      </w:r>
    </w:p>
    <w:p>
      <w:pPr>
        <w:pStyle w:val="SourceCode"/>
      </w:pPr>
      <w:r>
        <w:rPr>
          <w:rStyle w:val="VerbatimChar"/>
        </w:rPr>
        <w:t xml:space="preserve">(Figure 3)</w:t>
      </w:r>
    </w:p>
    <w:p>
      <w:pPr>
        <w:pStyle w:val="FirstParagraph"/>
      </w:pPr>
      <w:r>
        <w:drawing>
          <wp:inline>
            <wp:extent cx="5334000" cy="3778249"/>
            <wp:effectExtent b="0" l="0" r="0" t="0"/>
            <wp:docPr descr="Figure 3: MSKCC Clinical Cohort Validation &amp; Survival Modeling" title="" id="45" name="Picture"/>
            <a:graphic>
              <a:graphicData uri="http://schemas.openxmlformats.org/drawingml/2006/picture">
                <pic:pic>
                  <pic:nvPicPr>
                    <pic:cNvPr descr="Figure3_cohort_cox.png" id="46" name="Picture"/>
                    <pic:cNvPicPr>
                      <a:picLocks noChangeArrowheads="1" noChangeAspect="1"/>
                    </pic:cNvPicPr>
                  </pic:nvPicPr>
                  <pic:blipFill>
                    <a:blip r:embed="rId44"/>
                    <a:stretch>
                      <a:fillRect/>
                    </a:stretch>
                  </pic:blipFill>
                  <pic:spPr bwMode="auto">
                    <a:xfrm>
                      <a:off x="0" y="0"/>
                      <a:ext cx="5334000" cy="3778249"/>
                    </a:xfrm>
                    <a:prstGeom prst="rect">
                      <a:avLst/>
                    </a:prstGeom>
                    <a:noFill/>
                    <a:ln w="9525">
                      <a:noFill/>
                      <a:headEnd/>
                      <a:tailEnd/>
                    </a:ln>
                  </pic:spPr>
                </pic:pic>
              </a:graphicData>
            </a:graphic>
          </wp:inline>
        </w:drawing>
      </w:r>
      <w:r>
        <w:t xml:space="preserve"> </w:t>
      </w:r>
      <w:r>
        <w:rPr>
          <w:i/>
          <w:iCs/>
        </w:rPr>
        <w:t xml:space="preserve">Figure 3. MSKCC Clinical Cohort Survival Analysis (N = 604). (A) Kaplan-Meier recurrence-free survival curves for the 5 IASLC histologic subtypes (reverse Kaplan-Meier median follow-up 23.8 months; 5-group multivariate log-rank chi2 = 24.52, p = 6.27e-05). (B) Forest plot of multivariable stage-adjusted Cox proportional hazards models, showing pairwise contrasts against lepidic reference (with 10-fold Holm multiplicity adjustments) and composite architectural models.</w:t>
      </w:r>
    </w:p>
    <w:bookmarkStart w:id="47" w:name="X99a3ea191a3a788fe28ef8f3f1e79b95bbb63b2"/>
    <w:p>
      <w:pPr>
        <w:pStyle w:val="Heading4"/>
      </w:pPr>
      <w:r>
        <w:t xml:space="preserve">Table 4. Recurrence Events and Stage Distribution by Predominant Histologic Subtype</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Predominant Subtype</w:t>
            </w:r>
          </w:p>
        </w:tc>
        <w:tc>
          <w:tcPr/>
          <w:p>
            <w:pPr>
              <w:pStyle w:val="Compact"/>
              <w:jc w:val="center"/>
            </w:pPr>
            <w:r>
              <w:t xml:space="preserve">Total Patients (</w:t>
            </w:r>
            <m:oMath>
              <m:r>
                <m:t>N</m:t>
              </m:r>
            </m:oMath>
            <w:r>
              <w:t xml:space="preserve">)</w:t>
            </w:r>
          </w:p>
        </w:tc>
        <w:tc>
          <w:tcPr/>
          <w:p>
            <w:pPr>
              <w:pStyle w:val="Compact"/>
              <w:jc w:val="center"/>
            </w:pPr>
            <w:r>
              <w:t xml:space="preserve">Recurrence Events (</w:t>
            </w:r>
            <m:oMath>
              <m:r>
                <m:t>E</m:t>
              </m:r>
            </m:oMath>
            <w:r>
              <w:t xml:space="preserve">)</w:t>
            </w:r>
          </w:p>
        </w:tc>
        <w:tc>
          <w:tcPr/>
          <w:p>
            <w:pPr>
              <w:pStyle w:val="Compact"/>
              <w:jc w:val="center"/>
            </w:pPr>
            <w:r>
              <w:t xml:space="preserve">Crude Recurrence Rate (%)</w:t>
            </w:r>
          </w:p>
        </w:tc>
        <w:tc>
          <w:tcPr/>
          <w:p>
            <w:pPr>
              <w:pStyle w:val="Compact"/>
              <w:jc w:val="center"/>
            </w:pPr>
            <w:r>
              <w:t xml:space="preserve">Pathologic Stage I (%)</w:t>
            </w:r>
          </w:p>
        </w:tc>
      </w:tr>
      <w:tr>
        <w:tc>
          <w:tcPr/>
          <w:p>
            <w:pPr>
              <w:pStyle w:val="Compact"/>
              <w:jc w:val="left"/>
            </w:pPr>
            <w:r>
              <w:rPr>
                <w:b/>
                <w:bCs/>
              </w:rPr>
              <w:t xml:space="preserve">Lepidic</w:t>
            </w:r>
          </w:p>
        </w:tc>
        <w:tc>
          <w:tcPr/>
          <w:p>
            <w:pPr>
              <w:pStyle w:val="Compact"/>
              <w:jc w:val="center"/>
            </w:pPr>
            <w:r>
              <w:t xml:space="preserve">88</w:t>
            </w:r>
          </w:p>
        </w:tc>
        <w:tc>
          <w:tcPr/>
          <w:p>
            <w:pPr>
              <w:pStyle w:val="Compact"/>
              <w:jc w:val="center"/>
            </w:pPr>
            <w:r>
              <w:t xml:space="preserve">4</w:t>
            </w:r>
          </w:p>
        </w:tc>
        <w:tc>
          <w:tcPr/>
          <w:p>
            <w:pPr>
              <w:pStyle w:val="Compact"/>
              <w:jc w:val="center"/>
            </w:pPr>
            <w:r>
              <w:rPr>
                <w:b/>
                <w:bCs/>
              </w:rPr>
              <w:t xml:space="preserve">4.55%</w:t>
            </w:r>
          </w:p>
        </w:tc>
        <w:tc>
          <w:tcPr/>
          <w:p>
            <w:pPr>
              <w:pStyle w:val="Compact"/>
              <w:jc w:val="center"/>
            </w:pPr>
            <w:r>
              <w:rPr>
                <w:b/>
                <w:bCs/>
              </w:rPr>
              <w:t xml:space="preserve">88.6%</w:t>
            </w:r>
          </w:p>
        </w:tc>
      </w:tr>
      <w:tr>
        <w:tc>
          <w:tcPr/>
          <w:p>
            <w:pPr>
              <w:pStyle w:val="Compact"/>
              <w:jc w:val="left"/>
            </w:pPr>
            <w:r>
              <w:rPr>
                <w:b/>
                <w:bCs/>
              </w:rPr>
              <w:t xml:space="preserve">Acinar</w:t>
            </w:r>
          </w:p>
        </w:tc>
        <w:tc>
          <w:tcPr/>
          <w:p>
            <w:pPr>
              <w:pStyle w:val="Compact"/>
              <w:jc w:val="center"/>
            </w:pPr>
            <w:r>
              <w:t xml:space="preserve">368</w:t>
            </w:r>
          </w:p>
        </w:tc>
        <w:tc>
          <w:tcPr/>
          <w:p>
            <w:pPr>
              <w:pStyle w:val="Compact"/>
              <w:jc w:val="center"/>
            </w:pPr>
            <w:r>
              <w:t xml:space="preserve">54</w:t>
            </w:r>
          </w:p>
        </w:tc>
        <w:tc>
          <w:tcPr/>
          <w:p>
            <w:pPr>
              <w:pStyle w:val="Compact"/>
              <w:jc w:val="center"/>
            </w:pPr>
            <w:r>
              <w:rPr>
                <w:b/>
                <w:bCs/>
              </w:rPr>
              <w:t xml:space="preserve">14.67%</w:t>
            </w:r>
          </w:p>
        </w:tc>
        <w:tc>
          <w:tcPr/>
          <w:p>
            <w:pPr>
              <w:pStyle w:val="Compact"/>
              <w:jc w:val="center"/>
            </w:pPr>
            <w:r>
              <w:t xml:space="preserve">75.5%</w:t>
            </w:r>
          </w:p>
        </w:tc>
      </w:tr>
      <w:tr>
        <w:tc>
          <w:tcPr/>
          <w:p>
            <w:pPr>
              <w:pStyle w:val="Compact"/>
              <w:jc w:val="left"/>
            </w:pPr>
            <w:r>
              <w:rPr>
                <w:b/>
                <w:bCs/>
              </w:rPr>
              <w:t xml:space="preserve">Micropapillary</w:t>
            </w:r>
          </w:p>
        </w:tc>
        <w:tc>
          <w:tcPr/>
          <w:p>
            <w:pPr>
              <w:pStyle w:val="Compact"/>
              <w:jc w:val="center"/>
            </w:pPr>
            <w:r>
              <w:t xml:space="preserve">37</w:t>
            </w:r>
          </w:p>
        </w:tc>
        <w:tc>
          <w:tcPr/>
          <w:p>
            <w:pPr>
              <w:pStyle w:val="Compact"/>
              <w:jc w:val="center"/>
            </w:pPr>
            <w:r>
              <w:t xml:space="preserve">8</w:t>
            </w:r>
          </w:p>
        </w:tc>
        <w:tc>
          <w:tcPr/>
          <w:p>
            <w:pPr>
              <w:pStyle w:val="Compact"/>
              <w:jc w:val="center"/>
            </w:pPr>
            <w:r>
              <w:rPr>
                <w:b/>
                <w:bCs/>
              </w:rPr>
              <w:t xml:space="preserve">21.62%</w:t>
            </w:r>
          </w:p>
        </w:tc>
        <w:tc>
          <w:tcPr/>
          <w:p>
            <w:pPr>
              <w:pStyle w:val="Compact"/>
              <w:jc w:val="center"/>
            </w:pPr>
            <w:r>
              <w:t xml:space="preserve">51.4%</w:t>
            </w:r>
          </w:p>
        </w:tc>
      </w:tr>
      <w:tr>
        <w:tc>
          <w:tcPr/>
          <w:p>
            <w:pPr>
              <w:pStyle w:val="Compact"/>
              <w:jc w:val="left"/>
            </w:pPr>
            <w:r>
              <w:rPr>
                <w:b/>
                <w:bCs/>
              </w:rPr>
              <w:t xml:space="preserve">Papillary</w:t>
            </w:r>
          </w:p>
        </w:tc>
        <w:tc>
          <w:tcPr/>
          <w:p>
            <w:pPr>
              <w:pStyle w:val="Compact"/>
              <w:jc w:val="center"/>
            </w:pPr>
            <w:r>
              <w:t xml:space="preserve">43</w:t>
            </w:r>
          </w:p>
        </w:tc>
        <w:tc>
          <w:tcPr/>
          <w:p>
            <w:pPr>
              <w:pStyle w:val="Compact"/>
              <w:jc w:val="center"/>
            </w:pPr>
            <w:r>
              <w:t xml:space="preserve">11</w:t>
            </w:r>
          </w:p>
        </w:tc>
        <w:tc>
          <w:tcPr/>
          <w:p>
            <w:pPr>
              <w:pStyle w:val="Compact"/>
              <w:jc w:val="center"/>
            </w:pPr>
            <w:r>
              <w:rPr>
                <w:b/>
                <w:bCs/>
              </w:rPr>
              <w:t xml:space="preserve">25.58%</w:t>
            </w:r>
          </w:p>
        </w:tc>
        <w:tc>
          <w:tcPr/>
          <w:p>
            <w:pPr>
              <w:pStyle w:val="Compact"/>
              <w:jc w:val="center"/>
            </w:pPr>
            <w:r>
              <w:t xml:space="preserve">76.7%</w:t>
            </w:r>
          </w:p>
        </w:tc>
      </w:tr>
      <w:tr>
        <w:tc>
          <w:tcPr/>
          <w:p>
            <w:pPr>
              <w:pStyle w:val="Compact"/>
              <w:jc w:val="left"/>
            </w:pPr>
            <w:r>
              <w:rPr>
                <w:b/>
                <w:bCs/>
              </w:rPr>
              <w:t xml:space="preserve">Solid</w:t>
            </w:r>
          </w:p>
        </w:tc>
        <w:tc>
          <w:tcPr/>
          <w:p>
            <w:pPr>
              <w:pStyle w:val="Compact"/>
              <w:jc w:val="center"/>
            </w:pPr>
            <w:r>
              <w:t xml:space="preserve">68</w:t>
            </w:r>
          </w:p>
        </w:tc>
        <w:tc>
          <w:tcPr/>
          <w:p>
            <w:pPr>
              <w:pStyle w:val="Compact"/>
              <w:jc w:val="center"/>
            </w:pPr>
            <w:r>
              <w:t xml:space="preserve">21</w:t>
            </w:r>
          </w:p>
        </w:tc>
        <w:tc>
          <w:tcPr/>
          <w:p>
            <w:pPr>
              <w:pStyle w:val="Compact"/>
              <w:jc w:val="center"/>
            </w:pPr>
            <w:r>
              <w:rPr>
                <w:b/>
                <w:bCs/>
              </w:rPr>
              <w:t xml:space="preserve">30.88%</w:t>
            </w:r>
          </w:p>
        </w:tc>
        <w:tc>
          <w:tcPr/>
          <w:p>
            <w:pPr>
              <w:pStyle w:val="Compact"/>
              <w:jc w:val="center"/>
            </w:pPr>
            <w:r>
              <w:t xml:space="preserve">57.4%</w:t>
            </w:r>
          </w:p>
        </w:tc>
      </w:tr>
      <w:tr>
        <w:tc>
          <w:tcPr/>
          <w:p>
            <w:pPr>
              <w:pStyle w:val="Compact"/>
              <w:jc w:val="left"/>
            </w:pPr>
            <w:r>
              <w:rPr>
                <w:b/>
                <w:bCs/>
              </w:rPr>
              <w:t xml:space="preserve">Total Cohort</w:t>
            </w:r>
          </w:p>
        </w:tc>
        <w:tc>
          <w:tcPr/>
          <w:p>
            <w:pPr>
              <w:pStyle w:val="Compact"/>
              <w:jc w:val="center"/>
            </w:pPr>
            <w:r>
              <w:rPr>
                <w:b/>
                <w:bCs/>
              </w:rPr>
              <w:t xml:space="preserve">604</w:t>
            </w:r>
          </w:p>
        </w:tc>
        <w:tc>
          <w:tcPr/>
          <w:p>
            <w:pPr>
              <w:pStyle w:val="Compact"/>
              <w:jc w:val="center"/>
            </w:pPr>
            <w:r>
              <w:rPr>
                <w:b/>
                <w:bCs/>
              </w:rPr>
              <w:t xml:space="preserve">98</w:t>
            </w:r>
          </w:p>
        </w:tc>
        <w:tc>
          <w:tcPr/>
          <w:p>
            <w:pPr>
              <w:pStyle w:val="Compact"/>
              <w:jc w:val="center"/>
            </w:pPr>
            <w:r>
              <w:rPr>
                <w:b/>
                <w:bCs/>
              </w:rPr>
              <w:t xml:space="preserve">16.23%</w:t>
            </w:r>
          </w:p>
        </w:tc>
        <w:tc>
          <w:tcPr/>
          <w:p>
            <w:pPr>
              <w:pStyle w:val="Compact"/>
              <w:jc w:val="center"/>
            </w:pPr>
            <w:r>
              <w:rPr>
                <w:b/>
                <w:bCs/>
              </w:rPr>
              <w:t xml:space="preserve">74.0%</w:t>
            </w:r>
          </w:p>
        </w:tc>
      </w:tr>
    </w:tbl>
    <w:p>
      <w:pPr>
        <w:pStyle w:val="BodyText"/>
      </w:pPr>
      <w:r>
        <w:t xml:space="preserve">The 5-group multivariate log-rank test confirmed significant survival differences across subtypes (</w:t>
      </w:r>
      <m:oMath>
        <m:sSup>
          <m:e>
            <m:r>
              <m:t>χ</m:t>
            </m:r>
          </m:e>
          <m:sup>
            <m:r>
              <m:t>2</m:t>
            </m:r>
          </m:sup>
        </m:sSup>
        <m:r>
          <m:rPr>
            <m:sty m:val="p"/>
          </m:rPr>
          <m:t>=</m:t>
        </m:r>
        <m:r>
          <m:t>24.52</m:t>
        </m:r>
        <m:r>
          <m:rPr>
            <m:sty m:val="p"/>
          </m:rPr>
          <m:t>,</m:t>
        </m:r>
        <m:r>
          <m:t>4</m:t>
        </m:r>
        <m:r>
          <m:rPr>
            <m:nor/>
            <m:sty m:val="p"/>
          </m:rPr>
          <m:t> df</m:t>
        </m:r>
        <m:r>
          <m:rPr>
            <m:sty m:val="p"/>
          </m:rPr>
          <m:t>,</m:t>
        </m:r>
        <m:r>
          <m:t>p</m:t>
        </m:r>
        <m:r>
          <m:rPr>
            <m:sty m:val="p"/>
          </m:rPr>
          <m:t>=</m:t>
        </m:r>
        <m:r>
          <m:t>6.27</m:t>
        </m:r>
        <m:r>
          <m:rPr>
            <m:sty m:val="p"/>
          </m:rPr>
          <m:t>×</m:t>
        </m:r>
        <m:sSup>
          <m:e>
            <m:r>
              <m:t>10</m:t>
            </m:r>
          </m:e>
          <m:sup>
            <m:r>
              <m:rPr>
                <m:sty m:val="p"/>
              </m:rPr>
              <m:t>−</m:t>
            </m:r>
            <m:r>
              <m:t>5</m:t>
            </m:r>
          </m:sup>
        </m:sSup>
      </m:oMath>
      <w:r>
        <w:t xml:space="preserve">). However, pathologic stage was strongly imbalanced (</w:t>
      </w:r>
      <w:r>
        <w:rPr>
          <w:b/>
          <w:bCs/>
        </w:rPr>
        <w:t xml:space="preserve">Table 4</w:t>
      </w:r>
      <w:r>
        <w:t xml:space="preserve">): 88.6% of lepidic tumours presented at Stage I, compared to only 51.4% of micropapillary and 57.4% of solid tumours.</w:t>
      </w:r>
    </w:p>
    <w:p>
      <w:r>
        <w:pict>
          <v:rect style="width:0;height:1.5pt" o:hralign="center" o:hrstd="t" o:hr="t"/>
        </w:pict>
      </w:r>
    </w:p>
    <w:bookmarkEnd w:id="47"/>
    <w:bookmarkEnd w:id="48"/>
    <w:bookmarkStart w:id="50" w:name="multivariable-survival-modeling-results"/>
    <w:p>
      <w:pPr>
        <w:pStyle w:val="Heading3"/>
      </w:pPr>
      <w:r>
        <w:t xml:space="preserve">4.2 Multivariable Survival Modeling Results</w:t>
      </w:r>
    </w:p>
    <w:bookmarkStart w:id="49" w:name="X629c8f90c3f5a83d8bdedc96fb6933f3b00a2bf"/>
    <w:p>
      <w:pPr>
        <w:pStyle w:val="Heading4"/>
      </w:pPr>
      <w:r>
        <w:t xml:space="preserve">Table 5. Stage-Adjusted Multivariable Cox Proportional Hazards Models</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Model Specification</w:t>
            </w:r>
          </w:p>
        </w:tc>
        <w:tc>
          <w:tcPr/>
          <w:p>
            <w:pPr>
              <w:pStyle w:val="Compact"/>
              <w:jc w:val="center"/>
            </w:pPr>
            <w:r>
              <w:t xml:space="preserve">Hazard Ratio (HR)</w:t>
            </w:r>
          </w:p>
        </w:tc>
        <w:tc>
          <w:tcPr/>
          <w:p>
            <w:pPr>
              <w:pStyle w:val="Compact"/>
              <w:jc w:val="center"/>
            </w:pPr>
            <w:r>
              <w:t xml:space="preserve">95% Confidence Interval</w:t>
            </w:r>
          </w:p>
        </w:tc>
        <w:tc>
          <w:tcPr/>
          <w:p>
            <w:pPr>
              <w:pStyle w:val="Compact"/>
              <w:jc w:val="center"/>
            </w:pPr>
            <w:r>
              <w:t xml:space="preserve">Unadjusted</w:t>
            </w:r>
            <w:r>
              <w:t xml:space="preserve"> </w:t>
            </w:r>
            <m:oMath>
              <m:r>
                <m:t>p</m:t>
              </m:r>
            </m:oMath>
            <w:r>
              <w:t xml:space="preserve">-value</w:t>
            </w:r>
          </w:p>
        </w:tc>
        <w:tc>
          <w:tcPr/>
          <w:p>
            <w:pPr>
              <w:pStyle w:val="Compact"/>
              <w:jc w:val="center"/>
            </w:pPr>
            <w:r>
              <w:t xml:space="preserve">Holm-Adjusted</w:t>
            </w:r>
            <w:r>
              <w:t xml:space="preserve"> </w:t>
            </w:r>
            <m:oMath>
              <m:r>
                <m:t>p</m:t>
              </m:r>
            </m:oMath>
            <w:r>
              <w:t xml:space="preserve">-value</w:t>
            </w:r>
          </w:p>
        </w:tc>
      </w:tr>
      <w:tr>
        <w:tc>
          <w:tcPr/>
          <w:p>
            <w:pPr>
              <w:pStyle w:val="Compact"/>
              <w:jc w:val="left"/>
            </w:pPr>
            <w:r>
              <w:rPr>
                <w:b/>
                <w:bCs/>
              </w:rPr>
              <w:t xml:space="preserve">Pairwise Contrasts vs Lepidic (4 tests):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Solid vs Lepidic</w:t>
            </w:r>
          </w:p>
        </w:tc>
        <w:tc>
          <w:tcPr/>
          <w:p>
            <w:pPr>
              <w:pStyle w:val="Compact"/>
              <w:jc w:val="center"/>
            </w:pPr>
            <w:r>
              <w:rPr>
                <w:b/>
                <w:bCs/>
              </w:rPr>
              <w:t xml:space="preserve">7.82</w:t>
            </w:r>
          </w:p>
        </w:tc>
        <w:tc>
          <w:tcPr/>
          <w:p>
            <w:pPr>
              <w:pStyle w:val="Compact"/>
              <w:jc w:val="center"/>
            </w:pPr>
            <w:r>
              <w:t xml:space="preserve">2.60 – 23.55</w:t>
            </w:r>
          </w:p>
        </w:tc>
        <w:tc>
          <w:tcPr/>
          <w:p>
            <w:pPr>
              <w:pStyle w:val="Compact"/>
              <w:jc w:val="center"/>
            </w:pPr>
            <m:oMath>
              <m:r>
                <m:t>0.00026</m:t>
              </m:r>
            </m:oMath>
          </w:p>
        </w:tc>
        <w:tc>
          <w:tcPr/>
          <w:p>
            <w:pPr>
              <w:pStyle w:val="Compact"/>
              <w:jc w:val="center"/>
            </w:pPr>
            <w:r>
              <w:rPr>
                <w:b/>
                <w:bCs/>
              </w:rPr>
              <w:t xml:space="preserve">0.0010</w:t>
            </w:r>
          </w:p>
        </w:tc>
      </w:tr>
      <w:tr>
        <w:tc>
          <w:tcPr/>
          <w:p>
            <w:pPr>
              <w:pStyle w:val="Compact"/>
              <w:jc w:val="left"/>
            </w:pPr>
            <w:r>
              <w:t xml:space="preserve">- Papillary vs Lepidic</w:t>
            </w:r>
          </w:p>
        </w:tc>
        <w:tc>
          <w:tcPr/>
          <w:p>
            <w:pPr>
              <w:pStyle w:val="Compact"/>
              <w:jc w:val="center"/>
            </w:pPr>
            <w:r>
              <w:rPr>
                <w:b/>
                <w:bCs/>
              </w:rPr>
              <w:t xml:space="preserve">6.07</w:t>
            </w:r>
          </w:p>
        </w:tc>
        <w:tc>
          <w:tcPr/>
          <w:p>
            <w:pPr>
              <w:pStyle w:val="Compact"/>
              <w:jc w:val="center"/>
            </w:pPr>
            <w:r>
              <w:t xml:space="preserve">1.91 – 19.32</w:t>
            </w:r>
          </w:p>
        </w:tc>
        <w:tc>
          <w:tcPr/>
          <w:p>
            <w:pPr>
              <w:pStyle w:val="Compact"/>
              <w:jc w:val="center"/>
            </w:pPr>
            <m:oMath>
              <m:r>
                <m:t>0.00226</m:t>
              </m:r>
            </m:oMath>
          </w:p>
        </w:tc>
        <w:tc>
          <w:tcPr/>
          <w:p>
            <w:pPr>
              <w:pStyle w:val="Compact"/>
              <w:jc w:val="center"/>
            </w:pPr>
            <w:r>
              <w:rPr>
                <w:b/>
                <w:bCs/>
              </w:rPr>
              <w:t xml:space="preserve">0.0068</w:t>
            </w:r>
          </w:p>
        </w:tc>
      </w:tr>
      <w:tr>
        <w:tc>
          <w:tcPr/>
          <w:p>
            <w:pPr>
              <w:pStyle w:val="Compact"/>
              <w:jc w:val="left"/>
            </w:pPr>
            <w:r>
              <w:t xml:space="preserve">- Acinar vs Lepidic</w:t>
            </w:r>
          </w:p>
        </w:tc>
        <w:tc>
          <w:tcPr/>
          <w:p>
            <w:pPr>
              <w:pStyle w:val="Compact"/>
              <w:jc w:val="center"/>
            </w:pPr>
            <w:r>
              <w:rPr>
                <w:b/>
                <w:bCs/>
              </w:rPr>
              <w:t xml:space="preserve">3.94</w:t>
            </w:r>
          </w:p>
        </w:tc>
        <w:tc>
          <w:tcPr/>
          <w:p>
            <w:pPr>
              <w:pStyle w:val="Compact"/>
              <w:jc w:val="center"/>
            </w:pPr>
            <w:r>
              <w:t xml:space="preserve">1.41 – 10.97</w:t>
            </w:r>
          </w:p>
        </w:tc>
        <w:tc>
          <w:tcPr/>
          <w:p>
            <w:pPr>
              <w:pStyle w:val="Compact"/>
              <w:jc w:val="center"/>
            </w:pPr>
            <m:oMath>
              <m:r>
                <m:t>0.00879</m:t>
              </m:r>
            </m:oMath>
          </w:p>
        </w:tc>
        <w:tc>
          <w:tcPr/>
          <w:p>
            <w:pPr>
              <w:pStyle w:val="Compact"/>
              <w:jc w:val="center"/>
            </w:pPr>
            <w:r>
              <w:rPr>
                <w:b/>
                <w:bCs/>
              </w:rPr>
              <w:t xml:space="preserve">0.0176</w:t>
            </w:r>
          </w:p>
        </w:tc>
      </w:tr>
      <w:tr>
        <w:tc>
          <w:tcPr/>
          <w:p>
            <w:pPr>
              <w:pStyle w:val="Compact"/>
              <w:jc w:val="left"/>
            </w:pPr>
            <w:r>
              <w:t xml:space="preserve">- Micropapillary vs Lepidic</w:t>
            </w:r>
          </w:p>
        </w:tc>
        <w:tc>
          <w:tcPr/>
          <w:p>
            <w:pPr>
              <w:pStyle w:val="Compact"/>
              <w:jc w:val="center"/>
            </w:pPr>
            <w:r>
              <w:rPr>
                <w:b/>
                <w:bCs/>
              </w:rPr>
              <w:t xml:space="preserve">3.85</w:t>
            </w:r>
          </w:p>
        </w:tc>
        <w:tc>
          <w:tcPr/>
          <w:p>
            <w:pPr>
              <w:pStyle w:val="Compact"/>
              <w:jc w:val="center"/>
            </w:pPr>
            <w:r>
              <w:t xml:space="preserve">0.97 – 15.34</w:t>
            </w:r>
          </w:p>
        </w:tc>
        <w:tc>
          <w:tcPr/>
          <w:p>
            <w:pPr>
              <w:pStyle w:val="Compact"/>
              <w:jc w:val="center"/>
            </w:pPr>
            <m:oMath>
              <m:r>
                <m:t>0.05587</m:t>
              </m:r>
            </m:oMath>
          </w:p>
        </w:tc>
        <w:tc>
          <w:tcPr/>
          <w:p>
            <w:pPr>
              <w:pStyle w:val="Compact"/>
              <w:jc w:val="center"/>
            </w:pPr>
            <w:r>
              <w:t xml:space="preserve">0.0559</w:t>
            </w:r>
          </w:p>
        </w:tc>
      </w:tr>
      <w:tr>
        <w:tc>
          <w:tcPr/>
          <w:p>
            <w:pPr>
              <w:pStyle w:val="Compact"/>
              <w:jc w:val="left"/>
            </w:pPr>
            <w:r>
              <w:rPr>
                <w:b/>
                <w:bCs/>
              </w:rPr>
              <w:t xml:space="preserve">All 10 Pairwise Contrasts (10-fold Holm):</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Solid vs Lepidic</w:t>
            </w:r>
          </w:p>
        </w:tc>
        <w:tc>
          <w:tcPr/>
          <w:p>
            <w:pPr>
              <w:pStyle w:val="Compact"/>
              <w:jc w:val="center"/>
            </w:pPr>
            <w:r>
              <w:rPr>
                <w:b/>
                <w:bCs/>
              </w:rPr>
              <w:t xml:space="preserve">7.82</w:t>
            </w:r>
          </w:p>
        </w:tc>
        <w:tc>
          <w:tcPr/>
          <w:p>
            <w:pPr>
              <w:pStyle w:val="Compact"/>
              <w:jc w:val="center"/>
            </w:pPr>
            <w:r>
              <w:t xml:space="preserve">2.60 – 23.55</w:t>
            </w:r>
          </w:p>
        </w:tc>
        <w:tc>
          <w:tcPr/>
          <w:p>
            <w:pPr>
              <w:pStyle w:val="Compact"/>
              <w:jc w:val="center"/>
            </w:pPr>
            <m:oMath>
              <m:r>
                <m:t>0.00026</m:t>
              </m:r>
            </m:oMath>
          </w:p>
        </w:tc>
        <w:tc>
          <w:tcPr/>
          <w:p>
            <w:pPr>
              <w:pStyle w:val="Compact"/>
              <w:jc w:val="center"/>
            </w:pPr>
            <w:r>
              <w:rPr>
                <w:b/>
                <w:bCs/>
              </w:rPr>
              <w:t xml:space="preserve">0.0026</w:t>
            </w:r>
          </w:p>
        </w:tc>
      </w:tr>
      <w:tr>
        <w:tc>
          <w:tcPr/>
          <w:p>
            <w:pPr>
              <w:pStyle w:val="Compact"/>
              <w:jc w:val="left"/>
            </w:pPr>
            <w:r>
              <w:t xml:space="preserve">- Papillary vs Lepidic</w:t>
            </w:r>
          </w:p>
        </w:tc>
        <w:tc>
          <w:tcPr/>
          <w:p>
            <w:pPr>
              <w:pStyle w:val="Compact"/>
              <w:jc w:val="center"/>
            </w:pPr>
            <w:r>
              <w:rPr>
                <w:b/>
                <w:bCs/>
              </w:rPr>
              <w:t xml:space="preserve">6.07</w:t>
            </w:r>
          </w:p>
        </w:tc>
        <w:tc>
          <w:tcPr/>
          <w:p>
            <w:pPr>
              <w:pStyle w:val="Compact"/>
              <w:jc w:val="center"/>
            </w:pPr>
            <w:r>
              <w:t xml:space="preserve">1.91 – 19.32</w:t>
            </w:r>
          </w:p>
        </w:tc>
        <w:tc>
          <w:tcPr/>
          <w:p>
            <w:pPr>
              <w:pStyle w:val="Compact"/>
              <w:jc w:val="center"/>
            </w:pPr>
            <m:oMath>
              <m:r>
                <m:t>0.00226</m:t>
              </m:r>
            </m:oMath>
          </w:p>
        </w:tc>
        <w:tc>
          <w:tcPr/>
          <w:p>
            <w:pPr>
              <w:pStyle w:val="Compact"/>
              <w:jc w:val="center"/>
            </w:pPr>
            <w:r>
              <w:rPr>
                <w:b/>
                <w:bCs/>
              </w:rPr>
              <w:t xml:space="preserve">0.0203</w:t>
            </w:r>
          </w:p>
        </w:tc>
      </w:tr>
      <w:tr>
        <w:tc>
          <w:tcPr/>
          <w:p>
            <w:pPr>
              <w:pStyle w:val="Compact"/>
              <w:jc w:val="left"/>
            </w:pPr>
            <w:r>
              <w:t xml:space="preserve">- Acinar vs Lepidic</w:t>
            </w:r>
          </w:p>
        </w:tc>
        <w:tc>
          <w:tcPr/>
          <w:p>
            <w:pPr>
              <w:pStyle w:val="Compact"/>
              <w:jc w:val="center"/>
            </w:pPr>
            <w:r>
              <w:rPr>
                <w:b/>
                <w:bCs/>
              </w:rPr>
              <w:t xml:space="preserve">3.94</w:t>
            </w:r>
          </w:p>
        </w:tc>
        <w:tc>
          <w:tcPr/>
          <w:p>
            <w:pPr>
              <w:pStyle w:val="Compact"/>
              <w:jc w:val="center"/>
            </w:pPr>
            <w:r>
              <w:t xml:space="preserve">1.41 – 10.97</w:t>
            </w:r>
          </w:p>
        </w:tc>
        <w:tc>
          <w:tcPr/>
          <w:p>
            <w:pPr>
              <w:pStyle w:val="Compact"/>
              <w:jc w:val="center"/>
            </w:pPr>
            <m:oMath>
              <m:r>
                <m:t>0.00879</m:t>
              </m:r>
            </m:oMath>
          </w:p>
        </w:tc>
        <w:tc>
          <w:tcPr/>
          <w:p>
            <w:pPr>
              <w:pStyle w:val="Compact"/>
              <w:jc w:val="center"/>
            </w:pPr>
            <w:r>
              <w:t xml:space="preserve">0.0703</w:t>
            </w:r>
          </w:p>
        </w:tc>
      </w:tr>
      <w:tr>
        <w:tc>
          <w:tcPr/>
          <w:p>
            <w:pPr>
              <w:pStyle w:val="Compact"/>
              <w:jc w:val="left"/>
            </w:pPr>
            <w:r>
              <w:t xml:space="preserve">- Micropapillary vs Lepidic</w:t>
            </w:r>
          </w:p>
        </w:tc>
        <w:tc>
          <w:tcPr/>
          <w:p>
            <w:pPr>
              <w:pStyle w:val="Compact"/>
              <w:jc w:val="center"/>
            </w:pPr>
            <w:r>
              <w:rPr>
                <w:b/>
                <w:bCs/>
              </w:rPr>
              <w:t xml:space="preserve">3.85</w:t>
            </w:r>
          </w:p>
        </w:tc>
        <w:tc>
          <w:tcPr/>
          <w:p>
            <w:pPr>
              <w:pStyle w:val="Compact"/>
              <w:jc w:val="center"/>
            </w:pPr>
            <w:r>
              <w:t xml:space="preserve">0.97 – 15.34</w:t>
            </w:r>
          </w:p>
        </w:tc>
        <w:tc>
          <w:tcPr/>
          <w:p>
            <w:pPr>
              <w:pStyle w:val="Compact"/>
              <w:jc w:val="center"/>
            </w:pPr>
            <m:oMath>
              <m:r>
                <m:t>0.05587</m:t>
              </m:r>
            </m:oMath>
          </w:p>
        </w:tc>
        <w:tc>
          <w:tcPr/>
          <w:p>
            <w:pPr>
              <w:pStyle w:val="Compact"/>
              <w:jc w:val="center"/>
            </w:pPr>
            <w:r>
              <w:t xml:space="preserve">0.3911</w:t>
            </w:r>
          </w:p>
        </w:tc>
      </w:tr>
      <w:tr>
        <w:tc>
          <w:tcPr/>
          <w:p>
            <w:pPr>
              <w:pStyle w:val="Compact"/>
              <w:jc w:val="left"/>
            </w:pPr>
            <w:r>
              <w:t xml:space="preserve">- Solid vs Acinar</w:t>
            </w:r>
          </w:p>
        </w:tc>
        <w:tc>
          <w:tcPr/>
          <w:p>
            <w:pPr>
              <w:pStyle w:val="Compact"/>
              <w:jc w:val="center"/>
            </w:pPr>
            <w:r>
              <w:rPr>
                <w:b/>
                <w:bCs/>
              </w:rPr>
              <w:t xml:space="preserve">1.45</w:t>
            </w:r>
          </w:p>
        </w:tc>
        <w:tc>
          <w:tcPr/>
          <w:p>
            <w:pPr>
              <w:pStyle w:val="Compact"/>
              <w:jc w:val="center"/>
            </w:pPr>
            <w:r>
              <w:t xml:space="preserve">0.87 – 2.44</w:t>
            </w:r>
          </w:p>
        </w:tc>
        <w:tc>
          <w:tcPr/>
          <w:p>
            <w:pPr>
              <w:pStyle w:val="Compact"/>
              <w:jc w:val="center"/>
            </w:pPr>
            <m:oMath>
              <m:r>
                <m:t>0.15733</m:t>
              </m:r>
            </m:oMath>
          </w:p>
        </w:tc>
        <w:tc>
          <w:tcPr/>
          <w:p>
            <w:pPr>
              <w:pStyle w:val="Compact"/>
              <w:jc w:val="center"/>
            </w:pPr>
            <w:r>
              <w:t xml:space="preserve">0.9440</w:t>
            </w:r>
          </w:p>
        </w:tc>
      </w:tr>
      <w:tr>
        <w:tc>
          <w:tcPr/>
          <w:p>
            <w:pPr>
              <w:pStyle w:val="Compact"/>
              <w:jc w:val="left"/>
            </w:pPr>
            <w:r>
              <w:t xml:space="preserve">- Papillary vs Acinar</w:t>
            </w:r>
          </w:p>
        </w:tc>
        <w:tc>
          <w:tcPr/>
          <w:p>
            <w:pPr>
              <w:pStyle w:val="Compact"/>
              <w:jc w:val="center"/>
            </w:pPr>
            <w:r>
              <w:rPr>
                <w:b/>
                <w:bCs/>
              </w:rPr>
              <w:t xml:space="preserve">1.53</w:t>
            </w:r>
          </w:p>
        </w:tc>
        <w:tc>
          <w:tcPr/>
          <w:p>
            <w:pPr>
              <w:pStyle w:val="Compact"/>
              <w:jc w:val="center"/>
            </w:pPr>
            <w:r>
              <w:t xml:space="preserve">0.79 – 2.97</w:t>
            </w:r>
          </w:p>
        </w:tc>
        <w:tc>
          <w:tcPr/>
          <w:p>
            <w:pPr>
              <w:pStyle w:val="Compact"/>
              <w:jc w:val="center"/>
            </w:pPr>
            <m:oMath>
              <m:r>
                <m:t>0.20889</m:t>
              </m:r>
            </m:oMath>
          </w:p>
        </w:tc>
        <w:tc>
          <w:tcPr/>
          <w:p>
            <w:pPr>
              <w:pStyle w:val="Compact"/>
              <w:jc w:val="center"/>
            </w:pPr>
            <w:r>
              <w:t xml:space="preserve">1.0000</w:t>
            </w:r>
          </w:p>
        </w:tc>
      </w:tr>
      <w:tr>
        <w:tc>
          <w:tcPr/>
          <w:p>
            <w:pPr>
              <w:pStyle w:val="Compact"/>
              <w:jc w:val="left"/>
            </w:pPr>
            <w:r>
              <w:t xml:space="preserve">- Solid vs Micropapillary</w:t>
            </w:r>
          </w:p>
        </w:tc>
        <w:tc>
          <w:tcPr/>
          <w:p>
            <w:pPr>
              <w:pStyle w:val="Compact"/>
              <w:jc w:val="center"/>
            </w:pPr>
            <w:r>
              <w:rPr>
                <w:b/>
                <w:bCs/>
              </w:rPr>
              <w:t xml:space="preserve">1.72</w:t>
            </w:r>
          </w:p>
        </w:tc>
        <w:tc>
          <w:tcPr/>
          <w:p>
            <w:pPr>
              <w:pStyle w:val="Compact"/>
              <w:jc w:val="center"/>
            </w:pPr>
            <w:r>
              <w:t xml:space="preserve">0.72 – 4.10</w:t>
            </w:r>
          </w:p>
        </w:tc>
        <w:tc>
          <w:tcPr/>
          <w:p>
            <w:pPr>
              <w:pStyle w:val="Compact"/>
              <w:jc w:val="center"/>
            </w:pPr>
            <m:oMath>
              <m:r>
                <m:t>0.22416</m:t>
              </m:r>
            </m:oMath>
          </w:p>
        </w:tc>
        <w:tc>
          <w:tcPr/>
          <w:p>
            <w:pPr>
              <w:pStyle w:val="Compact"/>
              <w:jc w:val="center"/>
            </w:pPr>
            <w:r>
              <w:t xml:space="preserve">0.8966</w:t>
            </w:r>
          </w:p>
        </w:tc>
      </w:tr>
      <w:tr>
        <w:tc>
          <w:tcPr/>
          <w:p>
            <w:pPr>
              <w:pStyle w:val="Compact"/>
              <w:jc w:val="left"/>
            </w:pPr>
            <w:r>
              <w:t xml:space="preserve">- Micropapillary vs Acinar</w:t>
            </w:r>
          </w:p>
        </w:tc>
        <w:tc>
          <w:tcPr/>
          <w:p>
            <w:pPr>
              <w:pStyle w:val="Compact"/>
              <w:jc w:val="center"/>
            </w:pPr>
            <w:r>
              <w:rPr>
                <w:b/>
                <w:bCs/>
              </w:rPr>
              <w:t xml:space="preserve">0.67</w:t>
            </w:r>
          </w:p>
        </w:tc>
        <w:tc>
          <w:tcPr/>
          <w:p>
            <w:pPr>
              <w:pStyle w:val="Compact"/>
              <w:jc w:val="center"/>
            </w:pPr>
            <w:r>
              <w:t xml:space="preserve">0.30 – 1.50</w:t>
            </w:r>
          </w:p>
        </w:tc>
        <w:tc>
          <w:tcPr/>
          <w:p>
            <w:pPr>
              <w:pStyle w:val="Compact"/>
              <w:jc w:val="center"/>
            </w:pPr>
            <m:oMath>
              <m:r>
                <m:t>0.33304</m:t>
              </m:r>
            </m:oMath>
          </w:p>
        </w:tc>
        <w:tc>
          <w:tcPr/>
          <w:p>
            <w:pPr>
              <w:pStyle w:val="Compact"/>
              <w:jc w:val="center"/>
            </w:pPr>
            <w:r>
              <w:t xml:space="preserve">0.9991</w:t>
            </w:r>
          </w:p>
        </w:tc>
      </w:tr>
      <w:tr>
        <w:tc>
          <w:tcPr/>
          <w:p>
            <w:pPr>
              <w:pStyle w:val="Compact"/>
              <w:jc w:val="left"/>
            </w:pPr>
            <w:r>
              <w:t xml:space="preserve">- Micropapillary vs Papillary</w:t>
            </w:r>
          </w:p>
        </w:tc>
        <w:tc>
          <w:tcPr/>
          <w:p>
            <w:pPr>
              <w:pStyle w:val="Compact"/>
              <w:jc w:val="center"/>
            </w:pPr>
            <w:r>
              <w:rPr>
                <w:b/>
                <w:bCs/>
              </w:rPr>
              <w:t xml:space="preserve">0.68</w:t>
            </w:r>
          </w:p>
        </w:tc>
        <w:tc>
          <w:tcPr/>
          <w:p>
            <w:pPr>
              <w:pStyle w:val="Compact"/>
              <w:jc w:val="center"/>
            </w:pPr>
            <w:r>
              <w:t xml:space="preserve">0.25 – 1.83</w:t>
            </w:r>
          </w:p>
        </w:tc>
        <w:tc>
          <w:tcPr/>
          <w:p>
            <w:pPr>
              <w:pStyle w:val="Compact"/>
              <w:jc w:val="center"/>
            </w:pPr>
            <m:oMath>
              <m:r>
                <m:t>0.44273</m:t>
              </m:r>
            </m:oMath>
          </w:p>
        </w:tc>
        <w:tc>
          <w:tcPr/>
          <w:p>
            <w:pPr>
              <w:pStyle w:val="Compact"/>
              <w:jc w:val="center"/>
            </w:pPr>
            <w:r>
              <w:t xml:space="preserve">0.8855</w:t>
            </w:r>
          </w:p>
        </w:tc>
      </w:tr>
      <w:tr>
        <w:tc>
          <w:tcPr/>
          <w:p>
            <w:pPr>
              <w:pStyle w:val="Compact"/>
              <w:jc w:val="left"/>
            </w:pPr>
            <w:r>
              <w:t xml:space="preserve">- Solid vs Papillary</w:t>
            </w:r>
          </w:p>
        </w:tc>
        <w:tc>
          <w:tcPr/>
          <w:p>
            <w:pPr>
              <w:pStyle w:val="Compact"/>
              <w:jc w:val="center"/>
            </w:pPr>
            <w:r>
              <w:rPr>
                <w:b/>
                <w:bCs/>
              </w:rPr>
              <w:t xml:space="preserve">1.35</w:t>
            </w:r>
          </w:p>
        </w:tc>
        <w:tc>
          <w:tcPr/>
          <w:p>
            <w:pPr>
              <w:pStyle w:val="Compact"/>
              <w:jc w:val="center"/>
            </w:pPr>
            <w:r>
              <w:t xml:space="preserve">0.62 – 2.96</w:t>
            </w:r>
          </w:p>
        </w:tc>
        <w:tc>
          <w:tcPr/>
          <w:p>
            <w:pPr>
              <w:pStyle w:val="Compact"/>
              <w:jc w:val="center"/>
            </w:pPr>
            <m:oMath>
              <m:r>
                <m:t>0.45435</m:t>
              </m:r>
            </m:oMath>
          </w:p>
        </w:tc>
        <w:tc>
          <w:tcPr/>
          <w:p>
            <w:pPr>
              <w:pStyle w:val="Compact"/>
              <w:jc w:val="center"/>
            </w:pPr>
            <w:r>
              <w:t xml:space="preserve">0.4544</w:t>
            </w:r>
          </w:p>
        </w:tc>
      </w:tr>
      <w:tr>
        <w:tc>
          <w:tcPr/>
          <w:p>
            <w:pPr>
              <w:pStyle w:val="Compact"/>
              <w:jc w:val="left"/>
            </w:pPr>
            <w:r>
              <w:rPr>
                <w:b/>
                <w:bCs/>
              </w:rPr>
              <w:t xml:space="preserve">Composite Architectural Contrasts: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Solid/Micro vs Lepidic (</w:t>
            </w:r>
            <m:oMath>
              <m:r>
                <m:t>N</m:t>
              </m:r>
              <m:r>
                <m:rPr>
                  <m:sty m:val="p"/>
                </m:rPr>
                <m:t>=</m:t>
              </m:r>
              <m:r>
                <m:t>193</m:t>
              </m:r>
            </m:oMath>
            <w:r>
              <w:t xml:space="preserve">, 33 events)</w:t>
            </w:r>
          </w:p>
        </w:tc>
        <w:tc>
          <w:tcPr/>
          <w:p>
            <w:pPr>
              <w:pStyle w:val="Compact"/>
              <w:jc w:val="center"/>
            </w:pPr>
            <w:r>
              <w:rPr>
                <w:b/>
                <w:bCs/>
              </w:rPr>
              <w:t xml:space="preserve">6.75</w:t>
            </w:r>
          </w:p>
        </w:tc>
        <w:tc>
          <w:tcPr/>
          <w:p>
            <w:pPr>
              <w:pStyle w:val="Compact"/>
              <w:jc w:val="center"/>
            </w:pPr>
            <w:r>
              <w:t xml:space="preserve">2.28 – 19.97</w:t>
            </w:r>
          </w:p>
        </w:tc>
        <w:tc>
          <w:tcPr/>
          <w:p>
            <w:pPr>
              <w:pStyle w:val="Compact"/>
              <w:jc w:val="center"/>
            </w:pPr>
            <m:oMath>
              <m:r>
                <m:t>5.52</m:t>
              </m:r>
              <m:r>
                <m:rPr>
                  <m:sty m:val="p"/>
                </m:rPr>
                <m:t>×</m:t>
              </m:r>
              <m:sSup>
                <m:e>
                  <m:r>
                    <m:t>10</m:t>
                  </m:r>
                </m:e>
                <m:sup>
                  <m:r>
                    <m:rPr>
                      <m:sty m:val="p"/>
                    </m:rPr>
                    <m:t>−</m:t>
                  </m:r>
                  <m:r>
                    <m:t>4</m:t>
                  </m:r>
                </m:sup>
              </m:sSup>
            </m:oMath>
          </w:p>
        </w:tc>
        <w:tc>
          <w:tcPr/>
          <w:p>
            <w:pPr>
              <w:pStyle w:val="Compact"/>
              <w:jc w:val="center"/>
            </w:pPr>
            <w:r>
              <w:t xml:space="preserve">—</w:t>
            </w:r>
          </w:p>
        </w:tc>
      </w:tr>
      <w:tr>
        <w:tc>
          <w:tcPr/>
          <w:p>
            <w:pPr>
              <w:pStyle w:val="Compact"/>
              <w:jc w:val="left"/>
            </w:pPr>
            <w:r>
              <w:t xml:space="preserve">- …extended model (+ stage, sex, smoking,</w:t>
            </w:r>
            <w:r>
              <w:t xml:space="preserve"> </w:t>
            </w:r>
            <w:r>
              <w:rPr>
                <w:i/>
                <w:iCs/>
              </w:rPr>
              <w:t xml:space="preserve">EGFR</w:t>
            </w:r>
            <w:r>
              <w:t xml:space="preserve">)</w:t>
            </w:r>
          </w:p>
        </w:tc>
        <w:tc>
          <w:tcPr/>
          <w:p>
            <w:pPr>
              <w:pStyle w:val="Compact"/>
              <w:jc w:val="center"/>
            </w:pPr>
            <w:r>
              <w:rPr>
                <w:b/>
                <w:bCs/>
              </w:rPr>
              <w:t xml:space="preserve">7.15</w:t>
            </w:r>
          </w:p>
        </w:tc>
        <w:tc>
          <w:tcPr/>
          <w:p>
            <w:pPr>
              <w:pStyle w:val="Compact"/>
              <w:jc w:val="center"/>
            </w:pPr>
            <w:r>
              <w:t xml:space="preserve">2.40 – 21.33</w:t>
            </w:r>
          </w:p>
        </w:tc>
        <w:tc>
          <w:tcPr/>
          <w:p>
            <w:pPr>
              <w:pStyle w:val="Compact"/>
              <w:jc w:val="center"/>
            </w:pPr>
            <m:oMath>
              <m:r>
                <m:t>4.18</m:t>
              </m:r>
              <m:r>
                <m:rPr>
                  <m:sty m:val="p"/>
                </m:rPr>
                <m:t>×</m:t>
              </m:r>
              <m:sSup>
                <m:e>
                  <m:r>
                    <m:t>10</m:t>
                  </m:r>
                </m:e>
                <m:sup>
                  <m:r>
                    <m:rPr>
                      <m:sty m:val="p"/>
                    </m:rPr>
                    <m:t>−</m:t>
                  </m:r>
                  <m:r>
                    <m:t>4</m:t>
                  </m:r>
                </m:sup>
              </m:sSup>
            </m:oMath>
          </w:p>
        </w:tc>
        <w:tc>
          <w:tcPr/>
          <w:p>
            <w:pPr>
              <w:pStyle w:val="Compact"/>
              <w:jc w:val="center"/>
            </w:pPr>
            <w:r>
              <w:t xml:space="preserve">—</w:t>
            </w:r>
          </w:p>
        </w:tc>
      </w:tr>
      <w:tr>
        <w:tc>
          <w:tcPr/>
          <w:p>
            <w:pPr>
              <w:pStyle w:val="Compact"/>
              <w:jc w:val="left"/>
            </w:pPr>
            <w:r>
              <w:t xml:space="preserve">- Solid/Micro vs All Others (</w:t>
            </w:r>
            <m:oMath>
              <m:r>
                <m:t>N</m:t>
              </m:r>
              <m:r>
                <m:rPr>
                  <m:sty m:val="p"/>
                </m:rPr>
                <m:t>=</m:t>
              </m:r>
              <m:r>
                <m:t>604</m:t>
              </m:r>
            </m:oMath>
            <w:r>
              <w:t xml:space="preserve">, 98 events)</w:t>
            </w:r>
          </w:p>
        </w:tc>
        <w:tc>
          <w:tcPr/>
          <w:p>
            <w:pPr>
              <w:pStyle w:val="Compact"/>
              <w:jc w:val="center"/>
            </w:pPr>
            <w:r>
              <w:rPr>
                <w:b/>
                <w:bCs/>
              </w:rPr>
              <w:t xml:space="preserve">1.32</w:t>
            </w:r>
          </w:p>
        </w:tc>
        <w:tc>
          <w:tcPr/>
          <w:p>
            <w:pPr>
              <w:pStyle w:val="Compact"/>
              <w:jc w:val="center"/>
            </w:pPr>
            <w:r>
              <w:t xml:space="preserve">0.83 – 2.08</w:t>
            </w:r>
          </w:p>
        </w:tc>
        <w:tc>
          <w:tcPr/>
          <w:p>
            <w:pPr>
              <w:pStyle w:val="Compact"/>
              <w:jc w:val="center"/>
            </w:pPr>
            <m:oMath>
              <m:r>
                <m:t>0.2384</m:t>
              </m:r>
            </m:oMath>
          </w:p>
        </w:tc>
        <w:tc>
          <w:tcPr/>
          <w:p>
            <w:pPr>
              <w:pStyle w:val="Compact"/>
              <w:jc w:val="center"/>
            </w:pPr>
            <w:r>
              <w:t xml:space="preserve">—</w:t>
            </w:r>
          </w:p>
        </w:tc>
      </w:tr>
      <w:tr>
        <w:tc>
          <w:tcPr/>
          <w:p>
            <w:pPr>
              <w:pStyle w:val="Compact"/>
              <w:jc w:val="left"/>
            </w:pPr>
            <w:r>
              <w:t xml:space="preserve">- …plus</w:t>
            </w:r>
            <w:r>
              <w:t xml:space="preserve"> </w:t>
            </w:r>
            <w:r>
              <w:rPr>
                <w:i/>
                <w:iCs/>
              </w:rPr>
              <w:t xml:space="preserve">EGFR</w:t>
            </w:r>
            <w:r>
              <w:t xml:space="preserve"> </w:t>
            </w:r>
            <w:r>
              <w:t xml:space="preserve">status (</w:t>
            </w:r>
            <m:oMath>
              <m:r>
                <m:t>N</m:t>
              </m:r>
              <m:r>
                <m:rPr>
                  <m:sty m:val="p"/>
                </m:rPr>
                <m:t>=</m:t>
              </m:r>
              <m:r>
                <m:t>604</m:t>
              </m:r>
            </m:oMath>
            <w:r>
              <w:t xml:space="preserve">)</w:t>
            </w:r>
          </w:p>
        </w:tc>
        <w:tc>
          <w:tcPr/>
          <w:p>
            <w:pPr>
              <w:pStyle w:val="Compact"/>
              <w:jc w:val="center"/>
            </w:pPr>
            <w:r>
              <w:rPr>
                <w:b/>
                <w:bCs/>
              </w:rPr>
              <w:t xml:space="preserve">1.30</w:t>
            </w:r>
          </w:p>
        </w:tc>
        <w:tc>
          <w:tcPr/>
          <w:p>
            <w:pPr>
              <w:pStyle w:val="Compact"/>
              <w:jc w:val="center"/>
            </w:pPr>
            <w:r>
              <w:t xml:space="preserve">0.82 – 2.07</w:t>
            </w:r>
          </w:p>
        </w:tc>
        <w:tc>
          <w:tcPr/>
          <w:p>
            <w:pPr>
              <w:pStyle w:val="Compact"/>
              <w:jc w:val="center"/>
            </w:pPr>
            <m:oMath>
              <m:r>
                <m:t>0.2581</m:t>
              </m:r>
            </m:oMath>
          </w:p>
        </w:tc>
        <w:tc>
          <w:tcPr/>
          <w:p>
            <w:pPr>
              <w:pStyle w:val="Compact"/>
              <w:jc w:val="center"/>
            </w:pPr>
            <w:r>
              <w:t xml:space="preserve">—</w:t>
            </w:r>
          </w:p>
        </w:tc>
      </w:tr>
      <w:tr>
        <w:tc>
          <w:tcPr/>
          <w:p>
            <w:pPr>
              <w:pStyle w:val="Compact"/>
              <w:jc w:val="left"/>
            </w:pPr>
            <w:r>
              <w:rPr>
                <w:b/>
                <w:bCs/>
              </w:rPr>
              <w:t xml:space="preserve">5-Subtype Model (Acinar Reference):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Lepidic</w:t>
            </w:r>
          </w:p>
        </w:tc>
        <w:tc>
          <w:tcPr/>
          <w:p>
            <w:pPr>
              <w:pStyle w:val="Compact"/>
              <w:jc w:val="center"/>
            </w:pPr>
            <w:r>
              <w:rPr>
                <w:b/>
                <w:bCs/>
              </w:rPr>
              <w:t xml:space="preserve">0.25</w:t>
            </w:r>
          </w:p>
        </w:tc>
        <w:tc>
          <w:tcPr/>
          <w:p>
            <w:pPr>
              <w:pStyle w:val="Compact"/>
              <w:jc w:val="center"/>
            </w:pPr>
            <w:r>
              <w:t xml:space="preserve">0.09 – 0.70</w:t>
            </w:r>
          </w:p>
        </w:tc>
        <w:tc>
          <w:tcPr/>
          <w:p>
            <w:pPr>
              <w:pStyle w:val="Compact"/>
              <w:jc w:val="center"/>
            </w:pPr>
            <w:r>
              <w:rPr>
                <w:b/>
                <w:bCs/>
              </w:rPr>
              <w:t xml:space="preserve">0.0084</w:t>
            </w:r>
          </w:p>
        </w:tc>
        <w:tc>
          <w:tcPr/>
          <w:p>
            <w:pPr>
              <w:pStyle w:val="Compact"/>
              <w:jc w:val="center"/>
            </w:pPr>
            <w:r>
              <w:t xml:space="preserve">—</w:t>
            </w:r>
          </w:p>
        </w:tc>
      </w:tr>
      <w:tr>
        <w:tc>
          <w:tcPr/>
          <w:p>
            <w:pPr>
              <w:pStyle w:val="Compact"/>
              <w:jc w:val="left"/>
            </w:pPr>
            <w:r>
              <w:t xml:space="preserve">- Solid</w:t>
            </w:r>
          </w:p>
        </w:tc>
        <w:tc>
          <w:tcPr/>
          <w:p>
            <w:pPr>
              <w:pStyle w:val="Compact"/>
              <w:jc w:val="center"/>
            </w:pPr>
            <w:r>
              <w:rPr>
                <w:b/>
                <w:bCs/>
              </w:rPr>
              <w:t xml:space="preserve">1.48</w:t>
            </w:r>
          </w:p>
        </w:tc>
        <w:tc>
          <w:tcPr/>
          <w:p>
            <w:pPr>
              <w:pStyle w:val="Compact"/>
              <w:jc w:val="center"/>
            </w:pPr>
            <w:r>
              <w:t xml:space="preserve">0.89 – 2.49</w:t>
            </w:r>
          </w:p>
        </w:tc>
        <w:tc>
          <w:tcPr/>
          <w:p>
            <w:pPr>
              <w:pStyle w:val="Compact"/>
              <w:jc w:val="center"/>
            </w:pPr>
            <m:oMath>
              <m:r>
                <m:t>0.1334</m:t>
              </m:r>
            </m:oMath>
          </w:p>
        </w:tc>
        <w:tc>
          <w:tcPr/>
          <w:p>
            <w:pPr>
              <w:pStyle w:val="Compact"/>
              <w:jc w:val="center"/>
            </w:pPr>
            <w:r>
              <w:t xml:space="preserve">—</w:t>
            </w:r>
          </w:p>
        </w:tc>
      </w:tr>
      <w:tr>
        <w:tc>
          <w:tcPr/>
          <w:p>
            <w:pPr>
              <w:pStyle w:val="Compact"/>
              <w:jc w:val="left"/>
            </w:pPr>
            <w:r>
              <w:t xml:space="preserve">- Papillary</w:t>
            </w:r>
          </w:p>
        </w:tc>
        <w:tc>
          <w:tcPr/>
          <w:p>
            <w:pPr>
              <w:pStyle w:val="Compact"/>
              <w:jc w:val="center"/>
            </w:pPr>
            <w:r>
              <w:rPr>
                <w:b/>
                <w:bCs/>
              </w:rPr>
              <w:t xml:space="preserve">1.51</w:t>
            </w:r>
          </w:p>
        </w:tc>
        <w:tc>
          <w:tcPr/>
          <w:p>
            <w:pPr>
              <w:pStyle w:val="Compact"/>
              <w:jc w:val="center"/>
            </w:pPr>
            <w:r>
              <w:t xml:space="preserve">0.79 – 2.92</w:t>
            </w:r>
          </w:p>
        </w:tc>
        <w:tc>
          <w:tcPr/>
          <w:p>
            <w:pPr>
              <w:pStyle w:val="Compact"/>
              <w:jc w:val="center"/>
            </w:pPr>
            <m:oMath>
              <m:r>
                <m:t>0.2149</m:t>
              </m:r>
            </m:oMath>
          </w:p>
        </w:tc>
        <w:tc>
          <w:tcPr/>
          <w:p>
            <w:pPr>
              <w:pStyle w:val="Compact"/>
              <w:jc w:val="center"/>
            </w:pPr>
            <w:r>
              <w:t xml:space="preserve">—</w:t>
            </w:r>
          </w:p>
        </w:tc>
      </w:tr>
      <w:tr>
        <w:tc>
          <w:tcPr/>
          <w:p>
            <w:pPr>
              <w:pStyle w:val="Compact"/>
              <w:jc w:val="left"/>
            </w:pPr>
            <w:r>
              <w:t xml:space="preserve">- Micropapillary</w:t>
            </w:r>
          </w:p>
        </w:tc>
        <w:tc>
          <w:tcPr/>
          <w:p>
            <w:pPr>
              <w:pStyle w:val="Compact"/>
              <w:jc w:val="center"/>
            </w:pPr>
            <w:r>
              <w:rPr>
                <w:b/>
                <w:bCs/>
              </w:rPr>
              <w:t xml:space="preserve">0.74</w:t>
            </w:r>
          </w:p>
        </w:tc>
        <w:tc>
          <w:tcPr/>
          <w:p>
            <w:pPr>
              <w:pStyle w:val="Compact"/>
              <w:jc w:val="center"/>
            </w:pPr>
            <w:r>
              <w:t xml:space="preserve">0.33 – 1.66</w:t>
            </w:r>
          </w:p>
        </w:tc>
        <w:tc>
          <w:tcPr/>
          <w:p>
            <w:pPr>
              <w:pStyle w:val="Compact"/>
              <w:jc w:val="center"/>
            </w:pPr>
            <m:oMath>
              <m:r>
                <m:t>0.4684</m:t>
              </m:r>
            </m:oMath>
          </w:p>
        </w:tc>
        <w:tc>
          <w:tcPr/>
          <w:p>
            <w:pPr>
              <w:pStyle w:val="Compact"/>
              <w:jc w:val="center"/>
            </w:pPr>
            <w:r>
              <w:t xml:space="preserve">—</w:t>
            </w:r>
          </w:p>
        </w:tc>
      </w:tr>
      <w:tr>
        <w:tc>
          <w:tcPr/>
          <w:p>
            <w:pPr>
              <w:pStyle w:val="Compact"/>
              <w:jc w:val="left"/>
            </w:pPr>
            <w:r>
              <w:t xml:space="preserve">- Pathologic Stage II/III vs I</w:t>
            </w:r>
          </w:p>
        </w:tc>
        <w:tc>
          <w:tcPr/>
          <w:p>
            <w:pPr>
              <w:pStyle w:val="Compact"/>
              <w:jc w:val="center"/>
            </w:pPr>
            <w:r>
              <w:rPr>
                <w:b/>
                <w:bCs/>
              </w:rPr>
              <w:t xml:space="preserve">4.16</w:t>
            </w:r>
          </w:p>
        </w:tc>
        <w:tc>
          <w:tcPr/>
          <w:p>
            <w:pPr>
              <w:pStyle w:val="Compact"/>
              <w:jc w:val="center"/>
            </w:pPr>
            <w:r>
              <w:t xml:space="preserve">2.73 – 6.34</w:t>
            </w:r>
          </w:p>
        </w:tc>
        <w:tc>
          <w:tcPr/>
          <w:p>
            <w:pPr>
              <w:pStyle w:val="Compact"/>
              <w:jc w:val="center"/>
            </w:pPr>
            <m:oMath>
              <m:r>
                <m:rPr>
                  <m:sty m:val="p"/>
                </m:rPr>
                <m:t>&lt;</m:t>
              </m:r>
              <m:r>
                <m:t>0.0001</m:t>
              </m:r>
            </m:oMath>
          </w:p>
        </w:tc>
        <w:tc>
          <w:tcPr/>
          <w:p>
            <w:pPr>
              <w:pStyle w:val="Compact"/>
              <w:jc w:val="center"/>
            </w:pPr>
            <w:r>
              <w:t xml:space="preserve">—</w:t>
            </w:r>
          </w:p>
        </w:tc>
      </w:tr>
    </w:tbl>
    <w:p>
      <w:pPr>
        <w:pStyle w:val="BodyText"/>
      </w:pPr>
      <w:r>
        <w:t xml:space="preserve">As detailed in</w:t>
      </w:r>
      <w:r>
        <w:t xml:space="preserve"> </w:t>
      </w:r>
      <w:r>
        <w:rPr>
          <w:b/>
          <w:bCs/>
        </w:rPr>
        <w:t xml:space="preserve">Table 5</w:t>
      </w:r>
      <w:r>
        <w:t xml:space="preserve">, the primary empirical finding from this cohort is that</w:t>
      </w:r>
      <w:r>
        <w:t xml:space="preserve"> </w:t>
      </w:r>
      <w:r>
        <w:rPr>
          <w:b/>
          <w:bCs/>
        </w:rPr>
        <w:t xml:space="preserve">lepidic architecture confers strong baseline protection against recurrence</w:t>
      </w:r>
      <w:r>
        <w:t xml:space="preserve"> </w:t>
      </w:r>
      <w:r>
        <w:t xml:space="preserve">(</w:t>
      </w:r>
      <m:oMath>
        <m:r>
          <m:t>H</m:t>
        </m:r>
        <m:r>
          <m:t>R</m:t>
        </m:r>
        <m:r>
          <m:rPr>
            <m:sty m:val="p"/>
          </m:rPr>
          <m:t>=</m:t>
        </m:r>
        <m:r>
          <m:t>0.25</m:t>
        </m:r>
        <m:r>
          <m:rPr>
            <m:sty m:val="p"/>
          </m:rPr>
          <m:t>,</m:t>
        </m:r>
        <m:r>
          <m:t>p</m:t>
        </m:r>
        <m:r>
          <m:rPr>
            <m:sty m:val="p"/>
          </m:rPr>
          <m:t>=</m:t>
        </m:r>
        <m:r>
          <m:t>0.0084</m:t>
        </m:r>
      </m:oMath>
      <w:r>
        <w:t xml:space="preserve"> </w:t>
      </w:r>
      <w:r>
        <w:t xml:space="preserve">relative to acinar in the multivariable model). When evaluating all 10 pairwise comparisons with family-wise Holm adjustment, lepidic recurrence is significantly lower than solid (</w:t>
      </w:r>
      <m:oMath>
        <m:sSub>
          <m:e>
            <m:r>
              <m:t>p</m:t>
            </m:r>
          </m:e>
          <m:sub>
            <m:r>
              <m:rPr>
                <m:nor/>
                <m:sty m:val="p"/>
              </m:rPr>
              <m:t>adj</m:t>
            </m:r>
          </m:sub>
        </m:sSub>
        <m:r>
          <m:rPr>
            <m:sty m:val="p"/>
          </m:rPr>
          <m:t>=</m:t>
        </m:r>
        <m:r>
          <m:t>0.0026</m:t>
        </m:r>
      </m:oMath>
      <w:r>
        <w:t xml:space="preserve">) and papillary (</w:t>
      </w:r>
      <m:oMath>
        <m:sSub>
          <m:e>
            <m:r>
              <m:t>p</m:t>
            </m:r>
          </m:e>
          <m:sub>
            <m:r>
              <m:rPr>
                <m:nor/>
                <m:sty m:val="p"/>
              </m:rPr>
              <m:t>adj</m:t>
            </m:r>
          </m:sub>
        </m:sSub>
        <m:r>
          <m:rPr>
            <m:sty m:val="p"/>
          </m:rPr>
          <m:t>=</m:t>
        </m:r>
        <m:r>
          <m:t>0.0203</m:t>
        </m:r>
      </m:oMath>
      <w:r>
        <w:t xml:space="preserve">), whereas comparisons vs acinar (</w:t>
      </w:r>
      <m:oMath>
        <m:sSub>
          <m:e>
            <m:r>
              <m:t>p</m:t>
            </m:r>
          </m:e>
          <m:sub>
            <m:r>
              <m:rPr>
                <m:nor/>
                <m:sty m:val="p"/>
              </m:rPr>
              <m:t>adj</m:t>
            </m:r>
          </m:sub>
        </m:sSub>
        <m:r>
          <m:rPr>
            <m:sty m:val="p"/>
          </m:rPr>
          <m:t>=</m:t>
        </m:r>
        <m:r>
          <m:t>0.0703</m:t>
        </m:r>
      </m:oMath>
      <w:r>
        <w:t xml:space="preserve">) and micropapillary (</w:t>
      </w:r>
      <m:oMath>
        <m:sSub>
          <m:e>
            <m:r>
              <m:t>p</m:t>
            </m:r>
          </m:e>
          <m:sub>
            <m:r>
              <m:rPr>
                <m:nor/>
                <m:sty m:val="p"/>
              </m:rPr>
              <m:t>adj</m:t>
            </m:r>
          </m:sub>
        </m:sSub>
        <m:r>
          <m:rPr>
            <m:sty m:val="p"/>
          </m:rPr>
          <m:t>=</m:t>
        </m:r>
        <m:r>
          <m:t>0.3911</m:t>
        </m:r>
      </m:oMath>
      <w:r>
        <w:t xml:space="preserve">, unadjusted</w:t>
      </w:r>
      <w:r>
        <w:t xml:space="preserve"> </w:t>
      </w:r>
      <m:oMath>
        <m:r>
          <m:t>p</m:t>
        </m:r>
        <m:r>
          <m:rPr>
            <m:sty m:val="p"/>
          </m:rPr>
          <m:t>=</m:t>
        </m:r>
        <m:r>
          <m:t>0.0559</m:t>
        </m:r>
      </m:oMath>
      <w:r>
        <w:t xml:space="preserve">) do not retain significance after multiplicity penalty.</w:t>
      </w:r>
    </w:p>
    <w:p>
      <w:pPr>
        <w:pStyle w:val="BodyText"/>
      </w:pPr>
      <w:r>
        <w:t xml:space="preserve">Crucially, the data do not support an escalating hazard across non-lepidic patterns: solid (</w:t>
      </w:r>
      <m:oMath>
        <m:r>
          <m:t>H</m:t>
        </m:r>
        <m:r>
          <m:t>R</m:t>
        </m:r>
        <m:r>
          <m:rPr>
            <m:sty m:val="p"/>
          </m:rPr>
          <m:t>=</m:t>
        </m:r>
        <m:r>
          <m:t>1.48</m:t>
        </m:r>
        <m:r>
          <m:rPr>
            <m:sty m:val="p"/>
          </m:rPr>
          <m:t>,</m:t>
        </m:r>
        <m:r>
          <m:t>p</m:t>
        </m:r>
        <m:r>
          <m:rPr>
            <m:sty m:val="p"/>
          </m:rPr>
          <m:t>=</m:t>
        </m:r>
        <m:r>
          <m:t>0.133</m:t>
        </m:r>
      </m:oMath>
      <w:r>
        <w:t xml:space="preserve">) and papillary (</w:t>
      </w:r>
      <m:oMath>
        <m:r>
          <m:t>H</m:t>
        </m:r>
        <m:r>
          <m:t>R</m:t>
        </m:r>
        <m:r>
          <m:rPr>
            <m:sty m:val="p"/>
          </m:rPr>
          <m:t>=</m:t>
        </m:r>
        <m:r>
          <m:t>1.51</m:t>
        </m:r>
        <m:r>
          <m:rPr>
            <m:sty m:val="p"/>
          </m:rPr>
          <m:t>,</m:t>
        </m:r>
        <m:r>
          <m:t>p</m:t>
        </m:r>
        <m:r>
          <m:rPr>
            <m:sty m:val="p"/>
          </m:rPr>
          <m:t>=</m:t>
        </m:r>
        <m:r>
          <m:t>0.215</m:t>
        </m:r>
      </m:oMath>
      <w:r>
        <w:t xml:space="preserve">) do not differ significantly from acinar, and micropapillary histology exhibits an adjusted</w:t>
      </w:r>
      <w:r>
        <w:t xml:space="preserve"> </w:t>
      </w:r>
      <m:oMath>
        <m:r>
          <m:t>H</m:t>
        </m:r>
        <m:r>
          <m:t>R</m:t>
        </m:r>
        <m:r>
          <m:rPr>
            <m:sty m:val="p"/>
          </m:rPr>
          <m:t>=</m:t>
        </m:r>
        <m:r>
          <m:t>0.74</m:t>
        </m:r>
      </m:oMath>
      <w:r>
        <w:t xml:space="preserve"> </w:t>
      </w:r>
      <w:r>
        <w:t xml:space="preserve">(</w:t>
      </w:r>
      <m:oMath>
        <m:r>
          <m:t>p</m:t>
        </m:r>
        <m:r>
          <m:rPr>
            <m:sty m:val="p"/>
          </m:rPr>
          <m:t>=</m:t>
        </m:r>
        <m:r>
          <m:t>0.468</m:t>
        </m:r>
      </m:oMath>
      <w:r>
        <w:t xml:space="preserve">). Grouping solid and micropapillary as a single composite class is therefore not supported by intra-cohort risk separation.</w:t>
      </w:r>
    </w:p>
    <w:p>
      <w:r>
        <w:pict>
          <v:rect style="width:0;height:1.5pt" o:hralign="center" o:hrstd="t" o:hr="t"/>
        </w:pict>
      </w:r>
    </w:p>
    <w:bookmarkEnd w:id="49"/>
    <w:bookmarkEnd w:id="50"/>
    <w:bookmarkStart w:id="51" w:name="X4cd16d5852c24ea6daa9783ce603b62d627bea8"/>
    <w:p>
      <w:pPr>
        <w:pStyle w:val="Heading3"/>
      </w:pPr>
      <w:r>
        <w:t xml:space="preserve">4.3 Robustness &amp; Limitations of the Headline Contrast</w:t>
      </w:r>
    </w:p>
    <w:p>
      <w:pPr>
        <w:pStyle w:val="FirstParagraph"/>
      </w:pPr>
      <w:r>
        <w:t xml:space="preserve">The headline contrast comparing solid/micropapillary against lepidic architecture (</w:t>
      </w:r>
      <m:oMath>
        <m:r>
          <m:t>H</m:t>
        </m:r>
        <m:r>
          <m:t>R</m:t>
        </m:r>
        <m:r>
          <m:rPr>
            <m:sty m:val="p"/>
          </m:rPr>
          <m:t>=</m:t>
        </m:r>
        <m:r>
          <m:t>6.75</m:t>
        </m:r>
        <m:r>
          <m:rPr>
            <m:sty m:val="p"/>
          </m:rPr>
          <m:t>,</m:t>
        </m:r>
        <m:r>
          <m:t>95</m:t>
        </m:r>
        <m:r>
          <m:rPr>
            <m:sty m:val="p"/>
          </m:rPr>
          <m:t>%</m:t>
        </m:r>
        <m:r>
          <m:rPr>
            <m:nor/>
            <m:sty m:val="p"/>
          </m:rPr>
          <m:t> CI: </m:t>
        </m:r>
        <m:r>
          <m:t>2.28</m:t>
        </m:r>
        <m:r>
          <m:rPr>
            <m:nor/>
            <m:sty m:val="p"/>
          </m:rPr>
          <m:t>–</m:t>
        </m:r>
        <m:r>
          <m:t>19.97</m:t>
        </m:r>
      </m:oMath>
      <w:r>
        <w:t xml:space="preserve">) rests upon only 4 recurrence events in the lepidic reference group. Bootstrap resampling (500 iterations) yielded a median HR of 6.9 and a 2.5th percentile of 2.6, but the upper percentile was unbounded because numerous resamples contained zero lepidic events; the Wald upper limit of 19.97 is therefore statistically unstable. Truncating follow-up at 36 months yielded</w:t>
      </w:r>
      <w:r>
        <w:t xml:space="preserve"> </w:t>
      </w:r>
      <m:oMath>
        <m:r>
          <m:t>H</m:t>
        </m:r>
        <m:r>
          <m:t>R</m:t>
        </m:r>
        <m:r>
          <m:rPr>
            <m:sty m:val="p"/>
          </m:rPr>
          <m:t>=</m:t>
        </m:r>
        <m:r>
          <m:t>6.11</m:t>
        </m:r>
      </m:oMath>
      <w:r>
        <w:t xml:space="preserve"> </w:t>
      </w:r>
      <w:r>
        <w:t xml:space="preserve">(95% CI: 2.04–18.31; 30 events); at 24 months,</w:t>
      </w:r>
      <w:r>
        <w:t xml:space="preserve"> </w:t>
      </w:r>
      <m:oMath>
        <m:r>
          <m:t>H</m:t>
        </m:r>
        <m:r>
          <m:t>R</m:t>
        </m:r>
        <m:r>
          <m:rPr>
            <m:sty m:val="p"/>
          </m:rPr>
          <m:t>=</m:t>
        </m:r>
        <m:r>
          <m:t>23.8</m:t>
        </m:r>
      </m:oMath>
      <w:r>
        <w:t xml:space="preserve"> </w:t>
      </w:r>
      <w:r>
        <w:t xml:space="preserve">(95% CI: 3.14–180.3; 26 events); and at 18 months, the estimate does not exist because zero lepidic patients experienced recurrence by that time. Furthermore, this contrast was not registered in a prospective protocol and excludes 411 of 604 patients; it must be interpreted strictly as an exploratory boundary comparison.</w:t>
      </w:r>
    </w:p>
    <w:p>
      <w:pPr>
        <w:pStyle w:val="BodyText"/>
      </w:pPr>
      <w:r>
        <w:t xml:space="preserve">In the confirmed</w:t>
      </w:r>
      <w:r>
        <w:t xml:space="preserve"> </w:t>
      </w:r>
      <w:r>
        <w:rPr>
          <w:i/>
          <w:iCs/>
        </w:rPr>
        <w:t xml:space="preserve">EGFR</w:t>
      </w:r>
      <w:r>
        <w:t xml:space="preserve">-mutant subpopulation (</w:t>
      </w:r>
      <m:oMath>
        <m:r>
          <m:t>N</m:t>
        </m:r>
        <m:r>
          <m:rPr>
            <m:sty m:val="p"/>
          </m:rPr>
          <m:t>=</m:t>
        </m:r>
        <m:r>
          <m:t>182</m:t>
        </m:r>
        <m:r>
          <m:rPr>
            <m:sty m:val="p"/>
          </m:rPr>
          <m:t>,</m:t>
        </m:r>
        <m:r>
          <m:t>26</m:t>
        </m:r>
        <m:r>
          <m:rPr>
            <m:nor/>
            <m:sty m:val="p"/>
          </m:rPr>
          <m:t> events</m:t>
        </m:r>
      </m:oMath>
      <w:r>
        <w:t xml:space="preserve">), recurrence occurred in 4 of 18 solid/micropapillary patients (22.2%) versus 22 of 164 other patients (13.4%; univariable log-rank</w:t>
      </w:r>
      <w:r>
        <w:t xml:space="preserve"> </w:t>
      </w:r>
      <m:oMath>
        <m:r>
          <m:t>p</m:t>
        </m:r>
        <m:r>
          <m:rPr>
            <m:sty m:val="p"/>
          </m:rPr>
          <m:t>=</m:t>
        </m:r>
        <m:r>
          <m:t>0.112</m:t>
        </m:r>
      </m:oMath>
      <w:r>
        <w:t xml:space="preserve">). Restricting to solid/micropapillary versus lepidic (</w:t>
      </w:r>
      <m:oMath>
        <m:r>
          <m:t>N</m:t>
        </m:r>
        <m:r>
          <m:rPr>
            <m:sty m:val="p"/>
          </m:rPr>
          <m:t>=</m:t>
        </m:r>
        <m:r>
          <m:t>56</m:t>
        </m:r>
        <m:r>
          <m:rPr>
            <m:sty m:val="p"/>
          </m:rPr>
          <m:t>,</m:t>
        </m:r>
        <m:r>
          <m:t>6</m:t>
        </m:r>
        <m:r>
          <m:rPr>
            <m:nor/>
            <m:sty m:val="p"/>
          </m:rPr>
          <m:t> events</m:t>
        </m:r>
      </m:oMath>
      <w:r>
        <w:t xml:space="preserve">) yielded an apparent univariable log-rank</w:t>
      </w:r>
      <w:r>
        <w:t xml:space="preserve"> </w:t>
      </w:r>
      <m:oMath>
        <m:r>
          <m:t>p</m:t>
        </m:r>
        <m:r>
          <m:rPr>
            <m:sty m:val="p"/>
          </m:rPr>
          <m:t>=</m:t>
        </m:r>
        <m:r>
          <m:t>0.021</m:t>
        </m:r>
      </m:oMath>
      <w:r>
        <w:t xml:space="preserve">. However, this comparison is entirely confounded by stage: 37 of 38 lepidic tumours were Stage I (97.4%), whereas 11 of 18 solid/micropapillary tumours were Stage II/III (61.1%). After adjusting for pathologic stage, the hazard ratio collapsed to</w:t>
      </w:r>
      <w:r>
        <w:t xml:space="preserve"> </w:t>
      </w:r>
      <m:oMath>
        <m:r>
          <m:t>H</m:t>
        </m:r>
        <m:r>
          <m:t>R</m:t>
        </m:r>
        <m:r>
          <m:rPr>
            <m:sty m:val="p"/>
          </m:rPr>
          <m:t>=</m:t>
        </m:r>
        <m:r>
          <m:t>1.10</m:t>
        </m:r>
      </m:oMath>
      <w:r>
        <w:t xml:space="preserve"> </w:t>
      </w:r>
      <w:r>
        <w:t xml:space="preserve">(</w:t>
      </w:r>
      <m:oMath>
        <m:r>
          <m:t>95</m:t>
        </m:r>
        <m:r>
          <m:rPr>
            <m:sty m:val="p"/>
          </m:rPr>
          <m:t>%</m:t>
        </m:r>
        <m:r>
          <m:rPr>
            <m:nor/>
            <m:sty m:val="p"/>
          </m:rPr>
          <m:t> CI: </m:t>
        </m:r>
        <m:r>
          <m:t>0.06</m:t>
        </m:r>
        <m:r>
          <m:rPr>
            <m:nor/>
            <m:sty m:val="p"/>
          </m:rPr>
          <m:t>–</m:t>
        </m:r>
        <m:r>
          <m:t>19.97</m:t>
        </m:r>
        <m:r>
          <m:rPr>
            <m:sty m:val="p"/>
          </m:rPr>
          <m:t>,</m:t>
        </m:r>
        <m:r>
          <m:t>p</m:t>
        </m:r>
        <m:r>
          <m:rPr>
            <m:sty m:val="p"/>
          </m:rPr>
          <m:t>=</m:t>
        </m:r>
        <m:r>
          <m:t>0.947</m:t>
        </m:r>
      </m:oMath>
      <w:r>
        <w:t xml:space="preserve">). The</w:t>
      </w:r>
      <w:r>
        <w:t xml:space="preserve"> </w:t>
      </w:r>
      <w:r>
        <w:rPr>
          <w:i/>
          <w:iCs/>
        </w:rPr>
        <w:t xml:space="preserve">EGFR</w:t>
      </w:r>
      <w:r>
        <w:t xml:space="preserve">-mutant subgroup is underpowered and uninformative.</w:t>
      </w:r>
    </w:p>
    <w:p>
      <w:pPr>
        <w:pStyle w:val="BodyText"/>
      </w:pPr>
      <w:r>
        <w:t xml:space="preserve">The statistical computing pipeline was independently benchmarked against the classic Freireich 6-MP clinical trial leukemia dataset (Gehan,</w:t>
      </w:r>
      <w:r>
        <w:t xml:space="preserve"> </w:t>
      </w:r>
      <w:r>
        <w:rPr>
          <w:i/>
          <w:iCs/>
        </w:rPr>
        <w:t xml:space="preserve">Biometrika</w:t>
      </w:r>
      <w:r>
        <w:t xml:space="preserve"> </w:t>
      </w:r>
      <w:r>
        <w:t xml:space="preserve">1965; Freireich et al.,</w:t>
      </w:r>
      <w:r>
        <w:t xml:space="preserve"> </w:t>
      </w:r>
      <w:r>
        <w:rPr>
          <w:i/>
          <w:iCs/>
        </w:rPr>
        <w:t xml:space="preserve">Blood</w:t>
      </w:r>
      <w:r>
        <w:t xml:space="preserve"> </w:t>
      </w:r>
      <w:r>
        <w:t xml:space="preserve">1963), reproducing the benchmark log-rank test statistic (</w:t>
      </w:r>
      <m:oMath>
        <m:sSup>
          <m:e>
            <m:r>
              <m:t>χ</m:t>
            </m:r>
          </m:e>
          <m:sup>
            <m:r>
              <m:t>2</m:t>
            </m:r>
          </m:sup>
        </m:sSup>
        <m:r>
          <m:rPr>
            <m:sty m:val="p"/>
          </m:rPr>
          <m:t>=</m:t>
        </m:r>
        <m:r>
          <m:t>16.79</m:t>
        </m:r>
      </m:oMath>
      <w:r>
        <w:t xml:space="preserve">, reference: 16.79) and Efron Cox hazard ratio (</w:t>
      </w:r>
      <m:oMath>
        <m:r>
          <m:t>H</m:t>
        </m:r>
        <m:r>
          <m:t>R</m:t>
        </m:r>
        <m:r>
          <m:rPr>
            <m:sty m:val="p"/>
          </m:rPr>
          <m:t>=</m:t>
        </m:r>
        <m:r>
          <m:t>4.82</m:t>
        </m:r>
      </m:oMath>
      <w:r>
        <w:t xml:space="preserve">, reference: 4.82) with zero error.</w:t>
      </w:r>
    </w:p>
    <w:p>
      <w:r>
        <w:pict>
          <v:rect style="width:0;height:1.5pt" o:hralign="center" o:hrstd="t" o:hr="t"/>
        </w:pict>
      </w:r>
    </w:p>
    <w:bookmarkEnd w:id="51"/>
    <w:bookmarkEnd w:id="52"/>
    <w:bookmarkStart w:id="56" w:name="discussion"/>
    <w:p>
      <w:pPr>
        <w:pStyle w:val="Heading2"/>
      </w:pPr>
      <w:r>
        <w:t xml:space="preserve">5. Discussion</w:t>
      </w:r>
    </w:p>
    <w:bookmarkStart w:id="53" w:name="what-is-supported-by-the-data"/>
    <w:p>
      <w:pPr>
        <w:pStyle w:val="Heading3"/>
      </w:pPr>
      <w:r>
        <w:t xml:space="preserve">5.1 What is Supported by the Data</w:t>
      </w:r>
    </w:p>
    <w:p>
      <w:pPr>
        <w:pStyle w:val="Compact"/>
        <w:numPr>
          <w:ilvl w:val="0"/>
          <w:numId w:val="1001"/>
        </w:numPr>
      </w:pPr>
      <w:r>
        <w:rPr>
          <w:b/>
          <w:bCs/>
        </w:rPr>
        <w:t xml:space="preserve">Perivascular Cords Support Pharmacological Sanctuaries:</w:t>
      </w:r>
      <w:r>
        <w:t xml:space="preserve"> </w:t>
      </w:r>
      <w:r>
        <w:t xml:space="preserve">Within exact steady-state reaction–diffusion physics, a sub-inhibitory but oxygenated perivascular shell (</w:t>
      </w:r>
      <m:oMath>
        <m:sSub>
          <m:e>
            <m:r>
              <m:t>r</m:t>
            </m:r>
          </m:e>
          <m:sub>
            <m:r>
              <m:rPr>
                <m:nor/>
                <m:sty m:val="p"/>
              </m:rPr>
              <m:t>crit</m:t>
            </m:r>
          </m:sub>
        </m:sSub>
        <m:r>
          <m:rPr>
            <m:sty m:val="p"/>
          </m:rPr>
          <m:t>&lt;</m:t>
        </m:r>
        <m:r>
          <m:t>r</m:t>
        </m:r>
        <m:r>
          <m:rPr>
            <m:sty m:val="p"/>
          </m:rPr>
          <m:t>&lt;</m:t>
        </m:r>
        <m:sSub>
          <m:e>
            <m:r>
              <m:t>r</m:t>
            </m:r>
          </m:e>
          <m:sub>
            <m:r>
              <m:rPr>
                <m:nor/>
                <m:sty m:val="p"/>
              </m:rPr>
              <m:t>ox</m:t>
            </m:r>
          </m:sub>
        </m:sSub>
      </m:oMath>
      <w:r>
        <w:t xml:space="preserve">) can exist around a central microvessel. For baseline osimertinib parameters, a viable shell of width</w:t>
      </w:r>
      <w:r>
        <w:t xml:space="preserve"> </w:t>
      </w:r>
      <m:oMath>
        <m:r>
          <m:t>Δ</m:t>
        </m:r>
        <m:r>
          <m:t>r</m:t>
        </m:r>
        <m:r>
          <m:rPr>
            <m:sty m:val="p"/>
          </m:rPr>
          <m:t>=</m:t>
        </m:r>
        <m:r>
          <m:t>34.1</m:t>
        </m:r>
        <m:r>
          <m:t> </m:t>
        </m:r>
        <m:r>
          <m:t>μ</m:t>
        </m:r>
        <m:r>
          <m:rPr>
            <m:nor/>
            <m:sty m:val="p"/>
          </m:rPr>
          <m:t>m</m:t>
        </m:r>
      </m:oMath>
      <w:r>
        <w:t xml:space="preserve"> </w:t>
      </w:r>
      <w:r>
        <w:t xml:space="preserve">exists, but collapses under moderate, jointly unfavorable parameter variations (</w:t>
      </w:r>
      <m:oMath>
        <m:r>
          <m:t>D</m:t>
        </m:r>
        <m:r>
          <m:rPr>
            <m:sty m:val="p"/>
          </m:rPr>
          <m:t>+</m:t>
        </m:r>
        <m:r>
          <m:t>30</m:t>
        </m:r>
        <m:r>
          <m:rPr>
            <m:sty m:val="p"/>
          </m:rPr>
          <m:t>%</m:t>
        </m:r>
      </m:oMath>
      <w:r>
        <w:t xml:space="preserve"> </w:t>
      </w:r>
      <w:r>
        <w:t xml:space="preserve">and</w:t>
      </w:r>
      <w:r>
        <w:t xml:space="preserve"> </w:t>
      </w:r>
      <m:oMath>
        <m:r>
          <m:t>k</m:t>
        </m:r>
        <m:r>
          <m:rPr>
            <m:sty m:val="p"/>
          </m:rPr>
          <m:t>−</m:t>
        </m:r>
        <m:r>
          <m:t>30</m:t>
        </m:r>
        <m:r>
          <m:rPr>
            <m:sty m:val="p"/>
          </m:rPr>
          <m:t>%</m:t>
        </m:r>
      </m:oMath>
      <w:r>
        <w:t xml:space="preserve">) or in cords with oxygen limits</w:t>
      </w:r>
      <w:r>
        <w:t xml:space="preserve"> </w:t>
      </w:r>
      <m:oMath>
        <m:sSub>
          <m:e>
            <m:r>
              <m:t>r</m:t>
            </m:r>
          </m:e>
          <m:sub>
            <m:r>
              <m:rPr>
                <m:nor/>
                <m:sty m:val="p"/>
              </m:rPr>
              <m:t>ox</m:t>
            </m:r>
          </m:sub>
        </m:sSub>
        <m:r>
          <m:rPr>
            <m:sty m:val="p"/>
          </m:rPr>
          <m:t>≤</m:t>
        </m:r>
        <m:r>
          <m:t>165.9</m:t>
        </m:r>
        <m:r>
          <m:t> </m:t>
        </m:r>
        <m:r>
          <m:t>μ</m:t>
        </m:r>
        <m:r>
          <m:rPr>
            <m:nor/>
            <m:sty m:val="p"/>
          </m:rPr>
          <m:t>m</m:t>
        </m:r>
      </m:oMath>
      <w:r>
        <w:t xml:space="preserve">.</w:t>
      </w:r>
    </w:p>
    <w:p>
      <w:pPr>
        <w:pStyle w:val="Compact"/>
        <w:numPr>
          <w:ilvl w:val="0"/>
          <w:numId w:val="1001"/>
        </w:numPr>
      </w:pPr>
      <w:r>
        <w:rPr>
          <w:b/>
          <w:bCs/>
        </w:rPr>
        <w:t xml:space="preserve">Avascular Nests Do Not Shelter Small-Molecule TKIs:</w:t>
      </w:r>
      <w:r>
        <w:t xml:space="preserve"> </w:t>
      </w:r>
      <w:r>
        <w:t xml:space="preserve">In inward cylindrical diffusion, osimertinib penetrates almost completely to the center (</w:t>
      </w:r>
      <m:oMath>
        <m:r>
          <m:t>90.6</m:t>
        </m:r>
        <m:r>
          <m:rPr>
            <m:sty m:val="p"/>
          </m:rPr>
          <m:t>%</m:t>
        </m:r>
        <m:r>
          <m:rPr>
            <m:nor/>
            <m:sty m:val="p"/>
          </m:rPr>
          <m:t>–</m:t>
        </m:r>
        <m:r>
          <m:t>99.4</m:t>
        </m:r>
        <m:r>
          <m:rPr>
            <m:sty m:val="p"/>
          </m:rPr>
          <m:t>%</m:t>
        </m:r>
      </m:oMath>
      <w:r>
        <w:t xml:space="preserve">), proving that avascular solid nests do not establish pharmacological sanctuaries for small molecules under physiological uptake rates.</w:t>
      </w:r>
    </w:p>
    <w:p>
      <w:pPr>
        <w:pStyle w:val="Compact"/>
        <w:numPr>
          <w:ilvl w:val="0"/>
          <w:numId w:val="1001"/>
        </w:numPr>
      </w:pPr>
      <w:r>
        <w:rPr>
          <w:b/>
          <w:bCs/>
        </w:rPr>
        <w:t xml:space="preserve">Lead Time is an Invariant Doubling Identity:</w:t>
      </w:r>
      <w:r>
        <w:t xml:space="preserve"> </w:t>
      </w:r>
      <w:r>
        <w:t xml:space="preserve">The ctDNA-to-imaging lead time is analytically determined by clonal doubling kinetics (</w:t>
      </w:r>
      <m:oMath>
        <m:r>
          <m:t>Δ</m:t>
        </m:r>
        <m:r>
          <m:t>t</m:t>
        </m:r>
        <m:r>
          <m:rPr>
            <m:sty m:val="p"/>
          </m:rPr>
          <m:t>=</m:t>
        </m:r>
        <m:r>
          <m:t>6.6439</m:t>
        </m:r>
        <m:r>
          <m:rPr>
            <m:sty m:val="p"/>
          </m:rPr>
          <m:t>⋅</m:t>
        </m:r>
        <m:sSub>
          <m:e>
            <m:r>
              <m:t>T</m:t>
            </m:r>
          </m:e>
          <m:sub>
            <m:r>
              <m:t>s</m:t>
            </m:r>
          </m:sub>
        </m:sSub>
      </m:oMath>
      <w:r>
        <w:t xml:space="preserve">), rather than spatial sanctuary parameters.</w:t>
      </w:r>
    </w:p>
    <w:p>
      <w:pPr>
        <w:pStyle w:val="Compact"/>
        <w:numPr>
          <w:ilvl w:val="0"/>
          <w:numId w:val="1001"/>
        </w:numPr>
      </w:pPr>
      <w:r>
        <w:rPr>
          <w:b/>
          <w:bCs/>
        </w:rPr>
        <w:t xml:space="preserve">Lepidic Architecture Confers Strong Baseline Protection:</w:t>
      </w:r>
      <w:r>
        <w:t xml:space="preserve"> </w:t>
      </w:r>
      <w:r>
        <w:t xml:space="preserve">In resected lung adenocarcinoma, lepidic growth is an independent marker of favorable prognosis (</w:t>
      </w:r>
      <m:oMath>
        <m:r>
          <m:t>H</m:t>
        </m:r>
        <m:r>
          <m:t>R</m:t>
        </m:r>
        <m:r>
          <m:rPr>
            <m:sty m:val="p"/>
          </m:rPr>
          <m:t>=</m:t>
        </m:r>
        <m:r>
          <m:t>0.25</m:t>
        </m:r>
        <m:r>
          <m:rPr>
            <m:sty m:val="p"/>
          </m:rPr>
          <m:t>,</m:t>
        </m:r>
        <m:r>
          <m:t>p</m:t>
        </m:r>
        <m:r>
          <m:rPr>
            <m:sty m:val="p"/>
          </m:rPr>
          <m:t>=</m:t>
        </m:r>
        <m:r>
          <m:t>0.0084</m:t>
        </m:r>
      </m:oMath>
      <w:r>
        <w:t xml:space="preserve">).</w:t>
      </w:r>
    </w:p>
    <w:bookmarkEnd w:id="53"/>
    <w:bookmarkStart w:id="54" w:name="what-is-not-supported-by-the-data"/>
    <w:p>
      <w:pPr>
        <w:pStyle w:val="Heading3"/>
      </w:pPr>
      <w:r>
        <w:t xml:space="preserve">5.2 What is Not Supported by the Data</w:t>
      </w:r>
    </w:p>
    <w:p>
      <w:pPr>
        <w:pStyle w:val="Compact"/>
        <w:numPr>
          <w:ilvl w:val="0"/>
          <w:numId w:val="1002"/>
        </w:numPr>
      </w:pPr>
      <w:r>
        <w:rPr>
          <w:b/>
          <w:bCs/>
        </w:rPr>
        <w:t xml:space="preserve">Clinical Sanctuary Validation:</w:t>
      </w:r>
      <w:r>
        <w:t xml:space="preserve"> </w:t>
      </w:r>
      <w:r>
        <w:t xml:space="preserve">Because the MSKCC cohort received no adjuvant osimertinib, these clinical data cannot prove that sanctuaries cause post-cessation recurrence in TKI-treated patients.</w:t>
      </w:r>
    </w:p>
    <w:p>
      <w:pPr>
        <w:pStyle w:val="Compact"/>
        <w:numPr>
          <w:ilvl w:val="0"/>
          <w:numId w:val="1002"/>
        </w:numPr>
      </w:pPr>
      <w:r>
        <w:rPr>
          <w:b/>
          <w:bCs/>
        </w:rPr>
        <w:t xml:space="preserve">Escalating Hazard across Compact Subtypes:</w:t>
      </w:r>
      <w:r>
        <w:t xml:space="preserve"> </w:t>
      </w:r>
      <w:r>
        <w:t xml:space="preserve">Solid and micropapillary histologies do not exhibit statistically distinct recurrence hazards compared to acinar histology.</w:t>
      </w:r>
    </w:p>
    <w:p>
      <w:pPr>
        <w:pStyle w:val="Compact"/>
        <w:numPr>
          <w:ilvl w:val="0"/>
          <w:numId w:val="1002"/>
        </w:numPr>
      </w:pPr>
      <w:r>
        <w:rPr>
          <w:b/>
          <w:bCs/>
        </w:rPr>
        <w:t xml:space="preserve">ctDNA Lead Time as a Proven Clinical Benefit:</w:t>
      </w:r>
      <w:r>
        <w:t xml:space="preserve"> </w:t>
      </w:r>
      <w:r>
        <w:t xml:space="preserve">A mathematical lead time of 5.5 months does not demonstrate that initiating treatment at molecular detection improves overall survival; prospective trials are required to rule out lead-time bias.</w:t>
      </w:r>
    </w:p>
    <w:p>
      <w:pPr>
        <w:pStyle w:val="Compact"/>
        <w:numPr>
          <w:ilvl w:val="0"/>
          <w:numId w:val="1002"/>
        </w:numPr>
      </w:pPr>
      <w:r>
        <w:rPr>
          <w:b/>
          <w:bCs/>
        </w:rPr>
        <w:t xml:space="preserve">Empirical Payoff Derivation:</w:t>
      </w:r>
      <w:r>
        <w:t xml:space="preserve"> </w:t>
      </w:r>
      <w:r>
        <w:t xml:space="preserve">Replicator game payoffs were chosen to illustrate coexistence, not derived from transport equations or measured from tumor biopsies.</w:t>
      </w:r>
    </w:p>
    <w:bookmarkEnd w:id="54"/>
    <w:bookmarkStart w:id="55" w:name="X014c9b9b6bba0520ef43a93d610c343412a6e83"/>
    <w:p>
      <w:pPr>
        <w:pStyle w:val="Heading3"/>
      </w:pPr>
      <w:r>
        <w:t xml:space="preserve">5.3 Testable Predictions for Prospective Studies</w:t>
      </w:r>
    </w:p>
    <w:p>
      <w:pPr>
        <w:pStyle w:val="Compact"/>
        <w:numPr>
          <w:ilvl w:val="0"/>
          <w:numId w:val="1003"/>
        </w:numPr>
      </w:pPr>
      <w:r>
        <w:rPr>
          <w:b/>
          <w:bCs/>
        </w:rPr>
        <w:t xml:space="preserve">ctDNA Clearance Kinetics by Histology:</w:t>
      </w:r>
      <w:r>
        <w:t xml:space="preserve"> </w:t>
      </w:r>
      <w:r>
        <w:t xml:space="preserve">If perivascular cords shelter sensitive cells, patients with high-grade solid components (</w:t>
      </w:r>
      <m:oMath>
        <m:r>
          <m:rPr>
            <m:sty m:val="p"/>
          </m:rPr>
          <m:t>≥</m:t>
        </m:r>
        <m:r>
          <m:t>20</m:t>
        </m:r>
        <m:r>
          <m:rPr>
            <m:sty m:val="p"/>
          </m:rPr>
          <m:t>%</m:t>
        </m:r>
      </m:oMath>
      <w:r>
        <w:t xml:space="preserve">, according to IASLC 2020 grading; Moreira et al. [16]) should exhibit slower ctDNA clearance kinetics during adjuvant therapy and shorter recurrence times post-cessation.</w:t>
      </w:r>
    </w:p>
    <w:p>
      <w:pPr>
        <w:pStyle w:val="Compact"/>
        <w:numPr>
          <w:ilvl w:val="0"/>
          <w:numId w:val="1003"/>
        </w:numPr>
      </w:pPr>
      <w:r>
        <w:rPr>
          <w:b/>
          <w:bCs/>
        </w:rPr>
        <w:t xml:space="preserve">Microvascular Density &amp; Morphometry:</w:t>
      </w:r>
      <w:r>
        <w:t xml:space="preserve"> </w:t>
      </w:r>
      <w:r>
        <w:t xml:space="preserve">Intratumoral cords with inter-vessel distances exceeding</w:t>
      </w:r>
      <w:r>
        <w:t xml:space="preserve"> </w:t>
      </w:r>
      <m:oMath>
        <m:r>
          <m:t>330</m:t>
        </m:r>
        <m:r>
          <m:t> </m:t>
        </m:r>
        <m:r>
          <m:t>μ</m:t>
        </m:r>
        <m:r>
          <m:rPr>
            <m:nor/>
            <m:sty m:val="p"/>
          </m:rPr>
          <m:t>m</m:t>
        </m:r>
      </m:oMath>
      <w:r>
        <w:t xml:space="preserve"> </w:t>
      </w:r>
      <w:r>
        <w:t xml:space="preserve">(</w:t>
      </w:r>
      <m:oMath>
        <m:r>
          <m:t>2</m:t>
        </m:r>
        <m:r>
          <m:rPr>
            <m:sty m:val="p"/>
          </m:rPr>
          <m:t>×</m:t>
        </m:r>
        <m:sSub>
          <m:e>
            <m:r>
              <m:t>r</m:t>
            </m:r>
          </m:e>
          <m:sub>
            <m:r>
              <m:rPr>
                <m:nor/>
                <m:sty m:val="p"/>
              </m:rPr>
              <m:t>crit</m:t>
            </m:r>
          </m:sub>
        </m:sSub>
      </m:oMath>
      <w:r>
        <w:t xml:space="preserve">) should harbor viable, non-proliferating cells staining positive for unphosphorylated EGFR.</w:t>
      </w:r>
    </w:p>
    <w:p>
      <w:pPr>
        <w:pStyle w:val="Compact"/>
        <w:numPr>
          <w:ilvl w:val="0"/>
          <w:numId w:val="1003"/>
        </w:numPr>
      </w:pPr>
      <w:r>
        <w:rPr>
          <w:b/>
          <w:bCs/>
        </w:rPr>
        <w:t xml:space="preserve">Macromolecular Transport Penetration:</w:t>
      </w:r>
      <w:r>
        <w:t xml:space="preserve"> </w:t>
      </w:r>
      <w:r>
        <w:t xml:space="preserve">Antibody-drug conjugates (ADCs, 150 kDa) should fail to penetrate compact tumor nests beyond</w:t>
      </w:r>
      <w:r>
        <w:t xml:space="preserve"> </w:t>
      </w:r>
      <m:oMath>
        <m:r>
          <m:t>47</m:t>
        </m:r>
        <m:r>
          <m:t> </m:t>
        </m:r>
        <m:r>
          <m:t>μ</m:t>
        </m:r>
        <m:r>
          <m:rPr>
            <m:nor/>
            <m:sty m:val="p"/>
          </m:rPr>
          <m:t>m</m:t>
        </m:r>
      </m:oMath>
      <w:r>
        <w:t xml:space="preserve">, predicting transport-mediated resistance in dense solid patterns unless coupled to vascular-normalizing agents.</w:t>
      </w:r>
    </w:p>
    <w:p>
      <w:r>
        <w:pict>
          <v:rect style="width:0;height:1.5pt" o:hralign="center" o:hrstd="t" o:hr="t"/>
        </w:pict>
      </w:r>
    </w:p>
    <w:bookmarkEnd w:id="55"/>
    <w:bookmarkEnd w:id="56"/>
    <w:bookmarkStart w:id="66" w:name="declarations-reproducibility"/>
    <w:p>
      <w:pPr>
        <w:pStyle w:val="Heading2"/>
      </w:pPr>
      <w:r>
        <w:t xml:space="preserve">6. Declarations &amp; Reproducibility</w:t>
      </w:r>
    </w:p>
    <w:bookmarkStart w:id="57" w:name="ethics-approval-consent-to-participate"/>
    <w:p>
      <w:pPr>
        <w:pStyle w:val="Heading3"/>
      </w:pPr>
      <w:r>
        <w:t xml:space="preserve">Ethics Approval &amp; Consent to Participate</w:t>
      </w:r>
    </w:p>
    <w:p>
      <w:pPr>
        <w:pStyle w:val="FirstParagraph"/>
      </w:pPr>
      <w:r>
        <w:t xml:space="preserve">This study is a secondary analysis of de-identified, publicly available retrospective clinical data from Memorial Sloan Kettering Cancer Center (MSKCC). In accordance with institutional guidelines and US 45 CFR 46, secondary analysis of publicly de-identified datasets does not constitute human subjects research and is exempt from institutional review board (IRB) review.</w:t>
      </w:r>
    </w:p>
    <w:bookmarkEnd w:id="57"/>
    <w:bookmarkStart w:id="58" w:name="consent-for-publication"/>
    <w:p>
      <w:pPr>
        <w:pStyle w:val="Heading3"/>
      </w:pPr>
      <w:r>
        <w:t xml:space="preserve">Consent for Publication</w:t>
      </w:r>
    </w:p>
    <w:p>
      <w:pPr>
        <w:pStyle w:val="FirstParagraph"/>
      </w:pPr>
      <w:r>
        <w:t xml:space="preserve">Not applicable.</w:t>
      </w:r>
    </w:p>
    <w:bookmarkEnd w:id="58"/>
    <w:bookmarkStart w:id="61" w:name="availability-of-data-and-materials"/>
    <w:p>
      <w:pPr>
        <w:pStyle w:val="Heading3"/>
      </w:pPr>
      <w:r>
        <w:t xml:space="preserve">Availability of Data and Materials</w:t>
      </w:r>
    </w:p>
    <w:p>
      <w:pPr>
        <w:pStyle w:val="FirstParagraph"/>
      </w:pPr>
      <w:r>
        <w:t xml:space="preserve">All data and source code required to reproduce every calculation, figure, and table are publicly available:</w:t>
      </w:r>
      <w:r>
        <w:t xml:space="preserve"> </w:t>
      </w:r>
      <w:r>
        <w:t xml:space="preserve">-</w:t>
      </w:r>
      <w:r>
        <w:t xml:space="preserve"> </w:t>
      </w:r>
      <w:r>
        <w:rPr>
          <w:b/>
          <w:bCs/>
        </w:rPr>
        <w:t xml:space="preserve">GitHub Repository:</w:t>
      </w:r>
      <w:r>
        <w:t xml:space="preserve"> </w:t>
      </w:r>
      <w:hyperlink r:id="rId59">
        <w:r>
          <w:rPr>
            <w:rStyle w:val="VerbatimChar"/>
          </w:rPr>
          <w:t xml:space="preserve">https://github.com/Lukecele/spatial-oncology-master</w:t>
        </w:r>
      </w:hyperlink>
      <w:r>
        <w:t xml:space="preserve"> </w:t>
      </w:r>
      <w:r>
        <w:t xml:space="preserve">-</w:t>
      </w:r>
      <w:r>
        <w:t xml:space="preserve"> </w:t>
      </w:r>
      <w:r>
        <w:rPr>
          <w:b/>
          <w:bCs/>
        </w:rPr>
        <w:t xml:space="preserve">Zenodo DOI:</w:t>
      </w:r>
      <w:r>
        <w:t xml:space="preserve"> </w:t>
      </w:r>
      <w:hyperlink r:id="rId60">
        <w:r>
          <w:rPr>
            <w:rStyle w:val="VerbatimChar"/>
          </w:rPr>
          <w:t xml:space="preserve">10.5281/zenodo.23623653</w:t>
        </w:r>
      </w:hyperlink>
      <w:r>
        <w:t xml:space="preserve"> </w:t>
      </w:r>
      <w:r>
        <w:t xml:space="preserve">-</w:t>
      </w:r>
      <w:r>
        <w:t xml:space="preserve"> </w:t>
      </w:r>
      <w:r>
        <w:rPr>
          <w:b/>
          <w:bCs/>
        </w:rPr>
        <w:t xml:space="preserve">Clinical Cohort Dataset:</w:t>
      </w:r>
      <w:r>
        <w:t xml:space="preserve"> </w:t>
      </w:r>
      <w:r>
        <w:rPr>
          <w:rStyle w:val="VerbatimChar"/>
        </w:rPr>
        <w:t xml:space="preserve">data/mskcc_2020_real_cohort.csv</w:t>
      </w:r>
      <w:r>
        <w:t xml:space="preserve"> </w:t>
      </w:r>
      <w:r>
        <w:t xml:space="preserve">(SHA-256 verified)</w:t>
      </w:r>
    </w:p>
    <w:bookmarkEnd w:id="61"/>
    <w:bookmarkStart w:id="62" w:name="competing-interests"/>
    <w:p>
      <w:pPr>
        <w:pStyle w:val="Heading3"/>
      </w:pPr>
      <w:r>
        <w:t xml:space="preserve">Competing Interests</w:t>
      </w:r>
    </w:p>
    <w:p>
      <w:pPr>
        <w:pStyle w:val="FirstParagraph"/>
      </w:pPr>
      <w:r>
        <w:t xml:space="preserve">The author declares that he has no competing financial or non-financial interests.</w:t>
      </w:r>
    </w:p>
    <w:bookmarkEnd w:id="62"/>
    <w:bookmarkStart w:id="63" w:name="funding"/>
    <w:p>
      <w:pPr>
        <w:pStyle w:val="Heading3"/>
      </w:pPr>
      <w:r>
        <w:t xml:space="preserve">Funding</w:t>
      </w:r>
    </w:p>
    <w:p>
      <w:pPr>
        <w:pStyle w:val="FirstParagraph"/>
      </w:pPr>
      <w:r>
        <w:t xml:space="preserve">This research received no specific grant from any funding agency in the public, commercial, or not-for-profit sectors.</w:t>
      </w:r>
    </w:p>
    <w:bookmarkEnd w:id="63"/>
    <w:bookmarkStart w:id="64" w:name="authors-contributions"/>
    <w:p>
      <w:pPr>
        <w:pStyle w:val="Heading3"/>
      </w:pPr>
      <w:r>
        <w:t xml:space="preserve">Authors’ Contributions</w:t>
      </w:r>
    </w:p>
    <w:p>
      <w:pPr>
        <w:pStyle w:val="FirstParagraph"/>
      </w:pPr>
      <w:r>
        <w:t xml:space="preserve">L.C. conceived the biophysical model, formulated the reaction–diffusion boundary value problems, derived the lead-time identity, conducted the survival analyses, created the figures, and wrote the manuscript as sole author.</w:t>
      </w:r>
    </w:p>
    <w:bookmarkEnd w:id="64"/>
    <w:bookmarkStart w:id="65" w:name="Xb6e709ffab7d3ad1b089d86a5d42a8f8bce8214"/>
    <w:p>
      <w:pPr>
        <w:pStyle w:val="Heading3"/>
      </w:pPr>
      <w:r>
        <w:t xml:space="preserve">Use of Artificial Intelligence and Large Language Models</w:t>
      </w:r>
    </w:p>
    <w:p>
      <w:pPr>
        <w:pStyle w:val="FirstParagraph"/>
      </w:pPr>
      <w:r>
        <w:t xml:space="preserve">In compliance with Springer Nature and COPE guidelines on artificial intelligence, large language model (LLM) tools (including Anthropic Claude and Google Antigravity) were utilized for code refactoring, numerical cross-verification, and editorial critique. The author independently verified all mathematical derivations, executed all numerical simulations and statistical tests, reviewed and edited all text, and takes full intellectual and scientific responsibility for the final contents of this manuscript.</w:t>
      </w:r>
    </w:p>
    <w:p>
      <w:r>
        <w:pict>
          <v:rect style="width:0;height:1.5pt" o:hralign="center" o:hrstd="t" o:hr="t"/>
        </w:pict>
      </w:r>
    </w:p>
    <w:bookmarkEnd w:id="65"/>
    <w:bookmarkEnd w:id="66"/>
    <w:bookmarkStart w:id="67" w:name="X75ce22c5f7120508f67da3522997c8dc01af915"/>
    <w:p>
      <w:pPr>
        <w:pStyle w:val="Heading2"/>
      </w:pPr>
      <w:r>
        <w:t xml:space="preserve">Appendix A. Audit Trail &amp; Reconciliation with Version 1</w:t>
      </w:r>
    </w:p>
    <w:p>
      <w:pPr>
        <w:pStyle w:val="Compact"/>
        <w:numPr>
          <w:ilvl w:val="0"/>
          <w:numId w:val="1004"/>
        </w:numPr>
      </w:pPr>
      <w:r>
        <w:rPr>
          <w:b/>
          <w:bCs/>
        </w:rPr>
        <w:t xml:space="preserve">Corrected &amp; Withdrawn:</w:t>
      </w:r>
    </w:p>
    <w:p>
      <w:pPr>
        <w:pStyle w:val="Compact"/>
        <w:numPr>
          <w:ilvl w:val="1"/>
          <w:numId w:val="1005"/>
        </w:numPr>
      </w:pPr>
      <w:r>
        <w:t xml:space="preserve">Withdrew the assertion that inward (avascular nest) and outward (perivascular cord) geometries yield identical sanctuary bands; proved that inward diffusion maintains osimertinib at</w:t>
      </w:r>
      <w:r>
        <w:t xml:space="preserve"> </w:t>
      </w:r>
      <m:oMath>
        <m:r>
          <m:t>90.6</m:t>
        </m:r>
        <m:r>
          <m:rPr>
            <m:sty m:val="p"/>
          </m:rPr>
          <m:t>%</m:t>
        </m:r>
        <m:r>
          <m:rPr>
            <m:nor/>
            <m:sty m:val="p"/>
          </m:rPr>
          <m:t>–</m:t>
        </m:r>
        <m:r>
          <m:t>99.4</m:t>
        </m:r>
        <m:r>
          <m:rPr>
            <m:sty m:val="p"/>
          </m:rPr>
          <m:t>%</m:t>
        </m:r>
      </m:oMath>
      <w:r>
        <w:t xml:space="preserve"> </w:t>
      </w:r>
      <w:r>
        <w:t xml:space="preserve">of boundary concentration, precluding small-molecule sanctuary formation.</w:t>
      </w:r>
    </w:p>
    <w:p>
      <w:pPr>
        <w:pStyle w:val="Compact"/>
        <w:numPr>
          <w:ilvl w:val="1"/>
          <w:numId w:val="1005"/>
        </w:numPr>
      </w:pPr>
      <w:r>
        <w:t xml:space="preserve">Withdrew the claim that avascular solid/micropapillary nests shelter sensitive cells from small-molecule TKIs; clarified that sanctuaries exist exclusively in outward perivascular cords or for macromolecular ADCs.</w:t>
      </w:r>
    </w:p>
    <w:p>
      <w:pPr>
        <w:pStyle w:val="Compact"/>
        <w:numPr>
          <w:ilvl w:val="1"/>
          <w:numId w:val="1005"/>
        </w:numPr>
      </w:pPr>
      <w:r>
        <w:t xml:space="preserve">Withdrew the claim of ADAURA concordance as mechanistic validation; proved that lead time</w:t>
      </w:r>
      <w:r>
        <w:t xml:space="preserve"> </w:t>
      </w:r>
      <m:oMath>
        <m:r>
          <m:t>Δ</m:t>
        </m:r>
        <m:r>
          <m:t>t</m:t>
        </m:r>
        <m:r>
          <m:rPr>
            <m:sty m:val="p"/>
          </m:rPr>
          <m:t>=</m:t>
        </m:r>
        <m:r>
          <m:t>5.46</m:t>
        </m:r>
        <m:r>
          <m:t> </m:t>
        </m:r>
        <m:r>
          <m:rPr>
            <m:nor/>
            <m:sty m:val="p"/>
          </m:rPr>
          <m:t>months</m:t>
        </m:r>
      </m:oMath>
      <w:r>
        <w:t xml:space="preserve"> </w:t>
      </w:r>
      <w:r>
        <w:t xml:space="preserve">is an algebraic identity (</w:t>
      </w:r>
      <m:oMath>
        <m:sSub>
          <m:e>
            <m:r>
              <m:rPr>
                <m:sty m:val="p"/>
              </m:rPr>
              <m:t>log</m:t>
            </m:r>
          </m:e>
          <m:sub>
            <m:r>
              <m:t>2</m:t>
            </m:r>
          </m:sub>
        </m:sSub>
        <m:d>
          <m:dPr>
            <m:begChr m:val="("/>
            <m:endChr m:val=")"/>
            <m:sepChr m:val=""/>
            <m:grow/>
          </m:dPr>
          <m:e>
            <m:r>
              <m:t>100</m:t>
            </m:r>
          </m:e>
        </m:d>
        <m:r>
          <m:rPr>
            <m:sty m:val="p"/>
          </m:rPr>
          <m:t>⋅</m:t>
        </m:r>
        <m:sSub>
          <m:e>
            <m:r>
              <m:t>T</m:t>
            </m:r>
          </m:e>
          <m:sub>
            <m:r>
              <m:t>s</m:t>
            </m:r>
          </m:sub>
        </m:sSub>
      </m:oMath>
      <w:r>
        <w:t xml:space="preserve">).</w:t>
      </w:r>
    </w:p>
    <w:p>
      <w:pPr>
        <w:pStyle w:val="Compact"/>
        <w:numPr>
          <w:ilvl w:val="1"/>
          <w:numId w:val="1005"/>
        </w:numPr>
      </w:pPr>
      <w:r>
        <w:t xml:space="preserve">Withdrew the cross-subtype correlation coefficient (</w:t>
      </w:r>
      <m:oMath>
        <m:r>
          <m:t>r</m:t>
        </m:r>
        <m:r>
          <m:rPr>
            <m:sty m:val="p"/>
          </m:rPr>
          <m:t>=</m:t>
        </m:r>
        <m:r>
          <m:t>0.983</m:t>
        </m:r>
      </m:oMath>
      <w:r>
        <w:t xml:space="preserve">), recognizing that sorting categories by their own event rates creates a circular artifact.</w:t>
      </w:r>
    </w:p>
    <w:p>
      <w:pPr>
        <w:pStyle w:val="Compact"/>
        <w:numPr>
          <w:ilvl w:val="1"/>
          <w:numId w:val="1005"/>
        </w:numPr>
      </w:pPr>
      <w:r>
        <w:t xml:space="preserve">Withdrew the designation of the solid/micropapillary vs lepidic contrast as</w:t>
      </w:r>
      <w:r>
        <w:t xml:space="preserve"> </w:t>
      </w:r>
      <w:r>
        <w:t xml:space="preserve">“</w:t>
      </w:r>
      <w:r>
        <w:t xml:space="preserve">a priori</w:t>
      </w:r>
      <w:r>
        <w:t xml:space="preserve">”</w:t>
      </w:r>
      <w:r>
        <w:t xml:space="preserve"> </w:t>
      </w:r>
      <w:r>
        <w:t xml:space="preserve">or</w:t>
      </w:r>
      <w:r>
        <w:t xml:space="preserve"> </w:t>
      </w:r>
      <w:r>
        <w:t xml:space="preserve">“</w:t>
      </w:r>
      <w:r>
        <w:t xml:space="preserve">pre-specified</w:t>
      </w:r>
      <w:r>
        <w:t xml:space="preserve">”</w:t>
      </w:r>
      <w:r>
        <w:t xml:space="preserve">; reported it transparently as an exploratory boundary comparison.</w:t>
      </w:r>
    </w:p>
    <w:p>
      <w:pPr>
        <w:pStyle w:val="Compact"/>
        <w:numPr>
          <w:ilvl w:val="1"/>
          <w:numId w:val="1005"/>
        </w:numPr>
      </w:pPr>
      <w:r>
        <w:t xml:space="preserve">Replaced raw median RFS duration (</w:t>
      </w:r>
      <m:oMath>
        <m:r>
          <m:t>21.4</m:t>
        </m:r>
        <m:r>
          <m:t> </m:t>
        </m:r>
        <m:r>
          <m:rPr>
            <m:nor/>
            <m:sty m:val="p"/>
          </m:rPr>
          <m:t>months</m:t>
        </m:r>
      </m:oMath>
      <w:r>
        <w:t xml:space="preserve">) with the reverse Kaplan–Meier follow-up estimate (</w:t>
      </w:r>
      <m:oMath>
        <m:r>
          <m:t>23.8</m:t>
        </m:r>
        <m:r>
          <m:t> </m:t>
        </m:r>
        <m:r>
          <m:rPr>
            <m:nor/>
            <m:sty m:val="p"/>
          </m:rPr>
          <m:t>months</m:t>
        </m:r>
      </m:oMath>
      <w:r>
        <w:t xml:space="preserve">, IQR: 13.3–31.8 months).</w:t>
      </w:r>
    </w:p>
    <w:p>
      <w:pPr>
        <w:pStyle w:val="Compact"/>
        <w:numPr>
          <w:ilvl w:val="1"/>
          <w:numId w:val="1005"/>
        </w:numPr>
      </w:pPr>
      <w:r>
        <w:t xml:space="preserve">Corrected the post-cessation event distribution from Herbst et al. 2025: 11 of 19 events (57.9%) occurred within 12 months post-cessation.</w:t>
      </w:r>
    </w:p>
    <w:p>
      <w:pPr>
        <w:pStyle w:val="Compact"/>
        <w:numPr>
          <w:ilvl w:val="1"/>
          <w:numId w:val="1005"/>
        </w:numPr>
      </w:pPr>
      <w:r>
        <w:t xml:space="preserve">Removed speculative clinical surveillance recommendations, the</w:t>
      </w:r>
      <w:r>
        <w:t xml:space="preserve"> </w:t>
      </w:r>
      <m:oMath>
        <m:r>
          <m:rPr>
            <m:sty m:val="p"/>
          </m:rPr>
          <m:t>≥</m:t>
        </m:r>
        <m:r>
          <m:t>20</m:t>
        </m:r>
        <m:r>
          <m:rPr>
            <m:sty m:val="p"/>
          </m:rPr>
          <m:t>%</m:t>
        </m:r>
      </m:oMath>
      <w:r>
        <w:t xml:space="preserve"> </w:t>
      </w:r>
      <w:r>
        <w:t xml:space="preserve">ctDNA monitoring interval, and combination therapy claims, replacing them with explicit testable predictions and IASLC 2020 grading context.</w:t>
      </w:r>
    </w:p>
    <w:p>
      <w:pPr>
        <w:pStyle w:val="Compact"/>
        <w:numPr>
          <w:ilvl w:val="0"/>
          <w:numId w:val="1004"/>
        </w:numPr>
      </w:pPr>
      <w:r>
        <w:rPr>
          <w:b/>
          <w:bCs/>
        </w:rPr>
        <w:t xml:space="preserve">Added:</w:t>
      </w:r>
    </w:p>
    <w:p>
      <w:pPr>
        <w:pStyle w:val="Compact"/>
        <w:numPr>
          <w:ilvl w:val="1"/>
          <w:numId w:val="1006"/>
        </w:numPr>
      </w:pPr>
      <w:r>
        <w:t xml:space="preserve">Closed-form inward Bessel solution (</w:t>
      </w:r>
      <m:oMath>
        <m:sSub>
          <m:e>
            <m:r>
              <m:t>I</m:t>
            </m:r>
          </m:e>
          <m:sub>
            <m:r>
              <m:t>0</m:t>
            </m:r>
          </m:sub>
        </m:sSub>
        <m:d>
          <m:dPr>
            <m:begChr m:val="("/>
            <m:endChr m:val=")"/>
            <m:sepChr m:val=""/>
            <m:grow/>
          </m:dPr>
          <m:e>
            <m:r>
              <m:t>r</m:t>
            </m:r>
            <m:r>
              <m:rPr>
                <m:sty m:val="p"/>
              </m:rPr>
              <m:t>/</m:t>
            </m:r>
            <m:r>
              <m:t>λ</m:t>
            </m:r>
          </m:e>
        </m:d>
        <m:r>
          <m:rPr>
            <m:sty m:val="p"/>
          </m:rPr>
          <m:t>/</m:t>
        </m:r>
        <m:sSub>
          <m:e>
            <m:r>
              <m:t>I</m:t>
            </m:r>
          </m:e>
          <m:sub>
            <m:r>
              <m:t>0</m:t>
            </m:r>
          </m:sub>
        </m:sSub>
        <m:d>
          <m:dPr>
            <m:begChr m:val="("/>
            <m:endChr m:val=")"/>
            <m:sepChr m:val=""/>
            <m:grow/>
          </m:dPr>
          <m:e>
            <m:r>
              <m:t>R</m:t>
            </m:r>
            <m:r>
              <m:rPr>
                <m:sty m:val="p"/>
              </m:rPr>
              <m:t>/</m:t>
            </m:r>
            <m:r>
              <m:t>λ</m:t>
            </m:r>
          </m:e>
        </m:d>
      </m:oMath>
      <w:r>
        <w:t xml:space="preserve">) alongside outward solution (</w:t>
      </w:r>
      <m:oMath>
        <m:sSub>
          <m:e>
            <m:r>
              <m:t>K</m:t>
            </m:r>
          </m:e>
          <m:sub>
            <m:r>
              <m:t>0</m:t>
            </m:r>
          </m:sub>
        </m:sSub>
        <m:d>
          <m:dPr>
            <m:begChr m:val="("/>
            <m:endChr m:val=")"/>
            <m:sepChr m:val=""/>
            <m:grow/>
          </m:dPr>
          <m:e>
            <m:r>
              <m:t>r</m:t>
            </m:r>
            <m:r>
              <m:rPr>
                <m:sty m:val="p"/>
              </m:rPr>
              <m:t>/</m:t>
            </m:r>
            <m:r>
              <m:t>λ</m:t>
            </m:r>
          </m:e>
        </m:d>
        <m:r>
          <m:rPr>
            <m:sty m:val="p"/>
          </m:rPr>
          <m:t>/</m:t>
        </m:r>
        <m:sSub>
          <m:e>
            <m:r>
              <m:t>K</m:t>
            </m:r>
          </m:e>
          <m:sub>
            <m:r>
              <m:t>0</m:t>
            </m:r>
          </m:sub>
        </m:sSub>
        <m:d>
          <m:dPr>
            <m:begChr m:val="("/>
            <m:endChr m:val=")"/>
            <m:sepChr m:val=""/>
            <m:grow/>
          </m:dPr>
          <m:e>
            <m:sSub>
              <m:e>
                <m:r>
                  <m:t>r</m:t>
                </m:r>
              </m:e>
              <m:sub>
                <m:r>
                  <m:t>0</m:t>
                </m:r>
              </m:sub>
            </m:sSub>
            <m:r>
              <m:rPr>
                <m:sty m:val="p"/>
              </m:rPr>
              <m:t>/</m:t>
            </m:r>
            <m:r>
              <m:t>λ</m:t>
            </m:r>
          </m:e>
        </m:d>
      </m:oMath>
      <w:r>
        <w:t xml:space="preserve">).</w:t>
      </w:r>
    </w:p>
    <w:p>
      <w:pPr>
        <w:pStyle w:val="Compact"/>
        <w:numPr>
          <w:ilvl w:val="1"/>
          <w:numId w:val="1006"/>
        </w:numPr>
      </w:pPr>
      <w:r>
        <w:t xml:space="preserve">Mathematical derivations of oxygen diffusion in both Krogh cylinder and cylindrical nest geometries.</w:t>
      </w:r>
    </w:p>
    <w:p>
      <w:pPr>
        <w:pStyle w:val="Compact"/>
        <w:numPr>
          <w:ilvl w:val="1"/>
          <w:numId w:val="1006"/>
        </w:numPr>
      </w:pPr>
      <w:r>
        <w:t xml:space="preserve">Multidimensional sensitivity analysis across</w:t>
      </w:r>
      <w:r>
        <w:t xml:space="preserve"> </w:t>
      </w:r>
      <m:oMath>
        <m:r>
          <m:t>D</m:t>
        </m:r>
        <m:r>
          <m:rPr>
            <m:sty m:val="p"/>
          </m:rPr>
          <m:t>,</m:t>
        </m:r>
        <m:r>
          <m:t>k</m:t>
        </m:r>
        <m:r>
          <m:rPr>
            <m:sty m:val="p"/>
          </m:rPr>
          <m:t>,</m:t>
        </m:r>
        <m:r>
          <m:t>θ</m:t>
        </m:r>
        <m:r>
          <m:rPr>
            <m:sty m:val="p"/>
          </m:rPr>
          <m:t>,</m:t>
        </m:r>
        <m:sSub>
          <m:e>
            <m:r>
              <m:t>r</m:t>
            </m:r>
          </m:e>
          <m:sub>
            <m:r>
              <m:t>0</m:t>
            </m:r>
          </m:sub>
        </m:sSub>
      </m:oMath>
      <w:r>
        <w:t xml:space="preserve">, and</w:t>
      </w:r>
      <w:r>
        <w:t xml:space="preserve"> </w:t>
      </w:r>
      <m:oMath>
        <m:sSub>
          <m:e>
            <m:r>
              <m:t>r</m:t>
            </m:r>
          </m:e>
          <m:sub>
            <m:r>
              <m:rPr>
                <m:nor/>
                <m:sty m:val="p"/>
              </m:rPr>
              <m:t>ox</m:t>
            </m:r>
          </m:sub>
        </m:sSub>
      </m:oMath>
      <w:r>
        <w:t xml:space="preserve"> </w:t>
      </w:r>
      <w:r>
        <w:t xml:space="preserve">(Table 1, Table 2).</w:t>
      </w:r>
    </w:p>
    <w:p>
      <w:pPr>
        <w:pStyle w:val="Compact"/>
        <w:numPr>
          <w:ilvl w:val="1"/>
          <w:numId w:val="1006"/>
        </w:numPr>
      </w:pPr>
      <w:r>
        <w:t xml:space="preserve">Analytical lead-time identity derivation and separate parameter scans (Table 3A, Table 3B).</w:t>
      </w:r>
    </w:p>
    <w:p>
      <w:pPr>
        <w:pStyle w:val="Compact"/>
        <w:numPr>
          <w:ilvl w:val="1"/>
          <w:numId w:val="1006"/>
        </w:numPr>
      </w:pPr>
      <w:r>
        <w:t xml:space="preserve">Complete 10-fold pairwise Cox contrasts with Holm multiplicity adjustments (Table 5).</w:t>
      </w:r>
    </w:p>
    <w:p>
      <w:pPr>
        <w:pStyle w:val="Compact"/>
        <w:numPr>
          <w:ilvl w:val="1"/>
          <w:numId w:val="1006"/>
        </w:numPr>
      </w:pPr>
      <w:r>
        <w:t xml:space="preserve">Bootstrap confidence intervals demonstrating the instability of the extreme contrast upper bound.</w:t>
      </w:r>
    </w:p>
    <w:p>
      <w:pPr>
        <w:pStyle w:val="Compact"/>
        <w:numPr>
          <w:ilvl w:val="1"/>
          <w:numId w:val="1006"/>
        </w:numPr>
      </w:pPr>
      <w:r>
        <w:t xml:space="preserve">Demonstration of severe stage confounding within the</w:t>
      </w:r>
      <w:r>
        <w:t xml:space="preserve"> </w:t>
      </w:r>
      <w:r>
        <w:rPr>
          <w:i/>
          <w:iCs/>
        </w:rPr>
        <w:t xml:space="preserve">EGFR</w:t>
      </w:r>
      <w:r>
        <w:t xml:space="preserve">-mutant subgroup.</w:t>
      </w:r>
    </w:p>
    <w:p>
      <w:pPr>
        <w:pStyle w:val="Compact"/>
        <w:numPr>
          <w:ilvl w:val="1"/>
          <w:numId w:val="1006"/>
        </w:numPr>
      </w:pPr>
      <w:r>
        <w:t xml:space="preserve">Benchmark validation against the classic Freireich 6-MP clinical dataset.</w:t>
      </w:r>
    </w:p>
    <w:p>
      <w:r>
        <w:pict>
          <v:rect style="width:0;height:1.5pt" o:hralign="center" o:hrstd="t" o:hr="t"/>
        </w:pict>
      </w:r>
    </w:p>
    <w:bookmarkEnd w:id="67"/>
    <w:bookmarkStart w:id="68" w:name="references"/>
    <w:p>
      <w:pPr>
        <w:pStyle w:val="Heading2"/>
      </w:pPr>
      <w:r>
        <w:t xml:space="preserve">References</w:t>
      </w:r>
    </w:p>
    <w:p>
      <w:pPr>
        <w:pStyle w:val="Compact"/>
        <w:numPr>
          <w:ilvl w:val="0"/>
          <w:numId w:val="1007"/>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7"/>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7"/>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7"/>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 doi:10.1038/bjc.1955.55.</w:t>
      </w:r>
    </w:p>
    <w:p>
      <w:pPr>
        <w:pStyle w:val="Compact"/>
        <w:numPr>
          <w:ilvl w:val="0"/>
          <w:numId w:val="1007"/>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 doi:10.1158/2159-8290.CD-14-0337.</w:t>
      </w:r>
    </w:p>
    <w:p>
      <w:pPr>
        <w:pStyle w:val="Compact"/>
        <w:numPr>
          <w:ilvl w:val="0"/>
          <w:numId w:val="1007"/>
        </w:numPr>
      </w:pPr>
      <w:r>
        <w:t xml:space="preserve">Sharma SV, Lee DY, Li B, et al. A chromatin-mediated reversible drug-tolerant state in cancer cell subpopulations.</w:t>
      </w:r>
      <w:r>
        <w:t xml:space="preserve"> </w:t>
      </w:r>
      <w:r>
        <w:rPr>
          <w:i/>
          <w:iCs/>
        </w:rPr>
        <w:t xml:space="preserve">Cell</w:t>
      </w:r>
      <w:r>
        <w:t xml:space="preserve">. 2010;141(1):69-80. doi:10.1016/j.cell.2010.02.027.</w:t>
      </w:r>
    </w:p>
    <w:p>
      <w:pPr>
        <w:pStyle w:val="Compact"/>
        <w:numPr>
          <w:ilvl w:val="0"/>
          <w:numId w:val="1007"/>
        </w:numPr>
      </w:pPr>
      <w:r>
        <w:t xml:space="preserve">Kurppa KJ, Liu Y, To C, et al. Treatment-Induced Tumor Dormancy through YAP-Mediated Transcriptional Reprogramming of the Apoptotic Pathway.</w:t>
      </w:r>
      <w:r>
        <w:t xml:space="preserve"> </w:t>
      </w:r>
      <w:r>
        <w:rPr>
          <w:i/>
          <w:iCs/>
        </w:rPr>
        <w:t xml:space="preserve">Cancer Cell</w:t>
      </w:r>
      <w:r>
        <w:t xml:space="preserve">. 2020;37(1):104-122.e12. doi:10.1016/j.ccell.2019.12.006.</w:t>
      </w:r>
    </w:p>
    <w:p>
      <w:pPr>
        <w:pStyle w:val="Compact"/>
        <w:numPr>
          <w:ilvl w:val="0"/>
          <w:numId w:val="1007"/>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7"/>
        </w:numPr>
      </w:pPr>
      <w:r>
        <w:t xml:space="preserve">Swabb EA, Wei J, Gullino PM. Diffusion and convection in normal and neoplastic tissues.</w:t>
      </w:r>
      <w:r>
        <w:t xml:space="preserve"> </w:t>
      </w:r>
      <w:r>
        <w:rPr>
          <w:i/>
          <w:iCs/>
        </w:rPr>
        <w:t xml:space="preserve">Cancer Res</w:t>
      </w:r>
      <w:r>
        <w:t xml:space="preserve">. 1974;34(10):2814-2822.</w:t>
      </w:r>
    </w:p>
    <w:p>
      <w:pPr>
        <w:pStyle w:val="Compact"/>
        <w:numPr>
          <w:ilvl w:val="0"/>
          <w:numId w:val="1007"/>
        </w:numPr>
      </w:pPr>
      <w:r>
        <w:t xml:space="preserve">Nugent LJ, Jain RK. Extravascular diffusion in normal and neoplastic tissues.</w:t>
      </w:r>
      <w:r>
        <w:t xml:space="preserve"> </w:t>
      </w:r>
      <w:r>
        <w:rPr>
          <w:i/>
          <w:iCs/>
        </w:rPr>
        <w:t xml:space="preserve">Cancer Res</w:t>
      </w:r>
      <w:r>
        <w:t xml:space="preserve">. 1984;44(1):238-244.</w:t>
      </w:r>
    </w:p>
    <w:p>
      <w:pPr>
        <w:pStyle w:val="Compact"/>
        <w:numPr>
          <w:ilvl w:val="0"/>
          <w:numId w:val="1007"/>
        </w:numPr>
      </w:pPr>
      <w:r>
        <w:t xml:space="preserve">Kaznatcheev A, Peacock J, Basanta D, Scott JG. Cancer games: Fibroblasts play a Hawk-Dove game with lung cancer cells.</w:t>
      </w:r>
      <w:r>
        <w:t xml:space="preserve"> </w:t>
      </w:r>
      <w:r>
        <w:rPr>
          <w:i/>
          <w:iCs/>
        </w:rPr>
        <w:t xml:space="preserve">Cancer Res</w:t>
      </w:r>
      <w:r>
        <w:t xml:space="preserve">. 2019;79(12):3231-3242. doi:10.1158/0008-5472.CAN-18-3541.</w:t>
      </w:r>
    </w:p>
    <w:p>
      <w:pPr>
        <w:pStyle w:val="Compact"/>
        <w:numPr>
          <w:ilvl w:val="0"/>
          <w:numId w:val="1007"/>
        </w:numPr>
      </w:pPr>
      <w:r>
        <w:t xml:space="preserve">Schemper M, Smith TL. A note on quantifying follow-up in studies of failure time.</w:t>
      </w:r>
      <w:r>
        <w:t xml:space="preserve"> </w:t>
      </w:r>
      <w:r>
        <w:rPr>
          <w:i/>
          <w:iCs/>
        </w:rPr>
        <w:t xml:space="preserve">Control Clin Trials</w:t>
      </w:r>
      <w:r>
        <w:t xml:space="preserve">. 1996;17(4):343-346. doi:10.1016/0197-2456(96)00075-x.</w:t>
      </w:r>
    </w:p>
    <w:p>
      <w:pPr>
        <w:pStyle w:val="Compact"/>
        <w:numPr>
          <w:ilvl w:val="0"/>
          <w:numId w:val="1007"/>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p>
      <w:pPr>
        <w:pStyle w:val="Compact"/>
        <w:numPr>
          <w:ilvl w:val="0"/>
          <w:numId w:val="1007"/>
        </w:numPr>
      </w:pPr>
      <w:r>
        <w:t xml:space="preserve">Worth KR, Papandreou I, Hammond EM. How the histological structure of some lung cancers shaped almost 70 years of radiobiology.</w:t>
      </w:r>
      <w:r>
        <w:t xml:space="preserve"> </w:t>
      </w:r>
      <w:r>
        <w:rPr>
          <w:i/>
          <w:iCs/>
        </w:rPr>
        <w:t xml:space="preserve">Br J Cancer</w:t>
      </w:r>
      <w:r>
        <w:t xml:space="preserve">. 2023;128(3):407-412. doi:10.1038/s41416-022-02041-9.</w:t>
      </w:r>
    </w:p>
    <w:p>
      <w:pPr>
        <w:pStyle w:val="Compact"/>
        <w:numPr>
          <w:ilvl w:val="0"/>
          <w:numId w:val="1007"/>
        </w:numPr>
      </w:pPr>
      <w:r>
        <w:t xml:space="preserve">Hirst DG, Hirst VK, Joiner B, et al. Changes in tumour morphology with alterations in oxygen availability: further evidence for oxygen as a limiting substrate.</w:t>
      </w:r>
      <w:r>
        <w:t xml:space="preserve"> </w:t>
      </w:r>
      <w:r>
        <w:rPr>
          <w:i/>
          <w:iCs/>
        </w:rPr>
        <w:t xml:space="preserve">Br J Cancer</w:t>
      </w:r>
      <w:r>
        <w:t xml:space="preserve">. 1991;64(1):54-58. doi:10.1038/bjc.1991.238.</w:t>
      </w:r>
    </w:p>
    <w:p>
      <w:pPr>
        <w:pStyle w:val="Compact"/>
        <w:numPr>
          <w:ilvl w:val="0"/>
          <w:numId w:val="1007"/>
        </w:numPr>
      </w:pPr>
      <w:r>
        <w:t xml:space="preserve">Moreira AL, Ocampo PSS, Xia Y, et al. A Grading System for Invasive Pulmonary Adenocarcinoma: A Proposal From the International Association for the Study of Lung Cancer Pathology Committee.</w:t>
      </w:r>
      <w:r>
        <w:t xml:space="preserve"> </w:t>
      </w:r>
      <w:r>
        <w:rPr>
          <w:i/>
          <w:iCs/>
        </w:rPr>
        <w:t xml:space="preserve">J Thorac Oncol</w:t>
      </w:r>
      <w:r>
        <w:t xml:space="preserve">. 2020;15(10):1599-1610. doi:10.1016/j.jtho.2020.06.001.</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hyperlink" Id="rId60" Target="https://doi.org/10.5281/zenodo.23623653" TargetMode="External" /><Relationship Type="http://schemas.openxmlformats.org/officeDocument/2006/relationships/hyperlink" Id="rId59" Target="https://github.com/Lukecele/spatial-oncology-master" TargetMode="External"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5281/zenodo.23623653" TargetMode="External" /><Relationship Type="http://schemas.openxmlformats.org/officeDocument/2006/relationships/hyperlink" Id="rId59" Target="https://github.com/Lukecele/spatial-oncology-master" TargetMode="External" /><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2026-10-26T08:36:42Z</dcterms:created>
  <dcterms:modified xsi:type="dcterms:W3CDTF">2026-10-26T08:36:42Z</dcterms:modified>
</cp:coreProperties>
</file>

<file path=docProps/custom.xml><?xml version="1.0" encoding="utf-8"?>
<Properties xmlns="http://schemas.openxmlformats.org/officeDocument/2006/custom-properties" xmlns:vt="http://schemas.openxmlformats.org/officeDocument/2006/docPropsVTypes"/>
</file>