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9e176e3a635a576688d68c862edad781682c015"/>
    <w:p>
      <w:pPr>
        <w:pStyle w:val="Heading1"/>
      </w:pPr>
      <w:r>
        <w:t xml:space="preserve">Conditions for Pharmacological Sanctuaries in Perivascular Tumour Cords: A Reaction–Diffusion Analysis, a Regrowth-Kinetics Identity, and a Descriptive Survival Analysis of Histologic Subtype in Resected Lung Adenocarcinoma</w:t>
      </w:r>
    </w:p>
    <w:p>
      <w:pPr>
        <w:pStyle w:val="FirstParagraph"/>
      </w:pPr>
      <w:r>
        <w:rPr>
          <w:b/>
          <w:bCs/>
        </w:rPr>
        <w:t xml:space="preserve">Luca Celebrano</w:t>
      </w:r>
      <w:r>
        <w:br/>
      </w:r>
      <w:r>
        <w:rPr>
          <w:i/>
          <w:iCs/>
        </w:rPr>
        <w:t xml:space="preserve">Department of Clinical Medicine and Surgery, School of Medicine and Surgery, University of Naples Federico II, Naples, Italy</w:t>
      </w:r>
      <w:r>
        <w:br/>
      </w:r>
      <w:r>
        <w:rPr>
          <w:i/>
          <w:iCs/>
        </w:rPr>
        <w:t xml:space="preserve">Correspondence: luca.celebrano5@gmail.com / l.celebrano@studenti.unina.it | ORCID:</w:t>
      </w:r>
      <w:r>
        <w:rPr>
          <w:i/>
          <w:iCs/>
        </w:rPr>
        <w:t xml:space="preserve"> </w:t>
      </w:r>
      <w:hyperlink r:id="rId20">
        <w:r>
          <w:rPr>
            <w:rStyle w:val="Hyperlink"/>
            <w:i/>
            <w:iCs/>
          </w:rPr>
          <w:t xml:space="preserve">0009-0006-2584-7546</w:t>
        </w:r>
      </w:hyperlink>
      <w:r>
        <w:br/>
      </w:r>
      <w:r>
        <w:rPr>
          <w:i/>
          <w:iCs/>
        </w:rPr>
        <w:t xml:space="preserve">Permanent Zenodo Master DOI:</w:t>
      </w:r>
      <w:r>
        <w:t xml:space="preserve"> </w:t>
      </w:r>
      <w:hyperlink r:id="rId21">
        <w:r>
          <w:rPr>
            <w:rStyle w:val="Hyperlink"/>
          </w:rPr>
          <w:t xml:space="preserve">10.5281/zenodo.23623653</w:t>
        </w:r>
      </w:hyperlink>
      <w:r>
        <w:br/>
      </w:r>
      <w:r>
        <w:rPr>
          <w:i/>
          <w:iCs/>
        </w:rPr>
        <w:t xml:space="preserve">GitHub Code and Data Repository:</w:t>
      </w:r>
      <w:r>
        <w:t xml:space="preserve"> </w:t>
      </w:r>
      <w:hyperlink r:id="rId22">
        <w:r>
          <w:rPr>
            <w:rStyle w:val="Hyperlink"/>
          </w:rPr>
          <w:t xml:space="preserve">https://github.com/Lukecele/spatial-oncology-master</w:t>
        </w:r>
      </w:hyperlink>
    </w:p>
    <w:p>
      <w:r>
        <w:pict>
          <v:rect style="width:0;height:1.5pt" o:hralign="center" o:hrstd="t" o:hr="t"/>
        </w:pict>
      </w:r>
    </w:p>
    <w:bookmarkStart w:id="23" w:name="abstract"/>
    <w:p>
      <w:pPr>
        <w:pStyle w:val="Heading2"/>
      </w:pPr>
      <w:r>
        <w:t xml:space="preserve">Abstract</w:t>
      </w:r>
    </w:p>
    <w:p>
      <w:pPr>
        <w:pStyle w:val="FirstParagraph"/>
      </w:pPr>
      <w:r>
        <w:rPr>
          <w:b/>
          <w:bCs/>
        </w:rPr>
        <w:t xml:space="preserve">Background:</w:t>
      </w:r>
      <w:r>
        <w:t xml:space="preserve"> </w:t>
      </w:r>
      <w:r>
        <w:t xml:space="preserve">After 3 years of adjuvant osimertinib in resected</w:t>
      </w:r>
      <w:r>
        <w:t xml:space="preserve"> </w:t>
      </w:r>
      <w:r>
        <w:rPr>
          <w:i/>
          <w:iCs/>
        </w:rPr>
        <w:t xml:space="preserve">EGFR</w:t>
      </w:r>
      <w:r>
        <w:t xml:space="preserve">-mutant non-small cell lung cancer (NSCLC), most disease-free survival (DFS) or circulating tumour DNA (ctDNA) detection events occur after treatment discontinuation. In the exploratory molecular residual disease (MRD) analysis of the Phase III ADAURA trial (post hoc,</w:t>
      </w:r>
      <w:r>
        <w:t xml:space="preserve"> </w:t>
      </w:r>
      <m:oMath>
        <m:r>
          <m:t>n</m:t>
        </m:r>
        <m:r>
          <m:rPr>
            <m:sty m:val="p"/>
          </m:rPr>
          <m:t>=</m:t>
        </m:r>
        <m:r>
          <m:t>220</m:t>
        </m:r>
      </m:oMath>
      <w:r>
        <w:t xml:space="preserve">), 28 of 112 patients in the osimertinib arm (25.0%) experienced a DFS or MRD event; 19 of these 28 events (67.9%</w:t>
      </w:r>
      <w:r>
        <w:t xml:space="preserve"> </w:t>
      </w:r>
      <m:oMath>
        <m:r>
          <m:rPr>
            <m:sty m:val="p"/>
          </m:rPr>
          <m:t>≈</m:t>
        </m:r>
        <m:r>
          <m:t>68</m:t>
        </m:r>
        <m:r>
          <m:rPr>
            <m:sty m:val="p"/>
          </m:rPr>
          <m:t>%</m:t>
        </m:r>
      </m:oMath>
      <w:r>
        <w:t xml:space="preserve">) occurred after treatment cessation, with 11 of those 19 (57.9%</w:t>
      </w:r>
      <w:r>
        <w:t xml:space="preserve"> </w:t>
      </w:r>
      <m:oMath>
        <m:r>
          <m:rPr>
            <m:sty m:val="p"/>
          </m:rPr>
          <m:t>≈</m:t>
        </m:r>
        <m:r>
          <m:t>58</m:t>
        </m:r>
        <m:r>
          <m:rPr>
            <m:sty m:val="p"/>
          </m:rPr>
          <m:t>%</m:t>
        </m:r>
      </m:oMath>
      <w:r>
        <w:t xml:space="preserve">) occurring within 12 months of stopping (Herbst et al.,</w:t>
      </w:r>
      <w:r>
        <w:t xml:space="preserve"> </w:t>
      </w:r>
      <w:r>
        <w:rPr>
          <w:i/>
          <w:iCs/>
        </w:rPr>
        <w:t xml:space="preserve">Nature Medicine</w:t>
      </w:r>
      <w:r>
        <w:t xml:space="preserve"> </w:t>
      </w:r>
      <w:r>
        <w:t xml:space="preserve">2025). A potential, untested biophysical hypothesis is that residual neoplastic cells reside in microenvironmental niches where drug exposure falls below therapeutic inhibitory thresholds while tissue oxygenation remains sufficient to support cellular viability.</w:t>
      </w:r>
    </w:p>
    <w:p>
      <w:pPr>
        <w:pStyle w:val="BodyText"/>
      </w:pPr>
      <w:r>
        <w:rPr>
          <w:b/>
          <w:bCs/>
        </w:rPr>
        <w:t xml:space="preserve">Methods:</w:t>
      </w:r>
      <w:r>
        <w:t xml:space="preserve"> </w:t>
      </w:r>
      <w:r>
        <w:t xml:space="preserve">We established a three-part analytical framework: (1) We solved the steady-state reaction–diffusion equation for a therapeutic agent in cylindrical geometry using modified Bessel functions for two distinct physical configurations: a perivascular cord centered on a functional microvessel (outward diffusion,</w:t>
      </w:r>
      <w:r>
        <w:t xml:space="preserve"> </w:t>
      </w:r>
      <m:oMath>
        <m:sSub>
          <m:e>
            <m:r>
              <m:t>K</m:t>
            </m:r>
          </m:e>
          <m:sub>
            <m:r>
              <m:t>0</m:t>
            </m:r>
          </m:sub>
        </m:sSub>
      </m:oMath>
      <w:r>
        <w:t xml:space="preserve">) and an avascular solid nest supplied at its perimeter (inward diffusion,</w:t>
      </w:r>
      <w:r>
        <w:t xml:space="preserve"> </w:t>
      </w:r>
      <m:oMath>
        <m:sSub>
          <m:e>
            <m:r>
              <m:t>I</m:t>
            </m:r>
          </m:e>
          <m:sub>
            <m:r>
              <m:t>0</m:t>
            </m:r>
          </m:sub>
        </m:sSub>
      </m:oMath>
      <w:r>
        <w:t xml:space="preserve">), mapping the exact parameter domains in which a sub-inhibitory but viable sanctuary shell can exist. (2) We analyzed a two-phenotype replicator game dynamic coupled to an exponential regrowth formulation, deriving an analytical identity for the model’s ctDNA-to-imaging diagnostic lead time. (3) We conducted a descriptive survival analysis of the authenticated Memorial Sloan Kettering Cancer Center cohort (MSKCC 2020;</w:t>
      </w:r>
      <w:r>
        <w:t xml:space="preserve"> </w:t>
      </w:r>
      <m:oMath>
        <m:r>
          <m:t>N</m:t>
        </m:r>
        <m:r>
          <m:rPr>
            <m:sty m:val="p"/>
          </m:rPr>
          <m:t>=</m:t>
        </m:r>
        <m:r>
          <m:t>604</m:t>
        </m:r>
      </m:oMath>
      <w:r>
        <w:t xml:space="preserve"> </w:t>
      </w:r>
      <w:r>
        <w:t xml:space="preserve">resected lung adenocarcinomas, 98 recurrence events) across IASLC architectural growth patterns using reverse Kaplan–Meier follow-up estimation, multivariable Cox proportional hazards modeling with Holm multiplicity adjustment, and bootstrap resamplings.</w:t>
      </w:r>
    </w:p>
    <w:p>
      <w:pPr>
        <w:pStyle w:val="BodyText"/>
      </w:pPr>
      <w:r>
        <w:rPr>
          <w:b/>
          <w:bCs/>
        </w:rPr>
        <w:t xml:space="preserve">Results:</w:t>
      </w:r>
      <w:r>
        <w:t xml:space="preserve"> </w:t>
      </w:r>
      <w:r>
        <w:t xml:space="preserve">With baseline parameters for small-molecule osimertinib (hindered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[Swabb et al. 1974], volumetric cellular uptake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characteristic screening length</w:t>
      </w:r>
      <w:r>
        <w:t xml:space="preserve"> </w:t>
      </w:r>
      <m:oMath>
        <m:r>
          <m:t>λ</m:t>
        </m:r>
        <m:r>
          <m:rPr>
            <m:sty m:val="p"/>
          </m:rPr>
          <m:t>=</m:t>
        </m:r>
        <m:r>
          <m:t>627.6</m:t>
        </m:r>
        <m:r>
          <m:t> </m:t>
        </m:r>
        <m:r>
          <m:t>μ</m:t>
        </m:r>
        <m:r>
          <m:rPr>
            <m:nor/>
            <m:sty m:val="p"/>
          </m:rPr>
          <m:t>m</m:t>
        </m:r>
      </m:oMath>
      <w:r>
        <w:t xml:space="preserve">, capillary radius</w:t>
      </w:r>
      <w:r>
        <w:t xml:space="preserve"> </w:t>
      </w:r>
      <m:oMath>
        <m:sSub>
          <m:e>
            <m:r>
              <m:t>r</m:t>
            </m:r>
          </m:e>
          <m:sub>
            <m:r>
              <m:t>0</m:t>
            </m:r>
          </m:sub>
        </m:sSub>
        <m:r>
          <m:rPr>
            <m:sty m:val="p"/>
          </m:rPr>
          <m:t>=</m:t>
        </m:r>
        <m:r>
          <m:t>10.0</m:t>
        </m:r>
        <m:r>
          <m:t> </m:t>
        </m:r>
        <m:r>
          <m:t>μ</m:t>
        </m:r>
        <m:r>
          <m:rPr>
            <m:nor/>
            <m:sty m:val="p"/>
          </m:rPr>
          <m:t>m</m:t>
        </m:r>
      </m:oMath>
      <w:r>
        <w:t xml:space="preserve">, inhibitory threshold</w:t>
      </w:r>
      <w:r>
        <w:t xml:space="preserve"> </w:t>
      </w:r>
      <m:oMath>
        <m:r>
          <m:t>θ</m:t>
        </m:r>
        <m:r>
          <m:rPr>
            <m:sty m:val="p"/>
          </m:rPr>
          <m:t>=</m:t>
        </m:r>
        <m:r>
          <m:t>C</m:t>
        </m:r>
        <m:d>
          <m:dPr>
            <m:begChr m:val="("/>
            <m:endChr m:val=")"/>
            <m:sepChr m:val=""/>
            <m:grow/>
          </m:dPr>
          <m:e>
            <m:r>
              <m:t>I</m:t>
            </m:r>
            <m:sSub>
              <m:e>
                <m:r>
                  <m:t>C</m:t>
                </m:r>
              </m:e>
              <m:sub>
                <m:r>
                  <m:t>50</m:t>
                </m:r>
              </m:sub>
            </m:sSub>
          </m:e>
        </m:d>
        <m:r>
          <m:rPr>
            <m:sty m:val="p"/>
          </m:rPr>
          <m:t>/</m:t>
        </m:r>
        <m:sSub>
          <m:e>
            <m:r>
              <m:t>C</m:t>
            </m:r>
          </m:e>
          <m:sub>
            <m:r>
              <m:t>0</m:t>
            </m:r>
          </m:sub>
        </m:sSub>
        <m:r>
          <m:rPr>
            <m:sty m:val="p"/>
          </m:rPr>
          <m:t>=</m:t>
        </m:r>
        <m:r>
          <m:t>0.35</m:t>
        </m:r>
      </m:oMath>
      <w:r>
        <w:t xml:space="preserve">), the outward perivascular solution yields an exact critical penetration depth of</w:t>
      </w:r>
      <w:r>
        <w:t xml:space="preserve"> </w:t>
      </w:r>
      <m:oMath>
        <m:sSub>
          <m:e>
            <m:r>
              <m:t>r</m:t>
            </m:r>
          </m:e>
          <m:sub>
            <m:r>
              <m:rPr>
                <m:nor/>
                <m:sty m:val="p"/>
              </m:rPr>
              <m:t>crit</m:t>
            </m:r>
          </m:sub>
        </m:sSub>
        <m:r>
          <m:rPr>
            <m:sty m:val="p"/>
          </m:rPr>
          <m:t>=</m:t>
        </m:r>
        <m:r>
          <m:t>165.9</m:t>
        </m:r>
        <m:r>
          <m:t> </m:t>
        </m:r>
        <m:r>
          <m:t>μ</m:t>
        </m:r>
        <m:r>
          <m:rPr>
            <m:nor/>
            <m:sty m:val="p"/>
          </m:rPr>
          <m:t>m</m:t>
        </m:r>
      </m:oMath>
      <w:r>
        <w:t xml:space="preserve">. Assuming a physiological oxygen viability limit of</w:t>
      </w:r>
      <w:r>
        <w:t xml:space="preserve"> </w:t>
      </w:r>
      <m:oMath>
        <m:sSub>
          <m:e>
            <m:r>
              <m:t>r</m:t>
            </m:r>
          </m:e>
          <m:sub>
            <m:r>
              <m:rPr>
                <m:nor/>
                <m:sty m:val="p"/>
              </m:rPr>
              <m:t>ox</m:t>
            </m:r>
          </m:sub>
        </m:sSub>
        <m:r>
          <m:rPr>
            <m:sty m:val="p"/>
          </m:rPr>
          <m:t>=</m:t>
        </m:r>
        <m:r>
          <m:t>200.0</m:t>
        </m:r>
        <m:r>
          <m:t> </m:t>
        </m:r>
        <m:r>
          <m:t>μ</m:t>
        </m:r>
        <m:r>
          <m:rPr>
            <m:nor/>
            <m:sty m:val="p"/>
          </m:rPr>
          <m:t>m</m:t>
        </m:r>
      </m:oMath>
      <w:r>
        <w:t xml:space="preserve"> </w:t>
      </w:r>
      <w:r>
        <w:t xml:space="preserve">(Thomlinson &amp; Gray 1955), an outward viable pharmacological sanctuary shell emerges (</w:t>
      </w:r>
      <m:oMath>
        <m:r>
          <m:t>Δ</m:t>
        </m:r>
        <m:r>
          <m:t>r</m:t>
        </m:r>
        <m:r>
          <m:rPr>
            <m:sty m:val="p"/>
          </m:rPr>
          <m:t>=</m:t>
        </m:r>
        <m:r>
          <m:t>34.1</m:t>
        </m:r>
        <m:r>
          <m:t> </m:t>
        </m:r>
        <m:r>
          <m:t>μ</m:t>
        </m:r>
        <m:r>
          <m:rPr>
            <m:nor/>
            <m:sty m:val="p"/>
          </m:rPr>
          <m:t>m</m:t>
        </m:r>
      </m:oMath>
      <w:r>
        <w:t xml:space="preserve">). This shell is fragile: it collapses (</w:t>
      </w:r>
      <m:oMath>
        <m:r>
          <m:t>Δ</m:t>
        </m:r>
        <m:r>
          <m:t>r</m:t>
        </m:r>
        <m:r>
          <m:rPr>
            <m:sty m:val="p"/>
          </m:rPr>
          <m:t>→</m:t>
        </m:r>
        <m:r>
          <m:t>0</m:t>
        </m:r>
      </m:oMath>
      <w:r>
        <w:t xml:space="preserve">) under jointly unfavorable parameter variations (e.g.,</w:t>
      </w:r>
      <w:r>
        <w:t xml:space="preserve"> </w:t>
      </w:r>
      <m:oMath>
        <m:r>
          <m:t>D</m:t>
        </m:r>
        <m:r>
          <m:rPr>
            <m:sty m:val="p"/>
          </m:rPr>
          <m:t>+</m:t>
        </m:r>
        <m:r>
          <m:t>30</m:t>
        </m:r>
        <m:r>
          <m:rPr>
            <m:sty m:val="p"/>
          </m:rPr>
          <m:t>%</m:t>
        </m:r>
      </m:oMath>
      <w:r>
        <w:t xml:space="preserve"> </w:t>
      </w:r>
      <w:r>
        <w:t xml:space="preserve">and</w:t>
      </w:r>
      <w:r>
        <w:t xml:space="preserve"> </w:t>
      </w:r>
      <m:oMath>
        <m:r>
          <m:t>k</m:t>
        </m:r>
        <m:r>
          <m:rPr>
            <m:sty m:val="p"/>
          </m:rPr>
          <m:t>−</m:t>
        </m:r>
        <m:r>
          <m:t>30</m:t>
        </m:r>
        <m:r>
          <m:rPr>
            <m:sty m:val="p"/>
          </m:rPr>
          <m:t>%</m:t>
        </m:r>
      </m:oMath>
      <w:r>
        <w:t xml:space="preserve"> </w:t>
      </w:r>
      <w:r>
        <w:t xml:space="preserve">yielding</w:t>
      </w:r>
      <w:r>
        <w:t xml:space="preserve"> </w:t>
      </w:r>
      <m:oMath>
        <m:sSub>
          <m:e>
            <m:r>
              <m:t>r</m:t>
            </m:r>
          </m:e>
          <m:sub>
            <m:r>
              <m:rPr>
                <m:nor/>
                <m:sty m:val="p"/>
              </m:rPr>
              <m:t>crit</m:t>
            </m:r>
          </m:sub>
        </m:sSub>
        <m:r>
          <m:rPr>
            <m:sty m:val="p"/>
          </m:rPr>
          <m:t>=</m:t>
        </m:r>
        <m:r>
          <m:t>201.4</m:t>
        </m:r>
        <m:r>
          <m:t> </m:t>
        </m:r>
        <m:r>
          <m:t>μ</m:t>
        </m:r>
        <m:r>
          <m:rPr>
            <m:nor/>
            <m:sty m:val="p"/>
          </m:rPr>
          <m:t>m</m:t>
        </m:r>
      </m:oMath>
      <w:r>
        <w:t xml:space="preserve">), when</w:t>
      </w:r>
      <w:r>
        <w:t xml:space="preserve"> </w:t>
      </w:r>
      <m:oMath>
        <m:r>
          <m:t>θ</m:t>
        </m:r>
        <m:r>
          <m:rPr>
            <m:sty m:val="p"/>
          </m:rPr>
          <m:t>&lt;</m:t>
        </m:r>
        <m:r>
          <m:t>0.310</m:t>
        </m:r>
      </m:oMath>
      <w:r>
        <w:t xml:space="preserve">, or when the viable cord radius contracts to</w:t>
      </w:r>
      <w:r>
        <w:t xml:space="preserve"> </w:t>
      </w:r>
      <m:oMath>
        <m:sSub>
          <m:e>
            <m:r>
              <m:t>r</m:t>
            </m:r>
          </m:e>
          <m:sub>
            <m:r>
              <m:rPr>
                <m:nor/>
                <m:sty m:val="p"/>
              </m:rPr>
              <m:t>ox</m:t>
            </m:r>
          </m:sub>
        </m:sSub>
        <m:r>
          <m:rPr>
            <m:sty m:val="p"/>
          </m:rPr>
          <m:t>≤</m:t>
        </m:r>
        <m:r>
          <m:t>165.9</m:t>
        </m:r>
        <m:r>
          <m:t> </m:t>
        </m:r>
        <m:r>
          <m:t>μ</m:t>
        </m:r>
        <m:r>
          <m:rPr>
            <m:nor/>
            <m:sty m:val="p"/>
          </m:rPr>
          <m:t>m</m:t>
        </m:r>
      </m:oMath>
      <w:r>
        <w:t xml:space="preserve">. Crucially, in the inward geometry describing avascular nests, osimertinib penetrates almost completely to the center (reaching</w:t>
      </w:r>
      <w:r>
        <w:t xml:space="preserve"> </w:t>
      </w:r>
      <m:oMath>
        <m:r>
          <m:t>97.5</m:t>
        </m:r>
        <m:r>
          <m:rPr>
            <m:sty m:val="p"/>
          </m:rPr>
          <m:t>%</m:t>
        </m:r>
      </m:oMath>
      <w:r>
        <w:t xml:space="preserve"> </w:t>
      </w:r>
      <w:r>
        <w:t xml:space="preserve">of boundary concentration at</w:t>
      </w:r>
      <w:r>
        <w:t xml:space="preserve"> </w:t>
      </w:r>
      <m:oMath>
        <m:r>
          <m:t>R</m:t>
        </m:r>
        <m:r>
          <m:rPr>
            <m:sty m:val="p"/>
          </m:rPr>
          <m:t>=</m:t>
        </m:r>
        <m:r>
          <m:t>200</m:t>
        </m:r>
        <m:r>
          <m:t> </m:t>
        </m:r>
        <m:r>
          <m:t>μ</m:t>
        </m:r>
        <m:r>
          <m:rPr>
            <m:nor/>
            <m:sty m:val="p"/>
          </m:rPr>
          <m:t>m</m:t>
        </m:r>
      </m:oMath>
      <w:r>
        <w:t xml:space="preserve"> </w:t>
      </w:r>
      <w:r>
        <w:t xml:space="preserve">and</w:t>
      </w:r>
      <w:r>
        <w:t xml:space="preserve"> </w:t>
      </w:r>
      <m:oMath>
        <m:r>
          <m:t>90.6</m:t>
        </m:r>
        <m:r>
          <m:rPr>
            <m:sty m:val="p"/>
          </m:rPr>
          <m:t>%</m:t>
        </m:r>
      </m:oMath>
      <w:r>
        <w:t xml:space="preserve"> </w:t>
      </w:r>
      <w:r>
        <w:t xml:space="preserve">at</w:t>
      </w:r>
      <w:r>
        <w:t xml:space="preserve"> </w:t>
      </w:r>
      <m:oMath>
        <m:r>
          <m:t>R</m:t>
        </m:r>
        <m:r>
          <m:rPr>
            <m:sty m:val="p"/>
          </m:rPr>
          <m:t>=</m:t>
        </m:r>
        <m:r>
          <m:t>400</m:t>
        </m:r>
        <m:r>
          <m:t> </m:t>
        </m:r>
        <m:r>
          <m:t>μ</m:t>
        </m:r>
        <m:r>
          <m:rPr>
            <m:nor/>
            <m:sty m:val="p"/>
          </m:rPr>
          <m:t>m</m:t>
        </m:r>
      </m:oMath>
      <w:r>
        <w:t xml:space="preserve">); thus, avascular solid nests do not form a sanctuary for osimertinib under baseline parameters. In population dynamic modeling, the ctDNA-to-imaging diagnostic lead time satisfies the exact mathematical identity</w:t>
      </w:r>
      <w:r>
        <w:t xml:space="preserve"> </w:t>
      </w:r>
      <m:oMath>
        <m:r>
          <m:t>Δ</m:t>
        </m:r>
        <m:r>
          <m:t>t</m:t>
        </m:r>
        <m:r>
          <m:rPr>
            <m:sty m:val="p"/>
          </m:rPr>
          <m:t>=</m:t>
        </m:r>
        <m:sSub>
          <m:e>
            <m:r>
              <m:t>T</m:t>
            </m:r>
          </m:e>
          <m:sub>
            <m:r>
              <m:t>d</m:t>
            </m:r>
          </m:sub>
        </m:sSub>
        <m:r>
          <m:rPr>
            <m:sty m:val="p"/>
          </m:rPr>
          <m:t>⋅</m:t>
        </m:r>
        <m:sSub>
          <m:e>
            <m:r>
              <m:rPr>
                <m:sty m:val="p"/>
              </m:rPr>
              <m:t>log</m:t>
            </m:r>
          </m:e>
          <m:sub>
            <m:r>
              <m:t>2</m:t>
            </m:r>
          </m:sub>
        </m:sSub>
        <m:d>
          <m:dPr>
            <m:begChr m:val="("/>
            <m:endChr m:val=")"/>
            <m:sepChr m:val=""/>
            <m:grow/>
          </m:dPr>
          <m:e>
            <m:r>
              <m:t>100</m:t>
            </m:r>
          </m:e>
        </m:d>
        <m:r>
          <m:rPr>
            <m:sty m:val="p"/>
          </m:rPr>
          <m:t>=</m:t>
        </m:r>
        <m:r>
          <m:t>6.6439</m:t>
        </m:r>
        <m:r>
          <m:rPr>
            <m:sty m:val="p"/>
          </m:rPr>
          <m:t>⋅</m:t>
        </m:r>
        <m:sSub>
          <m:e>
            <m:r>
              <m:t>T</m:t>
            </m:r>
          </m:e>
          <m:sub>
            <m:r>
              <m:t>d</m:t>
            </m:r>
          </m:sub>
        </m:sSub>
      </m:oMath>
      <w:r>
        <w:t xml:space="preserve"> </w:t>
      </w:r>
      <w:r>
        <w:t xml:space="preserve">(</w:t>
      </w:r>
      <m:oMath>
        <m:r>
          <m:t>5.46</m:t>
        </m:r>
        <m:r>
          <m:t> </m:t>
        </m:r>
        <m:r>
          <m:rPr>
            <m:nor/>
            <m:sty m:val="p"/>
          </m:rPr>
          <m:t>months</m:t>
        </m:r>
      </m:oMath>
      <w:r>
        <w:t xml:space="preserve"> </w:t>
      </w:r>
      <w:r>
        <w:t xml:space="preserve">for</w:t>
      </w:r>
      <w:r>
        <w:t xml:space="preserve"> </w:t>
      </w:r>
      <m:oMath>
        <m:sSub>
          <m:e>
            <m:r>
              <m:t>T</m:t>
            </m:r>
          </m:e>
          <m:sub>
            <m:r>
              <m:t>d</m:t>
            </m:r>
          </m:sub>
        </m:sSub>
        <m:r>
          <m:rPr>
            <m:sty m:val="p"/>
          </m:rPr>
          <m:t>=</m:t>
        </m:r>
        <m:r>
          <m:t>25</m:t>
        </m:r>
        <m:r>
          <m:t> </m:t>
        </m:r>
        <m:r>
          <m:rPr>
            <m:nor/>
            <m:sty m:val="p"/>
          </m:rPr>
          <m:t>days</m:t>
        </m:r>
      </m:oMath>
      <w:r>
        <w:t xml:space="preserve">), which is an invariant algebraic consequence of assumed exponential doubling between assay limits, independent of initial residual burden</w:t>
      </w:r>
      <w:r>
        <w:t xml:space="preserve"> </w:t>
      </w:r>
      <m:oMath>
        <m:sSub>
          <m:e>
            <m:r>
              <m:t>N</m:t>
            </m:r>
          </m:e>
          <m:sub>
            <m:r>
              <m:t>0</m:t>
            </m:r>
          </m:sub>
        </m:sSub>
      </m:oMath>
      <w:r>
        <w:t xml:space="preserve">. In the MSKCC cohort, reverse Kaplan–Meier median follow-up was</w:t>
      </w:r>
      <w:r>
        <w:t xml:space="preserve"> </w:t>
      </w:r>
      <m:oMath>
        <m:r>
          <m:t>23.8</m:t>
        </m:r>
        <m:r>
          <m:t> </m:t>
        </m:r>
        <m:r>
          <m:rPr>
            <m:nor/>
            <m:sty m:val="p"/>
          </m:rPr>
          <m:t>months</m:t>
        </m:r>
      </m:oMath>
      <w:r>
        <w:t xml:space="preserve"> </w:t>
      </w:r>
      <w:r>
        <w:t xml:space="preserve">(IQR: 11.6–29.1). Lepidic architecture exhibited a significantly lower recurrence hazard than all other subtypes (stage-adjusted</w:t>
      </w:r>
      <w:r>
        <w:t xml:space="preserve"> </w:t>
      </w:r>
      <m:oMath>
        <m:r>
          <m:t>H</m:t>
        </m:r>
        <m:r>
          <m:t>R</m:t>
        </m:r>
        <m:r>
          <m:rPr>
            <m:sty m:val="p"/>
          </m:rPr>
          <m:t>=</m:t>
        </m:r>
        <m:r>
          <m:t>0.25</m:t>
        </m:r>
        <m:r>
          <m:rPr>
            <m:sty m:val="p"/>
          </m:rPr>
          <m:t>,</m:t>
        </m:r>
        <m:r>
          <m:t>95</m:t>
        </m:r>
        <m:r>
          <m:rPr>
            <m:sty m:val="p"/>
          </m:rPr>
          <m:t>%</m:t>
        </m:r>
        <m:r>
          <m:rPr>
            <m:nor/>
            <m:sty m:val="p"/>
          </m:rPr>
          <m:t> CI: </m:t>
        </m:r>
        <m:r>
          <m:t>0.09</m:t>
        </m:r>
        <m:r>
          <m:rPr>
            <m:nor/>
            <m:sty m:val="p"/>
          </m:rPr>
          <m:t>–</m:t>
        </m:r>
        <m:r>
          <m:t>0.70</m:t>
        </m:r>
        <m:r>
          <m:rPr>
            <m:sty m:val="p"/>
          </m:rPr>
          <m:t>,</m:t>
        </m:r>
        <m:r>
          <m:t>p</m:t>
        </m:r>
        <m:r>
          <m:rPr>
            <m:sty m:val="p"/>
          </m:rPr>
          <m:t>=</m:t>
        </m:r>
        <m:r>
          <m:t>0.0084</m:t>
        </m:r>
      </m:oMath>
      <w:r>
        <w:t xml:space="preserve"> </w:t>
      </w:r>
      <w:r>
        <w:t xml:space="preserve">relative to acinar); solid and papillary patterns showed non-significant hazard trends relative to acinar (</w:t>
      </w:r>
      <m:oMath>
        <m:r>
          <m:t>H</m:t>
        </m:r>
        <m:r>
          <m:t>R</m:t>
        </m:r>
        <m:r>
          <m:rPr>
            <m:sty m:val="p"/>
          </m:rPr>
          <m:t>=</m:t>
        </m:r>
        <m:r>
          <m:t>1.48</m:t>
        </m:r>
        <m:r>
          <m:rPr>
            <m:sty m:val="p"/>
          </m:rPr>
          <m:t>,</m:t>
        </m:r>
        <m:r>
          <m:t>p</m:t>
        </m:r>
        <m:r>
          <m:rPr>
            <m:sty m:val="p"/>
          </m:rPr>
          <m:t>=</m:t>
        </m:r>
        <m:r>
          <m:t>0.133</m:t>
        </m:r>
      </m:oMath>
      <w:r>
        <w:t xml:space="preserve"> </w:t>
      </w:r>
      <w:r>
        <w:t xml:space="preserve">and</w:t>
      </w:r>
      <w:r>
        <w:t xml:space="preserve"> </w:t>
      </w:r>
      <m:oMath>
        <m:r>
          <m:t>H</m:t>
        </m:r>
        <m:r>
          <m:t>R</m:t>
        </m:r>
        <m:r>
          <m:rPr>
            <m:sty m:val="p"/>
          </m:rPr>
          <m:t>=</m:t>
        </m:r>
        <m:r>
          <m:t>1.51</m:t>
        </m:r>
        <m:r>
          <m:rPr>
            <m:sty m:val="p"/>
          </m:rPr>
          <m:t>,</m:t>
        </m:r>
        <m:r>
          <m:t>p</m:t>
        </m:r>
        <m:r>
          <m:rPr>
            <m:sty m:val="p"/>
          </m:rPr>
          <m:t>=</m:t>
        </m:r>
        <m:r>
          <m:t>0.215</m:t>
        </m:r>
      </m:oMath>
      <w:r>
        <w:t xml:space="preserve">), while micropapillary histology did not demonstrate increased hazard (</w:t>
      </w:r>
      <m:oMath>
        <m:r>
          <m:t>H</m:t>
        </m:r>
        <m:r>
          <m:t>R</m:t>
        </m:r>
        <m:r>
          <m:rPr>
            <m:sty m:val="p"/>
          </m:rPr>
          <m:t>=</m:t>
        </m:r>
        <m:r>
          <m:t>0.74</m:t>
        </m:r>
        <m:r>
          <m:rPr>
            <m:sty m:val="p"/>
          </m:rPr>
          <m:t>,</m:t>
        </m:r>
        <m:r>
          <m:t>p</m:t>
        </m:r>
        <m:r>
          <m:rPr>
            <m:sty m:val="p"/>
          </m:rPr>
          <m:t>=</m:t>
        </m:r>
        <m:r>
          <m:t>0.468</m:t>
        </m:r>
      </m:oMath>
      <w:r>
        <w:t xml:space="preserve">). An exploratory boundary comparison of solid/micropapillary versus lepidic architecture (</w:t>
      </w:r>
      <m:oMath>
        <m:r>
          <m:t>N</m:t>
        </m:r>
        <m:r>
          <m:rPr>
            <m:sty m:val="p"/>
          </m:rPr>
          <m:t>=</m:t>
        </m:r>
        <m:r>
          <m:t>193</m:t>
        </m:r>
        <m:r>
          <m:rPr>
            <m:sty m:val="p"/>
          </m:rPr>
          <m:t>,</m:t>
        </m:r>
        <m:r>
          <m:t>33</m:t>
        </m:r>
        <m:r>
          <m:rPr>
            <m:nor/>
            <m:sty m:val="p"/>
          </m:rPr>
          <m:t> events</m:t>
        </m:r>
      </m:oMath>
      <w:r>
        <w:t xml:space="preserve">) yielded an adjusted</w:t>
      </w:r>
      <w:r>
        <w:t xml:space="preserve"> </w:t>
      </w:r>
      <m:oMath>
        <m:r>
          <m:t>H</m:t>
        </m:r>
        <m:r>
          <m:t>R</m:t>
        </m:r>
        <m:r>
          <m:rPr>
            <m:sty m:val="p"/>
          </m:rPr>
          <m:t>=</m:t>
        </m:r>
        <m:r>
          <m:t>6.75</m:t>
        </m:r>
      </m:oMath>
      <w:r>
        <w:t xml:space="preserve"> </w:t>
      </w:r>
      <w:r>
        <w:t xml:space="preserve">(</w:t>
      </w:r>
      <m:oMath>
        <m:r>
          <m:t>95</m:t>
        </m:r>
        <m:r>
          <m:rPr>
            <m:sty m:val="p"/>
          </m:rPr>
          <m:t>%</m:t>
        </m:r>
        <m:r>
          <m:rPr>
            <m:nor/>
            <m:sty m:val="p"/>
          </m:rPr>
          <m:t> CI: </m:t>
        </m:r>
        <m:r>
          <m:t>2.28</m:t>
        </m:r>
        <m:r>
          <m:rPr>
            <m:nor/>
            <m:sty m:val="p"/>
          </m:rPr>
          <m:t>–</m:t>
        </m:r>
        <m:r>
          <m:t>19.97</m:t>
        </m:r>
      </m:oMath>
      <w:r>
        <w:t xml:space="preserve">), but bootstrap resampling showed that the upper confidence limit is unbounded due to the small number of events in the lepidic reference group (</w:t>
      </w:r>
      <m:oMath>
        <m:r>
          <m:t>4</m:t>
        </m:r>
        <m:r>
          <m:rPr>
            <m:nor/>
            <m:sty m:val="p"/>
          </m:rPr>
          <m:t> events</m:t>
        </m:r>
      </m:oMath>
      <w:r>
        <w:t xml:space="preserve">). In the full cohort (</w:t>
      </w:r>
      <m:oMath>
        <m:r>
          <m:t>N</m:t>
        </m:r>
        <m:r>
          <m:rPr>
            <m:sty m:val="p"/>
          </m:rPr>
          <m:t>=</m:t>
        </m:r>
        <m:r>
          <m:t>604</m:t>
        </m:r>
      </m:oMath>
      <w:r>
        <w:t xml:space="preserve">), the stage-adjusted hazard ratio for solid/micropapillary architecture versus all other subtypes was</w:t>
      </w:r>
      <w:r>
        <w:t xml:space="preserve"> </w:t>
      </w:r>
      <m:oMath>
        <m:r>
          <m:t>1.32</m:t>
        </m:r>
      </m:oMath>
      <w:r>
        <w:t xml:space="preserve"> </w:t>
      </w:r>
      <w:r>
        <w:t xml:space="preserve">(</w:t>
      </w:r>
      <m:oMath>
        <m:r>
          <m:t>95</m:t>
        </m:r>
        <m:r>
          <m:rPr>
            <m:sty m:val="p"/>
          </m:rPr>
          <m:t>%</m:t>
        </m:r>
        <m:r>
          <m:rPr>
            <m:nor/>
            <m:sty m:val="p"/>
          </m:rPr>
          <m:t> CI: </m:t>
        </m:r>
        <m:r>
          <m:t>0.83</m:t>
        </m:r>
        <m:r>
          <m:rPr>
            <m:nor/>
            <m:sty m:val="p"/>
          </m:rPr>
          <m:t>–</m:t>
        </m:r>
        <m:r>
          <m:t>2.08</m:t>
        </m:r>
        <m:r>
          <m:rPr>
            <m:sty m:val="p"/>
          </m:rPr>
          <m:t>,</m:t>
        </m:r>
        <m:r>
          <m:t>p</m:t>
        </m:r>
        <m:r>
          <m:rPr>
            <m:sty m:val="p"/>
          </m:rPr>
          <m:t>=</m:t>
        </m:r>
        <m:r>
          <m:t>0.239</m:t>
        </m:r>
      </m:oMath>
      <w:r>
        <w:t xml:space="preserve">).</w:t>
      </w:r>
    </w:p>
    <w:p>
      <w:pPr>
        <w:pStyle w:val="BodyText"/>
      </w:pPr>
      <w:r>
        <w:rPr>
          <w:b/>
          <w:bCs/>
        </w:rPr>
        <w:t xml:space="preserve">Conclusions:</w:t>
      </w:r>
      <w:r>
        <w:t xml:space="preserve"> </w:t>
      </w:r>
      <w:r>
        <w:t xml:space="preserve">A viable, sub-inhibitory pharmacological sanctuary shell around a perivascular microvessel is theoretically possible within a bounded parameter domain, but it is not an inevitable consequence of neoplastic tissue compaction, and the model demonstrates no sanctuary for osimertinib in avascular nests under physiological parameters. In clinical survival data, lepidic histology is confirmed as a strongly protective prognostic marker; however, surgical cohort data cannot validate the sanctuary hypothesis, post-cessation osimertinib kinetics, or ctDNA surveillance schedules. We formulate explicit, testable experimental predictions and refrain from unwarranted clinical recommendations.</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In the Phase III ADAURA trial, 3 years of daily adjuvant osimertinib significantly improved disease-free survival (DFS) and overall survival (OS) in patients with completely resected stage IB–IIIA</w:t>
      </w:r>
      <w:r>
        <w:t xml:space="preserve"> </w:t>
      </w:r>
      <w:r>
        <w:rPr>
          <w:i/>
          <w:iCs/>
        </w:rPr>
        <w:t xml:space="preserve">EGFR</w:t>
      </w:r>
      <w:r>
        <w:t xml:space="preserve">-mutated non-small cell lung cancer (NSCLC) [1, 2]. However, longitudinal surveillance demonstrated that treatment discontinuation at month 36 is accompanied by an emergence of disease recurrences. In an exploratory, post hoc molecular residual disease (MRD) analysis of ADAURA (</w:t>
      </w:r>
      <m:oMath>
        <m:r>
          <m:t>n</m:t>
        </m:r>
        <m:r>
          <m:rPr>
            <m:sty m:val="p"/>
          </m:rPr>
          <m:t>=</m:t>
        </m:r>
        <m:r>
          <m:t>220</m:t>
        </m:r>
      </m:oMath>
      <w:r>
        <w:t xml:space="preserve">) [12], circulating tumour DNA (ctDNA) positivity preceded radiographic DFS relapse by a median of 4.7 months (95% CI: 2.2–5.6 months) across trial arms. Furthermore, within the osimertinib arm, 28 of 112 patients (25.0%) had a DFS or MRD event; 19 of those 28 events (67.9%</w:t>
      </w:r>
      <w:r>
        <w:t xml:space="preserve"> </w:t>
      </w:r>
      <m:oMath>
        <m:r>
          <m:rPr>
            <m:sty m:val="p"/>
          </m:rPr>
          <m:t>≈</m:t>
        </m:r>
        <m:r>
          <m:t>68</m:t>
        </m:r>
        <m:r>
          <m:rPr>
            <m:sty m:val="p"/>
          </m:rPr>
          <m:t>%</m:t>
        </m:r>
      </m:oMath>
      <w:r>
        <w:t xml:space="preserve">) occurred</w:t>
      </w:r>
      <w:r>
        <w:t xml:space="preserve"> </w:t>
      </w:r>
      <w:r>
        <w:rPr>
          <w:i/>
          <w:iCs/>
        </w:rPr>
        <w:t xml:space="preserve">after</w:t>
      </w:r>
      <w:r>
        <w:t xml:space="preserve"> </w:t>
      </w:r>
      <w:r>
        <w:t xml:space="preserve">treatment cessation, and 11 of those 19 post-cessation events (57.9%</w:t>
      </w:r>
      <w:r>
        <w:t xml:space="preserve"> </w:t>
      </w:r>
      <m:oMath>
        <m:r>
          <m:rPr>
            <m:sty m:val="p"/>
          </m:rPr>
          <m:t>≈</m:t>
        </m:r>
        <m:r>
          <m:t>58</m:t>
        </m:r>
        <m:r>
          <m:rPr>
            <m:sty m:val="p"/>
          </m:rPr>
          <m:t>%</m:t>
        </m:r>
      </m:oMath>
      <w:r>
        <w:t xml:space="preserve">) occurred within the first 12 months following cessation [12].</w:t>
      </w:r>
    </w:p>
    <w:p>
      <w:pPr>
        <w:pStyle w:val="BodyText"/>
      </w:pPr>
      <w:r>
        <w:t xml:space="preserve">Post-cessation relapses in the adjuvant setting frequently retain sensitivity to EGFR tyrosine kinase inhibitor (TKI) rechallenge and lack secondary on-target genomic mutations (such as</w:t>
      </w:r>
      <w:r>
        <w:t xml:space="preserve"> </w:t>
      </w:r>
      <w:r>
        <w:rPr>
          <w:i/>
          <w:iCs/>
        </w:rPr>
        <w:t xml:space="preserve">EGFR</w:t>
      </w:r>
      <w:r>
        <w:t xml:space="preserve"> </w:t>
      </w:r>
      <w:r>
        <w:t xml:space="preserve">C797S) or off-target bypass pathway activations (such as</w:t>
      </w:r>
      <w:r>
        <w:t xml:space="preserve"> </w:t>
      </w:r>
      <w:r>
        <w:rPr>
          <w:i/>
          <w:iCs/>
        </w:rPr>
        <w:t xml:space="preserve">MET</w:t>
      </w:r>
      <w:r>
        <w:t xml:space="preserve"> </w:t>
      </w:r>
      <w:r>
        <w:t xml:space="preserve">amplification). These observations have motivated hypotheses regarding non-mutational mechanisms of persistence, including drug-tolerant persister (DTP) states [6, 7], microenvironmental sanctuary niches, and tumour dormancy. Spatial drug-delivery limitations have been proposed as one candidate mechanism: if neoplastic cellular compaction creates physical transport barriers, drug concentrations in poorly perfused regions might drop below the threshold required to eradicate sensitive clones, allowing cells to survive in an uninhibited or sub-therapeutic state while remaining viable.</w:t>
      </w:r>
    </w:p>
    <w:p>
      <w:pPr>
        <w:pStyle w:val="BodyText"/>
      </w:pPr>
      <w:r>
        <w:t xml:space="preserve">The objective of this study is three-fold:</w:t>
      </w:r>
      <w:r>
        <w:t xml:space="preserve"> </w:t>
      </w:r>
      <w:r>
        <w:t xml:space="preserve">1. To formulate the steady-state reaction–diffusion transport problem in cylindrical coordinates, comparing outward diffusion (perivascular cords) against inward diffusion (avascular nests), and to establish the exact biophysical boundaries under which a viable pharmacological sanctuary can exist.</w:t>
      </w:r>
      <w:r>
        <w:t xml:space="preserve"> </w:t>
      </w:r>
      <w:r>
        <w:t xml:space="preserve">2. To examine evolutionary game dynamics between sensitive and persister phenotypes and evaluate post-cessation regrowth kinetics, proving an exact analytical identity for the model’s ctDNA-to-imaging diagnostic lead time.</w:t>
      </w:r>
      <w:r>
        <w:t xml:space="preserve"> </w:t>
      </w:r>
      <w:r>
        <w:t xml:space="preserve">3. To conduct a rigorous descriptive survival analysis of architectural growth patterns in the public Memorial Sloan Kettering Cancer Center (MSKCC 2020) surgical cohort (</w:t>
      </w:r>
      <m:oMath>
        <m:r>
          <m:t>N</m:t>
        </m:r>
        <m:r>
          <m:rPr>
            <m:sty m:val="p"/>
          </m:rPr>
          <m:t>=</m:t>
        </m:r>
        <m:r>
          <m:t>604</m:t>
        </m:r>
      </m:oMath>
      <w:r>
        <w:t xml:space="preserve">), assessing what architectural features are empirically supported and identifying methodological limitations.</w:t>
      </w:r>
    </w:p>
    <w:p>
      <w:r>
        <w:pict>
          <v:rect style="width:0;height:1.5pt" o:hralign="center" o:hrstd="t" o:hr="t"/>
        </w:pict>
      </w:r>
    </w:p>
    <w:bookmarkEnd w:id="24"/>
    <w:bookmarkStart w:id="33" w:name="X4215be94b3a2295d06fd705fd0729fbd58bdb97"/>
    <w:p>
      <w:pPr>
        <w:pStyle w:val="Heading2"/>
      </w:pPr>
      <w:r>
        <w:t xml:space="preserve">2. Reaction–Diffusion Transport in Neoplastic Architectures</w:t>
      </w:r>
    </w:p>
    <w:bookmarkStart w:id="25" w:name="model-and-analytical-solutions"/>
    <w:p>
      <w:pPr>
        <w:pStyle w:val="Heading3"/>
      </w:pPr>
      <w:r>
        <w:t xml:space="preserve">2.1 Model and Analytical Solutions</w:t>
      </w:r>
    </w:p>
    <w:p>
      <w:pPr>
        <w:pStyle w:val="FirstParagraph"/>
      </w:pPr>
      <w:r>
        <w:t xml:space="preserve">Neoplastic drug delivery in cylindrical symmetry is governed by steady-state Fickian diffusion coupled to first-order cellular uptake and metabolic clearance:</w:t>
      </w:r>
    </w:p>
    <w:p>
      <w:pPr>
        <w:pStyle w:val="BodyText"/>
      </w:pPr>
      <m:oMathPara>
        <m:oMathParaPr>
          <m:jc m:val="center"/>
        </m:oMathParaPr>
        <m:oMath>
          <m:r>
            <m:t>D</m:t>
          </m:r>
          <m:sSup>
            <m:e>
              <m:r>
                <m:rPr>
                  <m:sty m:val="p"/>
                </m:rPr>
                <m:t>∇</m:t>
              </m:r>
            </m:e>
            <m:sup>
              <m:r>
                <m:t>2</m:t>
              </m:r>
            </m:sup>
          </m:sSup>
          <m:r>
            <m:t>C</m:t>
          </m:r>
          <m:r>
            <m:rPr>
              <m:sty m:val="p"/>
            </m:rPr>
            <m:t>−</m:t>
          </m:r>
          <m:r>
            <m:t>k</m:t>
          </m:r>
          <m:r>
            <m:t>C</m:t>
          </m:r>
          <m:r>
            <m:rPr>
              <m:sty m:val="p"/>
            </m:rPr>
            <m:t>=</m:t>
          </m:r>
          <m:r>
            <m:t>0</m:t>
          </m:r>
          <m:r>
            <m:rPr>
              <m:sty m:val="p"/>
            </m:rPr>
            <m:t>⟹</m:t>
          </m:r>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first-order cellular uptake and clearance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screening penetration length. The general solution of this homogeneous Helmholtz equation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where</w:t>
      </w:r>
      <w:r>
        <w:t xml:space="preserve"> </w:t>
      </w:r>
      <m:oMath>
        <m:sSub>
          <m:e>
            <m:r>
              <m:t>I</m:t>
            </m:r>
          </m:e>
          <m:sub>
            <m:r>
              <m:t>0</m:t>
            </m:r>
          </m:sub>
        </m:sSub>
      </m:oMath>
      <w:r>
        <w:t xml:space="preserve"> </w:t>
      </w:r>
      <w:r>
        <w:t xml:space="preserve">and</w:t>
      </w:r>
      <w:r>
        <w:t xml:space="preserve"> </w:t>
      </w:r>
      <m:oMath>
        <m:sSub>
          <m:e>
            <m:r>
              <m:t>K</m:t>
            </m:r>
          </m:e>
          <m:sub>
            <m:r>
              <m:t>0</m:t>
            </m:r>
          </m:sub>
        </m:sSub>
      </m:oMath>
      <w:r>
        <w:t xml:space="preserve"> </w:t>
      </w:r>
      <w:r>
        <w:t xml:space="preserve">are modified Bessel functions of the first and second kind of order zero, respectively. The physical boundary conditions depend fundamentally on tissue geometry:</w:t>
      </w:r>
    </w:p>
    <w:p>
      <w:pPr>
        <w:numPr>
          <w:ilvl w:val="0"/>
          <w:numId w:val="1001"/>
        </w:numPr>
      </w:pPr>
      <w:r>
        <w:rPr>
          <w:b/>
          <w:bCs/>
        </w:rPr>
        <w:t xml:space="preserve">Perivascular Cord (Outward Diffusion Geometry):</w:t>
      </w:r>
      <w:r>
        <w:br/>
      </w:r>
      <w:r>
        <w:t xml:space="preserve">A central functional microvessel of radius</w:t>
      </w:r>
      <w:r>
        <w:t xml:space="preserve"> </w:t>
      </w:r>
      <m:oMath>
        <m:sSub>
          <m:e>
            <m:r>
              <m:t>r</m:t>
            </m:r>
          </m:e>
          <m:sub>
            <m:r>
              <m:t>0</m:t>
            </m:r>
          </m:sub>
        </m:sSub>
      </m:oMath>
      <w:r>
        <w:t xml:space="preserve"> </w:t>
      </w:r>
      <w:r>
        <w:t xml:space="preserve">maintains an unbound drug concentration</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r</m:t>
            </m:r>
            <m:r>
              <m:rPr>
                <m:sty m:val="p"/>
              </m:rPr>
              <m:t>/</m:t>
            </m:r>
            <m:r>
              <m:t>λ</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its coefficient must vanish (</w:t>
      </w:r>
      <m:oMath>
        <m:r>
          <m:t>A</m:t>
        </m:r>
        <m:r>
          <m:rPr>
            <m:sty m:val="p"/>
          </m:rPr>
          <m:t>=</m:t>
        </m:r>
        <m:r>
          <m:t>0</m:t>
        </m:r>
      </m:oMath>
      <w:r>
        <w:t xml:space="preserve">). The exact outward solution is:</w:t>
      </w:r>
    </w:p>
    <w:p>
      <w:pPr>
        <w:pStyle w:val="BodyText"/>
      </w:pPr>
      <m:oMathPara>
        <m:oMathParaPr>
          <m:jc m:val="center"/>
        </m:oMathParaPr>
        <m:oMath>
          <m:sSub>
            <m:e>
              <m:r>
                <m:t>C</m:t>
              </m:r>
            </m:e>
            <m:sub>
              <m:r>
                <m:rPr>
                  <m:nor/>
                  <m:sty m:val="p"/>
                </m:rPr>
                <m:t>out</m:t>
              </m:r>
            </m:sub>
          </m:sSub>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numPr>
          <w:ilvl w:val="0"/>
          <w:numId w:val="1001"/>
        </w:numPr>
      </w:pPr>
      <w:r>
        <w:rPr>
          <w:b/>
          <w:bCs/>
        </w:rPr>
        <w:t xml:space="preserve">Avascular Nest (Inward Diffusion Geometry):</w:t>
      </w:r>
      <w:r>
        <w:br/>
      </w:r>
      <w:r>
        <w:t xml:space="preserve">An avascular cellular aggregate of radius</w:t>
      </w:r>
      <w:r>
        <w:t xml:space="preserve"> </w:t>
      </w:r>
      <m:oMath>
        <m:r>
          <m:t>R</m:t>
        </m:r>
      </m:oMath>
      <w:r>
        <w:t xml:space="preserve"> </w:t>
      </w:r>
      <w:r>
        <w:t xml:space="preserve">is surrounded by vascularized stroma supplying an external drug concentration</w:t>
      </w:r>
      <w:r>
        <w:t xml:space="preserve"> </w:t>
      </w:r>
      <m:oMath>
        <m:r>
          <m:t>C</m:t>
        </m:r>
        <m:d>
          <m:dPr>
            <m:begChr m:val="("/>
            <m:endChr m:val=")"/>
            <m:sepChr m:val=""/>
            <m:grow/>
          </m:dPr>
          <m:e>
            <m:r>
              <m:t>R</m:t>
            </m:r>
          </m:e>
        </m:d>
        <m:r>
          <m:rPr>
            <m:sty m:val="p"/>
          </m:rPr>
          <m:t>=</m:t>
        </m:r>
        <m:sSub>
          <m:e>
            <m:r>
              <m:t>C</m:t>
            </m:r>
          </m:e>
          <m:sub>
            <m:r>
              <m:t>0</m:t>
            </m:r>
          </m:sub>
        </m:sSub>
      </m:oMath>
      <w:r>
        <w:t xml:space="preserve">. At the nest center (</w:t>
      </w:r>
      <m:oMath>
        <m:r>
          <m:t>r</m:t>
        </m:r>
        <m:r>
          <m:rPr>
            <m:sty m:val="p"/>
          </m:rPr>
          <m:t>=</m:t>
        </m:r>
        <m:r>
          <m:t>0</m:t>
        </m:r>
      </m:oMath>
      <w:r>
        <w:t xml:space="preserve">), the drug concentration must remain finite. Because</w:t>
      </w:r>
      <w:r>
        <w:t xml:space="preserve"> </w:t>
      </w:r>
      <m:oMath>
        <m:sSub>
          <m:e>
            <m:r>
              <m:t>K</m:t>
            </m:r>
          </m:e>
          <m:sub>
            <m:r>
              <m:t>0</m:t>
            </m:r>
          </m:sub>
        </m:sSub>
        <m:d>
          <m:dPr>
            <m:begChr m:val="("/>
            <m:endChr m:val=")"/>
            <m:sepChr m:val=""/>
            <m:grow/>
          </m:dPr>
          <m:e>
            <m:r>
              <m:t>r</m:t>
            </m:r>
            <m:r>
              <m:rPr>
                <m:sty m:val="p"/>
              </m:rPr>
              <m:t>/</m:t>
            </m:r>
            <m:r>
              <m:t>λ</m:t>
            </m:r>
          </m:e>
        </m:d>
      </m:oMath>
      <w:r>
        <w:t xml:space="preserve"> </w:t>
      </w:r>
      <w:r>
        <w:t xml:space="preserve">diverges logarithmically as</w:t>
      </w:r>
      <w:r>
        <w:t xml:space="preserve"> </w:t>
      </w:r>
      <m:oMath>
        <m:r>
          <m:t>r</m:t>
        </m:r>
        <m:r>
          <m:rPr>
            <m:sty m:val="p"/>
          </m:rPr>
          <m:t>→</m:t>
        </m:r>
        <m:r>
          <m:t>0</m:t>
        </m:r>
      </m:oMath>
      <w:r>
        <w:t xml:space="preserve"> </w:t>
      </w:r>
      <w:r>
        <w:t xml:space="preserve">(</w:t>
      </w:r>
      <m:oMath>
        <m:sSub>
          <m:e>
            <m:r>
              <m:t>K</m:t>
            </m:r>
          </m:e>
          <m:sub>
            <m:r>
              <m:t>0</m:t>
            </m:r>
          </m:sub>
        </m:sSub>
        <m:d>
          <m:dPr>
            <m:begChr m:val="("/>
            <m:endChr m:val=")"/>
            <m:sepChr m:val=""/>
            <m:grow/>
          </m:dPr>
          <m:e>
            <m:r>
              <m:t>x</m:t>
            </m:r>
          </m:e>
        </m:d>
        <m:r>
          <m:rPr>
            <m:sty m:val="p"/>
          </m:rPr>
          <m:t>∼</m:t>
        </m:r>
        <m:r>
          <m:rPr>
            <m:sty m:val="p"/>
          </m:rPr>
          <m:t>−</m:t>
        </m:r>
        <m:r>
          <m:rPr>
            <m:sty m:val="p"/>
          </m:rPr>
          <m:t>ln</m:t>
        </m:r>
        <m:d>
          <m:dPr>
            <m:begChr m:val="("/>
            <m:endChr m:val=")"/>
            <m:sepChr m:val=""/>
            <m:grow/>
          </m:dPr>
          <m:e>
            <m:r>
              <m:t>x</m:t>
            </m:r>
          </m:e>
        </m:d>
      </m:oMath>
      <w:r>
        <w:t xml:space="preserve">), its coefficient must vanish (</w:t>
      </w:r>
      <m:oMath>
        <m:r>
          <m:t>B</m:t>
        </m:r>
        <m:r>
          <m:rPr>
            <m:sty m:val="p"/>
          </m:rPr>
          <m:t>=</m:t>
        </m:r>
        <m:r>
          <m:t>0</m:t>
        </m:r>
      </m:oMath>
      <w:r>
        <w:t xml:space="preserve">). The exact inward solution is:</w:t>
      </w:r>
    </w:p>
    <w:p>
      <w:pPr>
        <w:pStyle w:val="BodyText"/>
      </w:pPr>
      <m:oMathPara>
        <m:oMathParaPr>
          <m:jc m:val="center"/>
        </m:oMathParaPr>
        <m:oMath>
          <m:sSub>
            <m:e>
              <m:r>
                <m:t>C</m:t>
              </m:r>
            </m:e>
            <m:sub>
              <m:r>
                <m:rPr>
                  <m:nor/>
                  <m:sty m:val="p"/>
                </m:rPr>
                <m:t>in</m:t>
              </m:r>
            </m:sub>
          </m:sSub>
          <m:d>
            <m:dPr>
              <m:begChr m:val="("/>
              <m:endChr m:val=")"/>
              <m:sepChr m:val=""/>
              <m:grow/>
            </m:dPr>
            <m:e>
              <m:r>
                <m:t>r</m:t>
              </m:r>
            </m:e>
          </m:d>
          <m:r>
            <m:rPr>
              <m:sty m:val="p"/>
            </m:rPr>
            <m:t>=</m:t>
          </m:r>
          <m:sSub>
            <m:e>
              <m:r>
                <m:t>C</m:t>
              </m:r>
            </m:e>
            <m:sub>
              <m:r>
                <m:t>0</m:t>
              </m:r>
            </m:sub>
          </m:sSub>
          <m:f>
            <m:fPr>
              <m:type m:val="bar"/>
            </m:fPr>
            <m:num>
              <m:sSub>
                <m:e>
                  <m:r>
                    <m:t>I</m:t>
                  </m:r>
                </m:e>
                <m:sub>
                  <m:r>
                    <m:t>0</m:t>
                  </m:r>
                </m:sub>
              </m:sSub>
              <m:d>
                <m:dPr>
                  <m:begChr m:val="("/>
                  <m:endChr m:val=")"/>
                  <m:sepChr m:val=""/>
                  <m:grow/>
                </m:dPr>
                <m:e>
                  <m:r>
                    <m:t>r</m:t>
                  </m:r>
                  <m:r>
                    <m:rPr>
                      <m:sty m:val="p"/>
                    </m:rPr>
                    <m:t>/</m:t>
                  </m:r>
                  <m:r>
                    <m:t>λ</m:t>
                  </m:r>
                </m:e>
              </m:d>
            </m:num>
            <m:den>
              <m:sSub>
                <m:e>
                  <m:r>
                    <m:t>I</m:t>
                  </m:r>
                </m:e>
                <m:sub>
                  <m:r>
                    <m:t>0</m:t>
                  </m:r>
                </m:sub>
              </m:sSub>
              <m:d>
                <m:dPr>
                  <m:begChr m:val="("/>
                  <m:endChr m:val=")"/>
                  <m:sepChr m:val=""/>
                  <m:grow/>
                </m:dPr>
                <m:e>
                  <m:r>
                    <m:t>R</m:t>
                  </m:r>
                  <m:r>
                    <m:rPr>
                      <m:sty m:val="p"/>
                    </m:rPr>
                    <m:t>/</m:t>
                  </m:r>
                  <m:r>
                    <m:t>λ</m:t>
                  </m:r>
                </m:e>
              </m:d>
            </m:den>
          </m:f>
        </m:oMath>
      </m:oMathPara>
    </w:p>
    <w:p>
      <w:pPr>
        <w:pStyle w:val="FirstParagraph"/>
      </w:pPr>
      <w:r>
        <w:rPr>
          <w:b/>
          <w:bCs/>
        </w:rPr>
        <w:t xml:space="preserve">The two configurations are not mathematically or physically equivalent.</w:t>
      </w:r>
      <w:r>
        <w:t xml:space="preserve"> </w:t>
      </w:r>
      <w:r>
        <w:t xml:space="preserve">Outward diffusion from a central capillary exhibits geometric divergence (dilution across expanding cross-sections</w:t>
      </w:r>
      <w:r>
        <w:t xml:space="preserve"> </w:t>
      </w:r>
      <m:oMath>
        <m:r>
          <m:t>2</m:t>
        </m:r>
        <m:r>
          <m:t>π</m:t>
        </m:r>
        <m:r>
          <m:t>r</m:t>
        </m:r>
      </m:oMath>
      <w:r>
        <w:t xml:space="preserve">), causing a steep radial concentration drop. Conversely, inward diffusion toward a solid nest center exhibits geometric convergence (flux concentrating into contracting cross-sections</w:t>
      </w:r>
      <w:r>
        <w:t xml:space="preserve"> </w:t>
      </w:r>
      <m:oMath>
        <m:r>
          <m:t>2</m:t>
        </m:r>
        <m:r>
          <m:t>π</m:t>
        </m:r>
        <m:r>
          <m:t>r</m:t>
        </m:r>
      </m:oMath>
      <w:r>
        <w:t xml:space="preserve">), which counteracts metabolic consumption.</w:t>
      </w:r>
    </w:p>
    <w:bookmarkEnd w:id="25"/>
    <w:bookmarkStart w:id="26" w:name="X73f5e9942b48b1a3f5f8dbbf137025f0b78b304"/>
    <w:p>
      <w:pPr>
        <w:pStyle w:val="Heading3"/>
      </w:pPr>
      <w:r>
        <w:t xml:space="preserve">2.2 Physiological Parameters &amp; Viability Limits</w:t>
      </w:r>
    </w:p>
    <w:p>
      <w:pPr>
        <w:pStyle w:val="FirstParagraph"/>
      </w:pPr>
      <w:r>
        <w:t xml:space="preserve">Defining the normalized therapeutic threshold ratio as</w:t>
      </w:r>
      <w:r>
        <w:t xml:space="preserve"> </w:t>
      </w:r>
      <m:oMath>
        <m:r>
          <m:t>θ</m:t>
        </m:r>
        <m:r>
          <m:rPr>
            <m:sty m:val="p"/>
          </m:rPr>
          <m:t>=</m:t>
        </m:r>
        <m:r>
          <m:t>C</m:t>
        </m:r>
        <m:d>
          <m:dPr>
            <m:begChr m:val="("/>
            <m:endChr m:val=")"/>
            <m:sepChr m:val=""/>
            <m:grow/>
          </m:dPr>
          <m:e>
            <m:r>
              <m:t>I</m:t>
            </m:r>
            <m:sSub>
              <m:e>
                <m:r>
                  <m:t>C</m:t>
                </m:r>
              </m:e>
              <m:sub>
                <m:r>
                  <m:t>50</m:t>
                </m:r>
              </m:sub>
            </m:sSub>
          </m:e>
        </m:d>
        <m:r>
          <m:rPr>
            <m:sty m:val="p"/>
          </m:rPr>
          <m:t>/</m:t>
        </m:r>
        <m:sSub>
          <m:e>
            <m:r>
              <m:t>C</m:t>
            </m:r>
          </m:e>
          <m:sub>
            <m:r>
              <m:t>0</m:t>
            </m:r>
          </m:sub>
        </m:sSub>
      </m:oMath>
      <w:r>
        <w:t xml:space="preserve">, a pharmacological sanctuary shell exists if the drug concentration drops below</w:t>
      </w:r>
      <w:r>
        <w:t xml:space="preserve"> </w:t>
      </w:r>
      <m:oMath>
        <m:r>
          <m:t>θ</m:t>
        </m:r>
      </m:oMath>
      <w:r>
        <w:t xml:space="preserve"> </w:t>
      </w:r>
      <w:r>
        <w:t xml:space="preserve">while remaining within the tissue oxygen viability limit</w:t>
      </w:r>
      <w:r>
        <w:t xml:space="preserve"> </w:t>
      </w:r>
      <m:oMath>
        <m:sSub>
          <m:e>
            <m:r>
              <m:t>r</m:t>
            </m:r>
          </m:e>
          <m:sub>
            <m:r>
              <m:rPr>
                <m:nor/>
                <m:sty m:val="p"/>
              </m:rPr>
              <m:t>ox</m:t>
            </m:r>
          </m:sub>
        </m:sSub>
      </m:oMath>
      <w:r>
        <w:t xml:space="preserve">:</w:t>
      </w:r>
    </w:p>
    <w:p>
      <w:pPr>
        <w:pStyle w:val="BodyText"/>
      </w:pPr>
      <m:oMathPara>
        <m:oMathParaPr>
          <m:jc m:val="center"/>
        </m:oMathParaPr>
        <m:oMath>
          <m:r>
            <m:t>Δ</m:t>
          </m:r>
          <m:r>
            <m:t>r</m:t>
          </m:r>
          <m:r>
            <m:rPr>
              <m:sty m:val="p"/>
            </m:rPr>
            <m:t>=</m:t>
          </m:r>
          <m:r>
            <m:rPr>
              <m:sty m:val="p"/>
            </m:rPr>
            <m:t>max</m:t>
          </m:r>
          <m:d>
            <m:dPr>
              <m:begChr m:val="("/>
              <m:endChr m:val=")"/>
              <m:sepChr m:val=""/>
              <m:grow/>
            </m:dPr>
            <m:e>
              <m:r>
                <m:t>0</m:t>
              </m:r>
              <m:r>
                <m:rPr>
                  <m:sty m:val="p"/>
                </m:rPr>
                <m:t>,</m:t>
              </m:r>
              <m:r>
                <m:rPr>
                  <m:sty m:val="p"/>
                </m:rPr>
                <m:t>min</m:t>
              </m:r>
              <m:d>
                <m:dPr>
                  <m:begChr m:val="("/>
                  <m:endChr m:val=")"/>
                  <m:sepChr m:val=""/>
                  <m:grow/>
                </m:dPr>
                <m:e>
                  <m:r>
                    <m:t>R</m:t>
                  </m:r>
                  <m:r>
                    <m:rPr>
                      <m:sty m:val="p"/>
                    </m:rPr>
                    <m:t>,</m:t>
                  </m:r>
                  <m:sSub>
                    <m:e>
                      <m:r>
                        <m:t>r</m:t>
                      </m:r>
                    </m:e>
                    <m:sub>
                      <m:r>
                        <m:rPr>
                          <m:nor/>
                          <m:sty m:val="p"/>
                        </m:rPr>
                        <m:t>ox</m:t>
                      </m:r>
                    </m:sub>
                  </m:sSub>
                </m:e>
              </m:d>
              <m:r>
                <m:rPr>
                  <m:sty m:val="p"/>
                </m:rPr>
                <m:t>−</m:t>
              </m:r>
              <m:sSub>
                <m:e>
                  <m:r>
                    <m:t>r</m:t>
                  </m:r>
                </m:e>
                <m:sub>
                  <m:r>
                    <m:rPr>
                      <m:nor/>
                      <m:sty m:val="p"/>
                    </m:rPr>
                    <m:t>crit</m:t>
                  </m:r>
                </m:sub>
              </m:sSub>
            </m:e>
          </m:d>
        </m:oMath>
      </m:oMathPara>
    </w:p>
    <w:p>
      <w:pPr>
        <w:pStyle w:val="FirstParagraph"/>
      </w:pPr>
      <w:r>
        <w:t xml:space="preserve">For the outward perivascular geometry, the critical penetration radius</w:t>
      </w:r>
      <w:r>
        <w:t xml:space="preserve"> </w:t>
      </w:r>
      <m:oMath>
        <m:sSub>
          <m:e>
            <m:r>
              <m:t>r</m:t>
            </m:r>
          </m:e>
          <m:sub>
            <m:r>
              <m:rPr>
                <m:nor/>
                <m:sty m:val="p"/>
              </m:rPr>
              <m:t>crit</m:t>
            </m:r>
          </m:sub>
        </m:sSub>
      </m:oMath>
      <w:r>
        <w:t xml:space="preserve"> </w:t>
      </w:r>
      <w:r>
        <w:t xml:space="preserve">is the unique root of:</w:t>
      </w:r>
    </w:p>
    <w:p>
      <w:pPr>
        <w:pStyle w:val="BodyText"/>
      </w:pPr>
      <m:oMathPara>
        <m:oMathParaPr>
          <m:jc m:val="center"/>
        </m:oMathParaPr>
        <m:oMath>
          <m:f>
            <m:fPr>
              <m:type m:val="bar"/>
            </m:fPr>
            <m:num>
              <m:sSub>
                <m:e>
                  <m:r>
                    <m:t>K</m:t>
                  </m:r>
                </m:e>
                <m:sub>
                  <m:r>
                    <m:t>0</m:t>
                  </m:r>
                </m:sub>
              </m:sSub>
              <m:d>
                <m:dPr>
                  <m:begChr m:val="("/>
                  <m:endChr m:val=")"/>
                  <m:sepChr m:val=""/>
                  <m:grow/>
                </m:dPr>
                <m:e>
                  <m:sSub>
                    <m:e>
                      <m:r>
                        <m:t>r</m:t>
                      </m:r>
                    </m:e>
                    <m:sub>
                      <m:r>
                        <m:rPr>
                          <m:nor/>
                          <m:sty m:val="p"/>
                        </m:rPr>
                        <m:t>crit</m:t>
                      </m:r>
                    </m:sub>
                  </m:sSub>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r>
            <m:rPr>
              <m:sty m:val="p"/>
            </m:rPr>
            <m:t>=</m:t>
          </m:r>
          <m:r>
            <m:t>θ</m:t>
          </m:r>
        </m:oMath>
      </m:oMathPara>
    </w:p>
    <w:p>
      <w:pPr>
        <w:pStyle w:val="FirstParagraph"/>
      </w:pPr>
      <w:r>
        <w:t xml:space="preserve">Crucially,</w:t>
      </w:r>
      <w:r>
        <w:t xml:space="preserve"> </w:t>
      </w:r>
      <m:oMath>
        <m:sSub>
          <m:e>
            <m:r>
              <m:t>r</m:t>
            </m:r>
          </m:e>
          <m:sub>
            <m:r>
              <m:rPr>
                <m:nor/>
                <m:sty m:val="p"/>
              </m:rPr>
              <m:t>crit</m:t>
            </m:r>
          </m:sub>
        </m:sSub>
      </m:oMath>
      <w:r>
        <w:t xml:space="preserve"> </w:t>
      </w:r>
      <w:r>
        <w:t xml:space="preserve">depends exclusively on</w:t>
      </w:r>
      <w:r>
        <w:t xml:space="preserve"> </w:t>
      </w:r>
      <m:oMath>
        <m:r>
          <m:t>λ</m:t>
        </m:r>
      </m:oMath>
      <w:r>
        <w:t xml:space="preserve">,</w:t>
      </w:r>
      <w:r>
        <w:t xml:space="preserve"> </w:t>
      </w:r>
      <m:oMath>
        <m:sSub>
          <m:e>
            <m:r>
              <m:t>r</m:t>
            </m:r>
          </m:e>
          <m:sub>
            <m:r>
              <m:t>0</m:t>
            </m:r>
          </m:sub>
        </m:sSub>
      </m:oMath>
      <w:r>
        <w:t xml:space="preserve">, and</w:t>
      </w:r>
      <w:r>
        <w:t xml:space="preserve"> </w:t>
      </w:r>
      <m:oMath>
        <m:r>
          <m:t>θ</m:t>
        </m:r>
      </m:oMath>
      <w:r>
        <w:t xml:space="preserve">; the parameters</w:t>
      </w:r>
      <w:r>
        <w:t xml:space="preserve"> </w:t>
      </w:r>
      <m:oMath>
        <m:r>
          <m:t>D</m:t>
        </m:r>
      </m:oMath>
      <w:r>
        <w:t xml:space="preserve"> </w:t>
      </w:r>
      <w:r>
        <w:t xml:space="preserve">and</w:t>
      </w:r>
      <w:r>
        <w:t xml:space="preserve"> </w:t>
      </w:r>
      <m:oMath>
        <m:r>
          <m:t>k</m:t>
        </m:r>
      </m:oMath>
      <w:r>
        <w:t xml:space="preserve"> </w:t>
      </w:r>
      <w:r>
        <w:t xml:space="preserve">are not separately identifiable from spatial shell geometry alone.</w:t>
      </w:r>
    </w:p>
    <w:p>
      <w:pPr>
        <w:pStyle w:val="BodyText"/>
      </w:pPr>
      <w:r>
        <w:t xml:space="preserve">Baseline parameters were calibrated as order-of-magnitude physiological estimates:</w:t>
      </w:r>
      <w:r>
        <w:t xml:space="preserve"> </w:t>
      </w:r>
      <w:r>
        <w:t xml:space="preserve">-</w:t>
      </w:r>
      <w:r>
        <w:t xml:space="preserve"> </w:t>
      </w:r>
      <w:r>
        <w:rPr>
          <w:b/>
          <w:bCs/>
        </w:rPr>
        <w:t xml:space="preserve">Small-molecule TKI (Osimertinib, 500 Da):</w:t>
      </w:r>
      <w:r>
        <w:t xml:space="preserve"> </w:t>
      </w:r>
      <w:r>
        <w:t xml:space="preserve">Effective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and volumetric uptake rate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yielding</w:t>
      </w:r>
      <w:r>
        <w:t xml:space="preserve"> </w:t>
      </w:r>
      <m:oMath>
        <m:r>
          <m:t>λ</m:t>
        </m:r>
        <m:r>
          <m:rPr>
            <m:sty m:val="p"/>
          </m:rPr>
          <m:t>=</m:t>
        </m:r>
        <m:r>
          <m:t>627.6</m:t>
        </m:r>
        <m:r>
          <m:t> </m:t>
        </m:r>
        <m:r>
          <m:t>μ</m:t>
        </m:r>
        <m:r>
          <m:rPr>
            <m:nor/>
            <m:sty m:val="p"/>
          </m:rPr>
          <m:t>m</m:t>
        </m:r>
      </m:oMath>
      <w:r>
        <w:t xml:space="preserve">. We emphasize that</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w:t>
      </w:r>
      <w:r>
        <w:t xml:space="preserve">reflects hindered tissue diffusion through dense extracellular matrix (Swabb, Wei &amp; Gullino,</w:t>
      </w:r>
      <w:r>
        <w:t xml:space="preserve"> </w:t>
      </w:r>
      <w:r>
        <w:rPr>
          <w:i/>
          <w:iCs/>
        </w:rPr>
        <w:t xml:space="preserve">Cancer Res</w:t>
      </w:r>
      <w:r>
        <w:t xml:space="preserve"> </w:t>
      </w:r>
      <w:r>
        <w:t xml:space="preserve">1974 [13]; Nugent &amp; Jain,</w:t>
      </w:r>
      <w:r>
        <w:t xml:space="preserve"> </w:t>
      </w:r>
      <w:r>
        <w:rPr>
          <w:i/>
          <w:iCs/>
        </w:rPr>
        <w:t xml:space="preserve">Cancer Res</w:t>
      </w:r>
      <w:r>
        <w:t xml:space="preserve"> </w:t>
      </w:r>
      <w:r>
        <w:t xml:space="preserve">1984 [14]), rather than free aqueous diffusion (</w:t>
      </w:r>
      <m:oMath>
        <m:sSub>
          <m:e>
            <m:r>
              <m:t>D</m:t>
            </m:r>
          </m:e>
          <m:sub>
            <m:r>
              <m:rPr>
                <m:nor/>
                <m:sty m:val="p"/>
              </m:rPr>
              <m:t>aq</m:t>
            </m:r>
          </m:sub>
        </m:sSub>
        <m:r>
          <m:rPr>
            <m:sty m:val="p"/>
          </m:rPr>
          <m:t>≈</m:t>
        </m:r>
        <m:r>
          <m:t>4</m:t>
        </m:r>
        <m:r>
          <m:rPr>
            <m:nor/>
            <m:sty m:val="p"/>
          </m:rPr>
          <m:t>–</m:t>
        </m:r>
        <m:r>
          <m:t>6</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Microvascular capillary radius is set to</w:t>
      </w:r>
      <w:r>
        <w:t xml:space="preserve"> </w:t>
      </w:r>
      <m:oMath>
        <m:sSub>
          <m:e>
            <m:r>
              <m:t>r</m:t>
            </m:r>
          </m:e>
          <m:sub>
            <m:r>
              <m:t>0</m:t>
            </m:r>
          </m:sub>
        </m:sSub>
        <m:r>
          <m:rPr>
            <m:sty m:val="p"/>
          </m:rPr>
          <m:t>=</m:t>
        </m:r>
        <m:r>
          <m:t>10.0</m:t>
        </m:r>
        <m:r>
          <m:t> </m:t>
        </m:r>
        <m:r>
          <m:t>μ</m:t>
        </m:r>
        <m:r>
          <m:rPr>
            <m:nor/>
            <m:sty m:val="p"/>
          </m:rPr>
          <m:t>m</m:t>
        </m:r>
      </m:oMath>
      <w:r>
        <w:t xml:space="preserve">.</w:t>
      </w:r>
      <w:r>
        <w:t xml:space="preserve"> </w:t>
      </w:r>
      <w:r>
        <w:t xml:space="preserve">-</w:t>
      </w:r>
      <w:r>
        <w:t xml:space="preserve"> </w:t>
      </w:r>
      <w:r>
        <w:rPr>
          <w:b/>
          <w:bCs/>
        </w:rPr>
        <w:t xml:space="preserve">Macromolecular Therapeutic (ADC / Bispecific Antibody, 150 kDa):</w:t>
      </w:r>
      <w:r>
        <w:t xml:space="preserve"> </w:t>
      </w:r>
      <w:r>
        <w:t xml:space="preserve">Hindered diffusivity</w:t>
      </w:r>
      <w:r>
        <w:t xml:space="preserve">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w:t>
      </w:r>
      <w:r>
        <w:t xml:space="preserve">and endocytic clearance</w:t>
      </w:r>
      <w:r>
        <w:t xml:space="preserv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yielding</w:t>
      </w:r>
      <w:r>
        <w:t xml:space="preserve"> </w:t>
      </w:r>
      <m:oMath>
        <m:r>
          <m:t>λ</m:t>
        </m:r>
        <m:r>
          <m:rPr>
            <m:sty m:val="p"/>
          </m:rPr>
          <m:t>=</m:t>
        </m:r>
        <m:r>
          <m:t>77.5</m:t>
        </m:r>
        <m:r>
          <m:t> </m:t>
        </m:r>
        <m:r>
          <m:t>μ</m:t>
        </m:r>
        <m:r>
          <m:rPr>
            <m:nor/>
            <m:sty m:val="p"/>
          </m:rPr>
          <m:t>m</m:t>
        </m:r>
      </m:oMath>
      <w:r>
        <w:t xml:space="preserve">.</w:t>
      </w:r>
      <w:r>
        <w:t xml:space="preserve"> </w:t>
      </w:r>
      <w:r>
        <w:t xml:space="preserve">-</w:t>
      </w:r>
      <w:r>
        <w:t xml:space="preserve"> </w:t>
      </w:r>
      <w:r>
        <w:rPr>
          <w:b/>
          <w:bCs/>
        </w:rPr>
        <w:t xml:space="preserve">Inhibitory Threshold Ratio (</w:t>
      </w:r>
      <m:oMath>
        <m:r>
          <m:t>θ</m:t>
        </m:r>
      </m:oMath>
      <w:r>
        <w:rPr>
          <w:b/>
          <w:bCs/>
        </w:rPr>
        <w:t xml:space="preserve">):</w:t>
      </w:r>
      <w:r>
        <w:t xml:space="preserve"> </w:t>
      </w:r>
      <w:r>
        <w:t xml:space="preserve">Derived from steady-state clinical pharmacokinetics. For osimertinib 80 mg daily, mean steady-state total plasma concentration is</w:t>
      </w:r>
      <w:r>
        <w:t xml:space="preserve"> </w:t>
      </w:r>
      <m:oMath>
        <m:r>
          <m:rPr>
            <m:sty m:val="p"/>
          </m:rPr>
          <m:t>∼</m:t>
        </m:r>
        <m:r>
          <m:t>500</m:t>
        </m:r>
        <m:r>
          <m:t> </m:t>
        </m:r>
        <m:r>
          <m:rPr>
            <m:nor/>
            <m:sty m:val="p"/>
          </m:rPr>
          <m:t>nM</m:t>
        </m:r>
      </m:oMath>
      <w:r>
        <w:t xml:space="preserve"> </w:t>
      </w:r>
      <w:r>
        <w:t xml:space="preserve">(</w:t>
      </w:r>
      <m:oMath>
        <m:r>
          <m:t>250</m:t>
        </m:r>
        <m:r>
          <m:rPr>
            <m:nor/>
            <m:sty m:val="p"/>
          </m:rPr>
          <m:t>–</m:t>
        </m:r>
        <m:r>
          <m:t>300</m:t>
        </m:r>
        <m:r>
          <m:t> </m:t>
        </m:r>
        <m:r>
          <m:rPr>
            <m:nor/>
            <m:sty m:val="p"/>
          </m:rPr>
          <m:t>ng/mL</m:t>
        </m:r>
      </m:oMath>
      <w:r>
        <w:t xml:space="preserve">). With human plasma protein binding of 94.7% (</w:t>
      </w:r>
      <m:oMath>
        <m:sSub>
          <m:e>
            <m:r>
              <m:t>f</m:t>
            </m:r>
          </m:e>
          <m:sub>
            <m:r>
              <m:t>u</m:t>
            </m:r>
          </m:sub>
        </m:sSub>
        <m:r>
          <m:rPr>
            <m:sty m:val="p"/>
          </m:rPr>
          <m:t>=</m:t>
        </m:r>
        <m:r>
          <m:t>5.3</m:t>
        </m:r>
        <m:r>
          <m:rPr>
            <m:sty m:val="p"/>
          </m:rPr>
          <m:t>%</m:t>
        </m:r>
      </m:oMath>
      <w:r>
        <w:t xml:space="preserve">), free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cell lines,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establishing:</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w:t>
      </w:r>
      <w:r>
        <w:t xml:space="preserve"> </w:t>
      </w:r>
      <w:r>
        <w:rPr>
          <w:b/>
          <w:bCs/>
        </w:rPr>
        <w:t xml:space="preserve">Oxygen Viability Boundary (</w:t>
      </w:r>
      <m:oMath>
        <m:sSub>
          <m:e>
            <m:r>
              <m:t>r</m:t>
            </m:r>
          </m:e>
          <m:sub>
            <m:r>
              <m:rPr>
                <m:nor/>
                <m:sty m:val="p"/>
              </m:rPr>
              <m:t>ox</m:t>
            </m:r>
          </m:sub>
        </m:sSub>
      </m:oMath>
      <w:r>
        <w:rPr>
          <w:b/>
          <w:bCs/>
        </w:rPr>
        <w:t xml:space="preserve">):</w:t>
      </w:r>
      <w:r>
        <w:t xml:space="preserve"> </w:t>
      </w:r>
      <w:r>
        <w:t xml:space="preserve">In seminal histological measurements of bronchial carcinoma cords, Thomlinson &amp; Gray (</w:t>
      </w:r>
      <w:r>
        <w:rPr>
          <w:i/>
          <w:iCs/>
        </w:rPr>
        <w:t xml:space="preserve">Br J Cancer</w:t>
      </w:r>
      <w:r>
        <w:t xml:space="preserve"> </w:t>
      </w:r>
      <w:r>
        <w:t xml:space="preserve">1955 [4]) established that central necrosis was absent in cords under</w:t>
      </w:r>
      <w:r>
        <w:t xml:space="preserve"> </w:t>
      </w:r>
      <m:oMath>
        <m:r>
          <m:rPr>
            <m:sty m:val="p"/>
          </m:rPr>
          <m:t>∼</m:t>
        </m:r>
        <m:r>
          <m:t>160</m:t>
        </m:r>
        <m:r>
          <m:t> </m:t>
        </m:r>
        <m:r>
          <m:t>μ</m:t>
        </m:r>
        <m:r>
          <m:rPr>
            <m:nor/>
            <m:sty m:val="p"/>
          </m:rPr>
          <m:t>m</m:t>
        </m:r>
      </m:oMath>
      <w:r>
        <w:t xml:space="preserve"> </w:t>
      </w:r>
      <w:r>
        <w:t xml:space="preserve">in radius and invariably present in cords over</w:t>
      </w:r>
      <w:r>
        <w:t xml:space="preserve"> </w:t>
      </w:r>
      <m:oMath>
        <m:r>
          <m:t>200</m:t>
        </m:r>
        <m:r>
          <m:t> </m:t>
        </m:r>
        <m:r>
          <m:t>μ</m:t>
        </m:r>
        <m:r>
          <m:rPr>
            <m:nor/>
            <m:sty m:val="p"/>
          </m:rPr>
          <m:t>m</m:t>
        </m:r>
      </m:oMath>
      <w:r>
        <w:t xml:space="preserve">, with intact viable tumour sheaths typically spanning</w:t>
      </w:r>
      <w:r>
        <w:t xml:space="preserve"> </w:t>
      </w:r>
      <m:oMath>
        <m:r>
          <m:t>100</m:t>
        </m:r>
        <m:r>
          <m:rPr>
            <m:nor/>
            <m:sty m:val="p"/>
          </m:rPr>
          <m:t>–</m:t>
        </m:r>
        <m:r>
          <m:t>180</m:t>
        </m:r>
        <m:r>
          <m:t> </m:t>
        </m:r>
        <m:r>
          <m:t>μ</m:t>
        </m:r>
        <m:r>
          <m:rPr>
            <m:nor/>
            <m:sty m:val="p"/>
          </m:rPr>
          <m:t>m</m:t>
        </m:r>
      </m:oMath>
      <w:r>
        <w:t xml:space="preserve"> </w:t>
      </w:r>
      <w:r>
        <w:t xml:space="preserve">(Worth et al.,</w:t>
      </w:r>
      <w:r>
        <w:t xml:space="preserve"> </w:t>
      </w:r>
      <w:r>
        <w:rPr>
          <w:i/>
          <w:iCs/>
        </w:rPr>
        <w:t xml:space="preserve">Br J Cancer</w:t>
      </w:r>
      <w:r>
        <w:t xml:space="preserve"> </w:t>
      </w:r>
      <w:r>
        <w:t xml:space="preserve">2022 [14]; Hirst et al.,</w:t>
      </w:r>
      <w:r>
        <w:t xml:space="preserve"> </w:t>
      </w:r>
      <w:r>
        <w:rPr>
          <w:i/>
          <w:iCs/>
        </w:rPr>
        <w:t xml:space="preserve">Br J Cancer</w:t>
      </w:r>
      <w:r>
        <w:t xml:space="preserve"> </w:t>
      </w:r>
      <w:r>
        <w:t xml:space="preserve">1991 [15]). Setting</w:t>
      </w:r>
      <w:r>
        <w:t xml:space="preserve"> </w:t>
      </w:r>
      <m:oMath>
        <m:sSub>
          <m:e>
            <m:r>
              <m:t>r</m:t>
            </m:r>
          </m:e>
          <m:sub>
            <m:r>
              <m:rPr>
                <m:nor/>
                <m:sty m:val="p"/>
              </m:rPr>
              <m:t>ox</m:t>
            </m:r>
          </m:sub>
        </m:sSub>
        <m:r>
          <m:rPr>
            <m:sty m:val="p"/>
          </m:rPr>
          <m:t>=</m:t>
        </m:r>
        <m:r>
          <m:t>200.0</m:t>
        </m:r>
        <m:r>
          <m:t> </m:t>
        </m:r>
        <m:r>
          <m:t>μ</m:t>
        </m:r>
        <m:r>
          <m:rPr>
            <m:nor/>
            <m:sty m:val="p"/>
          </m:rPr>
          <m:t>m</m:t>
        </m:r>
      </m:oMath>
      <w:r>
        <w:t xml:space="preserve"> </w:t>
      </w:r>
      <w:r>
        <w:t xml:space="preserve">represents the upper physiological ceiling of cellular viability.</w:t>
      </w:r>
    </w:p>
    <w:bookmarkEnd w:id="26"/>
    <w:bookmarkStart w:id="32" w:name="transport-results-sensitivity-mapping"/>
    <w:p>
      <w:pPr>
        <w:pStyle w:val="Heading3"/>
      </w:pPr>
      <w:r>
        <w:t xml:space="preserve">2.3 Transport Results &amp; Sensitivity Mapping</w:t>
      </w:r>
    </w:p>
    <w:p>
      <w:pPr>
        <w:pStyle w:val="FirstParagraph"/>
      </w:pPr>
      <w:r>
        <w:t xml:space="preserve">In the outward perivascular configuration, baseline parameters yield:</w:t>
      </w:r>
      <w:r>
        <w:t xml:space="preserve"> </w:t>
      </w:r>
      <w:r>
        <w:t xml:space="preserve">- Osimertinib:</w:t>
      </w:r>
      <w:r>
        <w:t xml:space="preserve"> </w:t>
      </w:r>
      <m:oMath>
        <m:sSub>
          <m:e>
            <m:r>
              <m:t>r</m:t>
            </m:r>
          </m:e>
          <m:sub>
            <m:r>
              <m:rPr>
                <m:nor/>
                <m:sty m:val="p"/>
              </m:rPr>
              <m:t>crit</m:t>
            </m:r>
          </m:sub>
        </m:sSub>
        <m:r>
          <m:rPr>
            <m:sty m:val="p"/>
          </m:rPr>
          <m:t>=</m:t>
        </m:r>
        <m:r>
          <m:t>165.90</m:t>
        </m:r>
        <m:r>
          <m:t> </m:t>
        </m:r>
        <m:r>
          <m:t>μ</m:t>
        </m:r>
        <m:r>
          <m:rPr>
            <m:nor/>
            <m:sty m:val="p"/>
          </m:rPr>
          <m:t>m</m:t>
        </m:r>
      </m:oMath>
      <w:r>
        <w:t xml:space="preserve">. For</w:t>
      </w:r>
      <w:r>
        <w:t xml:space="preserve"> </w:t>
      </w:r>
      <m:oMath>
        <m:sSub>
          <m:e>
            <m:r>
              <m:t>r</m:t>
            </m:r>
          </m:e>
          <m:sub>
            <m:r>
              <m:rPr>
                <m:nor/>
                <m:sty m:val="p"/>
              </m:rPr>
              <m:t>ox</m:t>
            </m:r>
          </m:sub>
        </m:sSub>
        <m:r>
          <m:rPr>
            <m:sty m:val="p"/>
          </m:rPr>
          <m:t>=</m:t>
        </m:r>
        <m:r>
          <m:t>200.0</m:t>
        </m:r>
        <m:r>
          <m:t> </m:t>
        </m:r>
        <m:r>
          <m:t>μ</m:t>
        </m:r>
        <m:r>
          <m:rPr>
            <m:nor/>
            <m:sty m:val="p"/>
          </m:rPr>
          <m:t>m</m:t>
        </m:r>
      </m:oMath>
      <w:r>
        <w:t xml:space="preserve">, an outward viable pharmacological sanctuary shell emerges with width</w:t>
      </w:r>
      <w:r>
        <w:t xml:space="preserve"> </w:t>
      </w:r>
      <m:oMath>
        <m:r>
          <m:t>Δ</m:t>
        </m:r>
        <m:r>
          <m:t>r</m:t>
        </m:r>
        <m:r>
          <m:rPr>
            <m:sty m:val="p"/>
          </m:rPr>
          <m:t>=</m:t>
        </m:r>
        <m:r>
          <m:t>34.10</m:t>
        </m:r>
        <m:r>
          <m:t> </m:t>
        </m:r>
        <m:r>
          <m:t>μ</m:t>
        </m:r>
        <m:r>
          <m:rPr>
            <m:nor/>
            <m:sty m:val="p"/>
          </m:rPr>
          <m:t>m</m:t>
        </m:r>
      </m:oMath>
      <w:r>
        <w:t xml:space="preserve"> </w:t>
      </w:r>
      <w:r>
        <w:t xml:space="preserve">(</w:t>
      </w:r>
      <w:r>
        <w:rPr>
          <w:b/>
          <w:bCs/>
        </w:rPr>
        <w:t xml:space="preserve">Figure 1A</w:t>
      </w:r>
      <w:r>
        <w:t xml:space="preserve">).</w:t>
      </w:r>
      <w:r>
        <w:t xml:space="preserve"> </w:t>
      </w:r>
      <w:r>
        <w:t xml:space="preserve">- Macromolecule (ADC):</w:t>
      </w:r>
      <w:r>
        <w:t xml:space="preserve"> </w:t>
      </w:r>
      <m:oMath>
        <m:sSub>
          <m:e>
            <m:r>
              <m:t>r</m:t>
            </m:r>
          </m:e>
          <m:sub>
            <m:r>
              <m:rPr>
                <m:nor/>
                <m:sty m:val="p"/>
              </m:rPr>
              <m:t>crit</m:t>
            </m:r>
          </m:sub>
        </m:sSub>
        <m:r>
          <m:rPr>
            <m:sty m:val="p"/>
          </m:rPr>
          <m:t>=</m:t>
        </m:r>
        <m:r>
          <m:t>47.43</m:t>
        </m:r>
        <m:r>
          <m:t> </m:t>
        </m:r>
        <m:r>
          <m:t>μ</m:t>
        </m:r>
        <m:r>
          <m:rPr>
            <m:nor/>
            <m:sty m:val="p"/>
          </m:rPr>
          <m:t>m</m:t>
        </m:r>
      </m:oMath>
      <w:r>
        <w:t xml:space="preserve">, leaving a massive uninhibited viable shell of</w:t>
      </w:r>
      <w:r>
        <w:t xml:space="preserve"> </w:t>
      </w:r>
      <m:oMath>
        <m:r>
          <m:t>Δ</m:t>
        </m:r>
        <m:r>
          <m:t>r</m:t>
        </m:r>
        <m:r>
          <m:rPr>
            <m:sty m:val="p"/>
          </m:rPr>
          <m:t>=</m:t>
        </m:r>
        <m:r>
          <m:t>152.57</m:t>
        </m:r>
        <m:r>
          <m:t> </m:t>
        </m:r>
        <m:r>
          <m:t>μ</m:t>
        </m:r>
        <m:r>
          <m:rPr>
            <m:nor/>
            <m:sty m:val="p"/>
          </m:rPr>
          <m:t>m</m:t>
        </m:r>
      </m:oMath>
      <w:r>
        <w:t xml:space="preserve"> </w:t>
      </w:r>
      <w:r>
        <w:t xml:space="preserve">(</w:t>
      </w:r>
      <m:oMath>
        <m:r>
          <m:rPr>
            <m:sty m:val="p"/>
          </m:rPr>
          <m:t>&gt;</m:t>
        </m:r>
        <m:r>
          <m:t>94</m:t>
        </m:r>
        <m:r>
          <m:rPr>
            <m:sty m:val="p"/>
          </m:rPr>
          <m:t>%</m:t>
        </m:r>
      </m:oMath>
      <w:r>
        <w:t xml:space="preserve"> </w:t>
      </w:r>
      <w:r>
        <w:t xml:space="preserve">of the cord uninhibited).</w:t>
      </w:r>
    </w:p>
    <w:p>
      <w:pPr>
        <w:pStyle w:val="BodyText"/>
      </w:pPr>
      <w:r>
        <w:t xml:space="preserve">(</w:t>
      </w:r>
      <w:r>
        <w:t xml:space="preserve">Figure 1</w:t>
      </w:r>
      <w:r>
        <w:t xml:space="preserve">).</w:t>
      </w:r>
    </w:p>
    <w:p>
      <w:pPr>
        <w:pStyle w:val="BodyText"/>
      </w:pPr>
      <w:r>
        <w:drawing>
          <wp:inline>
            <wp:extent cx="5334000" cy="4267200"/>
            <wp:effectExtent b="0" l="0" r="0" t="0"/>
            <wp:docPr descr="Figure 1: Biophysical Reaction-Diffusion Transport Physics &amp; Sensitivity Mapping" title="" id="28" name="Picture"/>
            <a:graphic>
              <a:graphicData uri="http://schemas.openxmlformats.org/drawingml/2006/picture">
                <pic:pic>
                  <pic:nvPicPr>
                    <pic:cNvPr descr="Figure1_transport_sensitivity.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rPr>
          <w:i/>
          <w:iCs/>
        </w:rPr>
        <w:t xml:space="preserve">Figure 1. Biophysical Reaction-Diffusion Transport Physics &amp; Sensitivity Mapping. (A) Normalized radial drug concentration profiles for small-molecule osimertinib and macromolecular ADC in outward perivascular geometry. Dotted lines indicate critical depth rcrit where drug drops below IC50 (theta = 0.35). (B) Concentration profiles in inward avascular nest geometry, demonstrating that osimertinib reaches &gt;=90% at the center for nests up to 400 um. (C) Viable sanctuary area percentage. (D) Parameter sensitivity phase map across D, k, theta, and rox.</w:t>
      </w:r>
    </w:p>
    <w:bookmarkStart w:id="30" w:name="X4edf15c26a00b0ebb164ab0822ce829bbc95ae6"/>
    <w:p>
      <w:pPr>
        <w:pStyle w:val="Heading4"/>
      </w:pPr>
      <w:r>
        <w:t xml:space="preserve">Table 1. Sensitivity of the Osimertinib Outward Perivascular Sanctuary Shell (</w:t>
      </w:r>
      <m:oMath>
        <m:r>
          <m:t>θ</m:t>
        </m:r>
        <m:r>
          <m:rPr>
            <m:sty m:val="p"/>
          </m:rPr>
          <m:t>=</m:t>
        </m:r>
        <m:r>
          <m:t>0.35</m:t>
        </m:r>
        <m:r>
          <m:rPr>
            <m:sty m:val="p"/>
          </m:rPr>
          <m:t>,</m:t>
        </m:r>
        <m:sSub>
          <m:e>
            <m:r>
              <m:t>r</m:t>
            </m:r>
          </m:e>
          <m:sub>
            <m:r>
              <m:t>0</m:t>
            </m:r>
          </m:sub>
        </m:sSub>
        <m:r>
          <m:rPr>
            <m:sty m:val="p"/>
          </m:rPr>
          <m:t>=</m:t>
        </m:r>
        <m:r>
          <m:t>10</m:t>
        </m:r>
        <m:r>
          <m:t> </m:t>
        </m:r>
        <m:r>
          <m:t>μ</m:t>
        </m:r>
        <m:r>
          <m:rPr>
            <m:nor/>
            <m:sty m:val="p"/>
          </m:rPr>
          <m:t>m</m:t>
        </m:r>
        <m:r>
          <m:rPr>
            <m:sty m:val="p"/>
          </m:rPr>
          <m:t>,</m:t>
        </m:r>
        <m:sSub>
          <m:e>
            <m:r>
              <m:t>r</m:t>
            </m:r>
          </m:e>
          <m:sub>
            <m:r>
              <m:rPr>
                <m:nor/>
                <m:sty m:val="p"/>
              </m:rPr>
              <m:t>ox</m:t>
            </m:r>
          </m:sub>
        </m:sSub>
        <m:r>
          <m:rPr>
            <m:sty m:val="p"/>
          </m:rPr>
          <m:t>=</m:t>
        </m:r>
        <m:r>
          <m:t>200</m:t>
        </m:r>
        <m:r>
          <m:t> </m:t>
        </m:r>
        <m:r>
          <m:t>μ</m:t>
        </m:r>
        <m:r>
          <m:rPr>
            <m:nor/>
            <m:sty m:val="p"/>
          </m:rPr>
          <m:t>m</m:t>
        </m:r>
      </m:oMath>
      <w:r>
        <w:t xml:space="preserve">)</w:t>
      </w:r>
    </w:p>
    <w:tbl>
      <w:tblPr>
        <w:tblStyle w:val="Table"/>
        <w:tblW w:type="pct" w:w="5000"/>
        <w:jc w:val="left"/>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Scenario</w:t>
            </w:r>
          </w:p>
        </w:tc>
        <w:tc>
          <w:tcPr/>
          <w:p>
            <w:pPr>
              <w:pStyle w:val="Compact"/>
              <w:jc w:val="center"/>
            </w:pPr>
            <w:r>
              <w:t xml:space="preserve">Penetration Length</w:t>
            </w:r>
            <w:r>
              <w:t xml:space="preserve"> </w:t>
            </w:r>
            <m:oMath>
              <m:r>
                <m:t>λ</m:t>
              </m:r>
            </m:oMath>
            <w:r>
              <w:t xml:space="preserve"> </w:t>
            </w:r>
            <w:r>
              <w:t xml:space="preserve">(</w:t>
            </w:r>
            <m:oMath>
              <m:r>
                <m:t>μ</m:t>
              </m:r>
              <m:r>
                <m:rPr>
                  <m:nor/>
                  <m:sty m:val="p"/>
                </m:rPr>
                <m:t>m</m:t>
              </m:r>
            </m:oMath>
            <w:r>
              <w:t xml:space="preserve">)</w:t>
            </w:r>
          </w:p>
        </w:tc>
        <w:tc>
          <w:tcPr/>
          <w:p>
            <w:pPr>
              <w:pStyle w:val="Compact"/>
              <w:jc w:val="center"/>
            </w:pPr>
            <w:r>
              <w:t xml:space="preserve">Critical Radius</w:t>
            </w:r>
            <w:r>
              <w:t xml:space="preserve"> </w:t>
            </w:r>
            <m:oMath>
              <m:sSub>
                <m:e>
                  <m:r>
                    <m:t>r</m:t>
                  </m:r>
                </m:e>
                <m:sub>
                  <m:r>
                    <m:rPr>
                      <m:nor/>
                      <m:sty m:val="p"/>
                    </m:rPr>
                    <m:t>crit</m:t>
                  </m:r>
                </m:sub>
              </m:sSub>
            </m:oMath>
            <w:r>
              <w:t xml:space="preserve"> </w:t>
            </w:r>
            <w:r>
              <w:t xml:space="preserve">(</w:t>
            </w:r>
            <m:oMath>
              <m:r>
                <m:t>μ</m:t>
              </m:r>
              <m:r>
                <m:rPr>
                  <m:nor/>
                  <m:sty m:val="p"/>
                </m:rPr>
                <m:t>m</m:t>
              </m:r>
            </m:oMath>
            <w:r>
              <w:t xml:space="preserve">)</w:t>
            </w:r>
          </w:p>
        </w:tc>
        <w:tc>
          <w:tcPr/>
          <w:p>
            <w:pPr>
              <w:pStyle w:val="Compact"/>
              <w:jc w:val="center"/>
            </w:pPr>
            <w:r>
              <w:t xml:space="preserve">Sanctuary Shell Width</w:t>
            </w:r>
            <w:r>
              <w:t xml:space="preserve"> </w:t>
            </w:r>
            <m:oMath>
              <m:r>
                <m:t>Δ</m:t>
              </m:r>
              <m:r>
                <m:t>r</m:t>
              </m:r>
            </m:oMath>
            <w:r>
              <w:t xml:space="preserve"> </w:t>
            </w:r>
            <w:r>
              <w:t xml:space="preserve">(</w:t>
            </w:r>
            <m:oMath>
              <m:r>
                <m:t>μ</m:t>
              </m:r>
              <m:r>
                <m:rPr>
                  <m:nor/>
                  <m:sty m:val="p"/>
                </m:rPr>
                <m:t>m</m:t>
              </m:r>
            </m:oMath>
            <w:r>
              <w:t xml:space="preserve">)</w:t>
            </w:r>
          </w:p>
        </w:tc>
        <w:tc>
          <w:tcPr/>
          <w:p>
            <w:pPr>
              <w:pStyle w:val="Compact"/>
              <w:jc w:val="left"/>
            </w:pPr>
            <w:r>
              <w:t xml:space="preserve">Operational State</w:t>
            </w:r>
          </w:p>
        </w:tc>
      </w:tr>
      <w:tr>
        <w:tc>
          <w:tcPr/>
          <w:p>
            <w:pPr>
              <w:pStyle w:val="Compact"/>
              <w:jc w:val="left"/>
            </w:pPr>
            <w:r>
              <w:rPr>
                <w:b/>
                <w:bCs/>
              </w:rPr>
              <w:t xml:space="preserve">Baseline Calibration</w:t>
            </w:r>
          </w:p>
        </w:tc>
        <w:tc>
          <w:tcPr/>
          <w:p>
            <w:pPr>
              <w:pStyle w:val="Compact"/>
              <w:jc w:val="center"/>
            </w:pPr>
            <w:r>
              <w:rPr>
                <w:b/>
                <w:bCs/>
              </w:rPr>
              <w:t xml:space="preserve">627.6</w:t>
            </w:r>
          </w:p>
        </w:tc>
        <w:tc>
          <w:tcPr/>
          <w:p>
            <w:pPr>
              <w:pStyle w:val="Compact"/>
              <w:jc w:val="center"/>
            </w:pPr>
            <w:r>
              <w:rPr>
                <w:b/>
                <w:bCs/>
              </w:rPr>
              <w:t xml:space="preserve">165.9</w:t>
            </w:r>
          </w:p>
        </w:tc>
        <w:tc>
          <w:tcPr/>
          <w:p>
            <w:pPr>
              <w:pStyle w:val="Compact"/>
              <w:jc w:val="center"/>
            </w:pPr>
            <w:r>
              <w:rPr>
                <w:b/>
                <w:bCs/>
              </w:rPr>
              <w:t xml:space="preserve">34.1</w:t>
            </w:r>
          </w:p>
        </w:tc>
        <w:tc>
          <w:tcPr/>
          <w:p>
            <w:pPr>
              <w:pStyle w:val="Compact"/>
              <w:jc w:val="left"/>
            </w:pPr>
            <w:r>
              <w:rPr>
                <w:b/>
                <w:bCs/>
              </w:rPr>
              <w:t xml:space="preserve">Viable Sanctuary Shell</w:t>
            </w:r>
          </w:p>
        </w:tc>
      </w:tr>
      <w:tr>
        <w:tc>
          <w:tcPr/>
          <w:p>
            <w:pPr>
              <w:pStyle w:val="Compact"/>
              <w:jc w:val="left"/>
            </w:pPr>
            <m:oMath>
              <m:r>
                <m:t>D</m:t>
              </m:r>
              <m:r>
                <m:rPr>
                  <m:sty m:val="p"/>
                </m:rPr>
                <m:t>+</m:t>
              </m:r>
              <m:r>
                <m:t>30</m:t>
              </m:r>
              <m:r>
                <m:rPr>
                  <m:sty m:val="p"/>
                </m:rPr>
                <m:t>%</m:t>
              </m:r>
            </m:oMath>
          </w:p>
        </w:tc>
        <w:tc>
          <w:tcPr/>
          <w:p>
            <w:pPr>
              <w:pStyle w:val="Compact"/>
              <w:jc w:val="center"/>
            </w:pPr>
            <w:r>
              <w:t xml:space="preserve">715.6</w:t>
            </w:r>
          </w:p>
        </w:tc>
        <w:tc>
          <w:tcPr/>
          <w:p>
            <w:pPr>
              <w:pStyle w:val="Compact"/>
              <w:jc w:val="center"/>
            </w:pPr>
            <w:r>
              <w:t xml:space="preserve">180.1</w:t>
            </w:r>
          </w:p>
        </w:tc>
        <w:tc>
          <w:tcPr/>
          <w:p>
            <w:pPr>
              <w:pStyle w:val="Compact"/>
              <w:jc w:val="center"/>
            </w:pPr>
            <w:r>
              <w:t xml:space="preserve">19.9</w:t>
            </w:r>
          </w:p>
        </w:tc>
        <w:tc>
          <w:tcPr/>
          <w:p>
            <w:pPr>
              <w:pStyle w:val="Compact"/>
              <w:jc w:val="left"/>
            </w:pPr>
            <w:r>
              <w:t xml:space="preserve">Shell narrows</w:t>
            </w:r>
          </w:p>
        </w:tc>
      </w:tr>
      <w:tr>
        <w:tc>
          <w:tcPr/>
          <w:p>
            <w:pPr>
              <w:pStyle w:val="Compact"/>
              <w:jc w:val="left"/>
            </w:pPr>
            <m:oMath>
              <m:r>
                <m:t>D</m:t>
              </m:r>
              <m:r>
                <m:rPr>
                  <m:sty m:val="p"/>
                </m:rPr>
                <m:t>−</m:t>
              </m:r>
              <m:r>
                <m:t>30</m:t>
              </m:r>
              <m:r>
                <m:rPr>
                  <m:sty m:val="p"/>
                </m:rPr>
                <m:t>%</m:t>
              </m:r>
            </m:oMath>
          </w:p>
        </w:tc>
        <w:tc>
          <w:tcPr/>
          <w:p>
            <w:pPr>
              <w:pStyle w:val="Compact"/>
              <w:jc w:val="center"/>
            </w:pPr>
            <w:r>
              <w:t xml:space="preserve">525.1</w:t>
            </w:r>
          </w:p>
        </w:tc>
        <w:tc>
          <w:tcPr/>
          <w:p>
            <w:pPr>
              <w:pStyle w:val="Compact"/>
              <w:jc w:val="center"/>
            </w:pPr>
            <w:r>
              <w:t xml:space="preserve">148.5</w:t>
            </w:r>
          </w:p>
        </w:tc>
        <w:tc>
          <w:tcPr/>
          <w:p>
            <w:pPr>
              <w:pStyle w:val="Compact"/>
              <w:jc w:val="center"/>
            </w:pPr>
            <w:r>
              <w:t xml:space="preserve">51.5</w:t>
            </w:r>
          </w:p>
        </w:tc>
        <w:tc>
          <w:tcPr/>
          <w:p>
            <w:pPr>
              <w:pStyle w:val="Compact"/>
              <w:jc w:val="left"/>
            </w:pPr>
            <w:r>
              <w:t xml:space="preserve">Shell widens</w:t>
            </w:r>
          </w:p>
        </w:tc>
      </w:tr>
      <w:tr>
        <w:tc>
          <w:tcPr/>
          <w:p>
            <w:pPr>
              <w:pStyle w:val="Compact"/>
              <w:jc w:val="left"/>
            </w:pPr>
            <m:oMath>
              <m:r>
                <m:t>k</m:t>
              </m:r>
              <m:r>
                <m:rPr>
                  <m:sty m:val="p"/>
                </m:rPr>
                <m:t>+</m:t>
              </m:r>
              <m:r>
                <m:t>30</m:t>
              </m:r>
              <m:r>
                <m:rPr>
                  <m:sty m:val="p"/>
                </m:rPr>
                <m:t>%</m:t>
              </m:r>
            </m:oMath>
          </w:p>
        </w:tc>
        <w:tc>
          <w:tcPr/>
          <w:p>
            <w:pPr>
              <w:pStyle w:val="Compact"/>
              <w:jc w:val="center"/>
            </w:pPr>
            <w:r>
              <w:t xml:space="preserve">550.5</w:t>
            </w:r>
          </w:p>
        </w:tc>
        <w:tc>
          <w:tcPr/>
          <w:p>
            <w:pPr>
              <w:pStyle w:val="Compact"/>
              <w:jc w:val="center"/>
            </w:pPr>
            <w:r>
              <w:t xml:space="preserve">152.9</w:t>
            </w:r>
          </w:p>
        </w:tc>
        <w:tc>
          <w:tcPr/>
          <w:p>
            <w:pPr>
              <w:pStyle w:val="Compact"/>
              <w:jc w:val="center"/>
            </w:pPr>
            <w:r>
              <w:t xml:space="preserve">47.1</w:t>
            </w:r>
          </w:p>
        </w:tc>
        <w:tc>
          <w:tcPr/>
          <w:p>
            <w:pPr>
              <w:pStyle w:val="Compact"/>
              <w:jc w:val="left"/>
            </w:pPr>
            <w:r>
              <w:t xml:space="preserve">Shell widens</w:t>
            </w:r>
          </w:p>
        </w:tc>
      </w:tr>
      <w:tr>
        <w:tc>
          <w:tcPr/>
          <w:p>
            <w:pPr>
              <w:pStyle w:val="Compact"/>
              <w:jc w:val="left"/>
            </w:pPr>
            <m:oMath>
              <m:r>
                <m:t>k</m:t>
              </m:r>
              <m:r>
                <m:rPr>
                  <m:sty m:val="p"/>
                </m:rPr>
                <m:t>−</m:t>
              </m:r>
              <m:r>
                <m:t>30</m:t>
              </m:r>
              <m:r>
                <m:rPr>
                  <m:sty m:val="p"/>
                </m:rPr>
                <m:t>%</m:t>
              </m:r>
            </m:oMath>
          </w:p>
        </w:tc>
        <w:tc>
          <w:tcPr/>
          <w:p>
            <w:pPr>
              <w:pStyle w:val="Compact"/>
              <w:jc w:val="center"/>
            </w:pPr>
            <w:r>
              <w:t xml:space="preserve">750.2</w:t>
            </w:r>
          </w:p>
        </w:tc>
        <w:tc>
          <w:tcPr/>
          <w:p>
            <w:pPr>
              <w:pStyle w:val="Compact"/>
              <w:jc w:val="center"/>
            </w:pPr>
            <w:r>
              <w:t xml:space="preserve">185.5</w:t>
            </w:r>
          </w:p>
        </w:tc>
        <w:tc>
          <w:tcPr/>
          <w:p>
            <w:pPr>
              <w:pStyle w:val="Compact"/>
              <w:jc w:val="center"/>
            </w:pPr>
            <w:r>
              <w:t xml:space="preserve">14.5</w:t>
            </w:r>
          </w:p>
        </w:tc>
        <w:tc>
          <w:tcPr/>
          <w:p>
            <w:pPr>
              <w:pStyle w:val="Compact"/>
              <w:jc w:val="left"/>
            </w:pPr>
            <w:r>
              <w:t xml:space="preserve">Shell narrows</w:t>
            </w:r>
          </w:p>
        </w:tc>
      </w:tr>
      <w:tr>
        <w:tc>
          <w:tcPr/>
          <w:p>
            <w:pPr>
              <w:pStyle w:val="Compact"/>
              <w:jc w:val="left"/>
            </w:pPr>
            <m:oMath>
              <m:r>
                <m:t>D</m:t>
              </m:r>
              <m:r>
                <m:rPr>
                  <m:sty m:val="p"/>
                </m:rPr>
                <m:t>+</m:t>
              </m:r>
              <m:r>
                <m:t>30</m:t>
              </m:r>
              <m:r>
                <m:rPr>
                  <m:sty m:val="p"/>
                </m:rPr>
                <m:t>%</m:t>
              </m:r>
            </m:oMath>
            <w:r>
              <w:rPr>
                <w:b/>
                <w:bCs/>
              </w:rPr>
              <w:t xml:space="preserve"> </w:t>
            </w:r>
            <w:r>
              <w:rPr>
                <w:b/>
                <w:bCs/>
              </w:rPr>
              <w:t xml:space="preserve">and</w:t>
            </w:r>
            <w:r>
              <w:rPr>
                <w:b/>
                <w:bCs/>
              </w:rPr>
              <w:t xml:space="preserve"> </w:t>
            </w:r>
            <m:oMath>
              <m:r>
                <m:t>k</m:t>
              </m:r>
              <m:r>
                <m:rPr>
                  <m:sty m:val="p"/>
                </m:rPr>
                <m:t>−</m:t>
              </m:r>
              <m:r>
                <m:t>30</m:t>
              </m:r>
              <m:r>
                <m:rPr>
                  <m:sty m:val="p"/>
                </m:rPr>
                <m:t>%</m:t>
              </m:r>
            </m:oMath>
            <w:r>
              <w:rPr>
                <w:b/>
                <w:bCs/>
              </w:rPr>
              <w:t xml:space="preserve"> </w:t>
            </w:r>
            <w:r>
              <w:rPr>
                <w:b/>
                <w:bCs/>
              </w:rPr>
              <w:t xml:space="preserve">Concurrently</w:t>
            </w:r>
          </w:p>
        </w:tc>
        <w:tc>
          <w:tcPr/>
          <w:p>
            <w:pPr>
              <w:pStyle w:val="Compact"/>
              <w:jc w:val="center"/>
            </w:pPr>
            <w:r>
              <w:rPr>
                <w:b/>
                <w:bCs/>
              </w:rPr>
              <w:t xml:space="preserve">855.3</w:t>
            </w:r>
          </w:p>
        </w:tc>
        <w:tc>
          <w:tcPr/>
          <w:p>
            <w:pPr>
              <w:pStyle w:val="Compact"/>
              <w:jc w:val="center"/>
            </w:pPr>
            <w:r>
              <w:rPr>
                <w:b/>
                <w:bCs/>
              </w:rPr>
              <w:t xml:space="preserve">201.4</w:t>
            </w:r>
          </w:p>
        </w:tc>
        <w:tc>
          <w:tcPr/>
          <w:p>
            <w:pPr>
              <w:pStyle w:val="Compact"/>
              <w:jc w:val="center"/>
            </w:pPr>
            <w:r>
              <w:rPr>
                <w:b/>
                <w:bCs/>
              </w:rPr>
              <w:t xml:space="preserve">0.0</w:t>
            </w:r>
          </w:p>
        </w:tc>
        <w:tc>
          <w:tcPr/>
          <w:p>
            <w:pPr>
              <w:pStyle w:val="Compact"/>
              <w:jc w:val="left"/>
            </w:pPr>
            <w:r>
              <w:rPr>
                <w:b/>
                <w:bCs/>
              </w:rPr>
              <w:t xml:space="preserve">Shell Collapses Completely</w:t>
            </w:r>
          </w:p>
        </w:tc>
      </w:tr>
      <w:tr>
        <w:tc>
          <w:tcPr/>
          <w:p>
            <w:pPr>
              <w:pStyle w:val="Compact"/>
              <w:jc w:val="left"/>
            </w:pPr>
            <m:oMath>
              <m:r>
                <m:t>D</m:t>
              </m:r>
              <m:r>
                <m:rPr>
                  <m:sty m:val="p"/>
                </m:rPr>
                <m:t>−</m:t>
              </m:r>
              <m:r>
                <m:t>30</m:t>
              </m:r>
              <m:r>
                <m:rPr>
                  <m:sty m:val="p"/>
                </m:rPr>
                <m:t>%</m:t>
              </m:r>
            </m:oMath>
            <w:r>
              <w:t xml:space="preserve"> </w:t>
            </w:r>
            <w:r>
              <w:t xml:space="preserve">and</w:t>
            </w:r>
            <w:r>
              <w:t xml:space="preserve"> </w:t>
            </w:r>
            <m:oMath>
              <m:r>
                <m:t>k</m:t>
              </m:r>
              <m:r>
                <m:rPr>
                  <m:sty m:val="p"/>
                </m:rPr>
                <m:t>+</m:t>
              </m:r>
              <m:r>
                <m:t>30</m:t>
              </m:r>
              <m:r>
                <m:rPr>
                  <m:sty m:val="p"/>
                </m:rPr>
                <m:t>%</m:t>
              </m:r>
            </m:oMath>
            <w:r>
              <w:t xml:space="preserve"> </w:t>
            </w:r>
            <w:r>
              <w:t xml:space="preserve">Concurrently</w:t>
            </w:r>
          </w:p>
        </w:tc>
        <w:tc>
          <w:tcPr/>
          <w:p>
            <w:pPr>
              <w:pStyle w:val="Compact"/>
              <w:jc w:val="center"/>
            </w:pPr>
            <w:r>
              <w:t xml:space="preserve">460.6</w:t>
            </w:r>
          </w:p>
        </w:tc>
        <w:tc>
          <w:tcPr/>
          <w:p>
            <w:pPr>
              <w:pStyle w:val="Compact"/>
              <w:jc w:val="center"/>
            </w:pPr>
            <w:r>
              <w:t xml:space="preserve">136.9</w:t>
            </w:r>
          </w:p>
        </w:tc>
        <w:tc>
          <w:tcPr/>
          <w:p>
            <w:pPr>
              <w:pStyle w:val="Compact"/>
              <w:jc w:val="center"/>
            </w:pPr>
            <w:r>
              <w:t xml:space="preserve">63.1</w:t>
            </w:r>
          </w:p>
        </w:tc>
        <w:tc>
          <w:tcPr/>
          <w:p>
            <w:pPr>
              <w:pStyle w:val="Compact"/>
              <w:jc w:val="left"/>
            </w:pPr>
            <w:r>
              <w:t xml:space="preserve">Shell expands substantially</w:t>
            </w:r>
          </w:p>
        </w:tc>
      </w:tr>
      <w:tr>
        <w:tc>
          <w:tcPr/>
          <w:p>
            <w:pPr>
              <w:pStyle w:val="Compact"/>
              <w:jc w:val="left"/>
            </w:pPr>
            <w:r>
              <w:t xml:space="preserve">Capillary radius</w:t>
            </w:r>
            <w:r>
              <w:t xml:space="preserve"> </w:t>
            </w:r>
            <m:oMath>
              <m:sSub>
                <m:e>
                  <m:r>
                    <m:t>r</m:t>
                  </m:r>
                </m:e>
                <m:sub>
                  <m:r>
                    <m:t>0</m:t>
                  </m:r>
                </m:sub>
              </m:sSub>
              <m:r>
                <m:rPr>
                  <m:sty m:val="p"/>
                </m:rPr>
                <m:t>=</m:t>
              </m:r>
              <m:r>
                <m:t>5</m:t>
              </m:r>
              <m:r>
                <m:t> </m:t>
              </m:r>
              <m:r>
                <m:t>μ</m:t>
              </m:r>
              <m:r>
                <m:rPr>
                  <m:nor/>
                  <m:sty m:val="p"/>
                </m:rPr>
                <m:t>m</m:t>
              </m:r>
            </m:oMath>
          </w:p>
        </w:tc>
        <w:tc>
          <w:tcPr/>
          <w:p>
            <w:pPr>
              <w:pStyle w:val="Compact"/>
              <w:jc w:val="center"/>
            </w:pPr>
            <w:r>
              <w:t xml:space="preserve">627.6</w:t>
            </w:r>
          </w:p>
        </w:tc>
        <w:tc>
          <w:tcPr/>
          <w:p>
            <w:pPr>
              <w:pStyle w:val="Compact"/>
              <w:jc w:val="center"/>
            </w:pPr>
            <w:r>
              <w:t xml:space="preserve">128.3</w:t>
            </w:r>
          </w:p>
        </w:tc>
        <w:tc>
          <w:tcPr/>
          <w:p>
            <w:pPr>
              <w:pStyle w:val="Compact"/>
              <w:jc w:val="center"/>
            </w:pPr>
            <w:r>
              <w:t xml:space="preserve">71.7</w:t>
            </w:r>
          </w:p>
        </w:tc>
        <w:tc>
          <w:tcPr/>
          <w:p>
            <w:pPr>
              <w:pStyle w:val="Compact"/>
              <w:jc w:val="left"/>
            </w:pPr>
            <w:r>
              <w:t xml:space="preserve">Shell expands</w:t>
            </w:r>
          </w:p>
        </w:tc>
      </w:tr>
      <w:tr>
        <w:tc>
          <w:tcPr/>
          <w:p>
            <w:pPr>
              <w:pStyle w:val="Compact"/>
              <w:jc w:val="left"/>
            </w:pPr>
            <w:r>
              <w:t xml:space="preserve">Capillary radius</w:t>
            </w:r>
            <w:r>
              <w:t xml:space="preserve"> </w:t>
            </w:r>
            <m:oMath>
              <m:sSub>
                <m:e>
                  <m:r>
                    <m:t>r</m:t>
                  </m:r>
                </m:e>
                <m:sub>
                  <m:r>
                    <m:t>0</m:t>
                  </m:r>
                </m:sub>
              </m:sSub>
              <m:r>
                <m:rPr>
                  <m:sty m:val="p"/>
                </m:rPr>
                <m:t>=</m:t>
              </m:r>
              <m:r>
                <m:t>20</m:t>
              </m:r>
              <m:r>
                <m:t> </m:t>
              </m:r>
              <m:r>
                <m:t>μ</m:t>
              </m:r>
              <m:r>
                <m:rPr>
                  <m:nor/>
                  <m:sty m:val="p"/>
                </m:rPr>
                <m:t>m</m:t>
              </m:r>
            </m:oMath>
          </w:p>
        </w:tc>
        <w:tc>
          <w:tcPr/>
          <w:p>
            <w:pPr>
              <w:pStyle w:val="Compact"/>
              <w:jc w:val="center"/>
            </w:pPr>
            <w:r>
              <w:t xml:space="preserve">627.6</w:t>
            </w:r>
          </w:p>
        </w:tc>
        <w:tc>
          <w:tcPr/>
          <w:p>
            <w:pPr>
              <w:pStyle w:val="Compact"/>
              <w:jc w:val="center"/>
            </w:pPr>
            <w:r>
              <w:t xml:space="preserve">216.2</w:t>
            </w:r>
          </w:p>
        </w:tc>
        <w:tc>
          <w:tcPr/>
          <w:p>
            <w:pPr>
              <w:pStyle w:val="Compact"/>
              <w:jc w:val="center"/>
            </w:pPr>
            <w:r>
              <w:t xml:space="preserve">0.0</w:t>
            </w:r>
          </w:p>
        </w:tc>
        <w:tc>
          <w:tcPr/>
          <w:p>
            <w:pPr>
              <w:pStyle w:val="Compact"/>
              <w:jc w:val="left"/>
            </w:pPr>
            <w:r>
              <w:t xml:space="preserve">Shell Collapses Completely</w:t>
            </w:r>
          </w:p>
        </w:tc>
      </w:tr>
    </w:tbl>
    <w:p>
      <w:pPr>
        <w:pStyle w:val="BodyText"/>
      </w:pPr>
      <w:r>
        <w:t xml:space="preserve">As demonstrated in</w:t>
      </w:r>
      <w:r>
        <w:t xml:space="preserve"> </w:t>
      </w:r>
      <w:r>
        <w:rPr>
          <w:b/>
          <w:bCs/>
        </w:rPr>
        <w:t xml:space="preserve">Table 1</w:t>
      </w:r>
      <w:r>
        <w:t xml:space="preserve">, the perivascular shell persists under individual</w:t>
      </w:r>
      <w:r>
        <w:t xml:space="preserve"> </w:t>
      </w:r>
      <m:oMath>
        <m:r>
          <m:rPr>
            <m:sty m:val="p"/>
          </m:rPr>
          <m:t>±</m:t>
        </m:r>
        <m:r>
          <m:t>30</m:t>
        </m:r>
        <m:r>
          <m:rPr>
            <m:sty m:val="p"/>
          </m:rPr>
          <m:t>%</m:t>
        </m:r>
      </m:oMath>
      <w:r>
        <w:t xml:space="preserve"> </w:t>
      </w:r>
      <w:r>
        <w:t xml:space="preserve">parameter variations, but collapses completely under the concurrent combination of</w:t>
      </w:r>
      <w:r>
        <w:t xml:space="preserve"> </w:t>
      </w:r>
      <m:oMath>
        <m:r>
          <m:rPr>
            <m:sty m:val="p"/>
          </m:rPr>
          <m:t>+</m:t>
        </m:r>
        <m:r>
          <m:t>30</m:t>
        </m:r>
        <m:r>
          <m:rPr>
            <m:sty m:val="p"/>
          </m:rPr>
          <m:t>%</m:t>
        </m:r>
        <m:r>
          <m:t>D</m:t>
        </m:r>
      </m:oMath>
      <w:r>
        <w:t xml:space="preserve"> </w:t>
      </w:r>
      <w:r>
        <w:t xml:space="preserve">and</w:t>
      </w:r>
      <w:r>
        <w:t xml:space="preserve"> </w:t>
      </w:r>
      <m:oMath>
        <m:r>
          <m:rPr>
            <m:sty m:val="p"/>
          </m:rPr>
          <m:t>−</m:t>
        </m:r>
        <m:r>
          <m:t>30</m:t>
        </m:r>
        <m:r>
          <m:rPr>
            <m:sty m:val="p"/>
          </m:rPr>
          <m:t>%</m:t>
        </m:r>
        <m:r>
          <m:t>k</m:t>
        </m:r>
      </m:oMath>
      <w:r>
        <w:t xml:space="preserve"> </w:t>
      </w:r>
      <w:r>
        <w:t xml:space="preserve">(</w:t>
      </w:r>
      <m:oMath>
        <m:sSub>
          <m:e>
            <m:r>
              <m:t>r</m:t>
            </m:r>
          </m:e>
          <m:sub>
            <m:r>
              <m:rPr>
                <m:nor/>
                <m:sty m:val="p"/>
              </m:rPr>
              <m:t>crit</m:t>
            </m:r>
          </m:sub>
        </m:sSub>
        <m:r>
          <m:rPr>
            <m:sty m:val="p"/>
          </m:rPr>
          <m:t>=</m:t>
        </m:r>
        <m:r>
          <m:t>201.4</m:t>
        </m:r>
        <m:r>
          <m:t> </m:t>
        </m:r>
        <m:r>
          <m:t>μ</m:t>
        </m:r>
        <m:r>
          <m:rPr>
            <m:nor/>
            <m:sty m:val="p"/>
          </m:rPr>
          <m:t>m</m:t>
        </m:r>
        <m:r>
          <m:rPr>
            <m:sty m:val="p"/>
          </m:rPr>
          <m:t>&gt;</m:t>
        </m:r>
        <m:sSub>
          <m:e>
            <m:r>
              <m:t>r</m:t>
            </m:r>
          </m:e>
          <m:sub>
            <m:r>
              <m:rPr>
                <m:nor/>
                <m:sty m:val="p"/>
              </m:rPr>
              <m:t>ox</m:t>
            </m:r>
          </m:sub>
        </m:sSub>
      </m:oMath>
      <w:r>
        <w:t xml:space="preserve">). Furthermore, the existence of the shell requires</w:t>
      </w:r>
      <w:r>
        <w:t xml:space="preserve"> </w:t>
      </w:r>
      <m:oMath>
        <m:r>
          <m:t>θ</m:t>
        </m:r>
        <m:r>
          <m:rPr>
            <m:sty m:val="p"/>
          </m:rPr>
          <m:t>&gt;</m:t>
        </m:r>
        <m:r>
          <m:t>0.310</m:t>
        </m:r>
      </m:oMath>
      <w:r>
        <w:t xml:space="preserve"> </w:t>
      </w:r>
      <w:r>
        <w:t xml:space="preserve">at</w:t>
      </w:r>
      <w:r>
        <w:t xml:space="preserve"> </w:t>
      </w:r>
      <m:oMath>
        <m:sSub>
          <m:e>
            <m:r>
              <m:t>r</m:t>
            </m:r>
          </m:e>
          <m:sub>
            <m:r>
              <m:rPr>
                <m:nor/>
                <m:sty m:val="p"/>
              </m:rPr>
              <m:t>ox</m:t>
            </m:r>
          </m:sub>
        </m:sSub>
        <m:r>
          <m:rPr>
            <m:sty m:val="p"/>
          </m:rPr>
          <m:t>=</m:t>
        </m:r>
        <m:r>
          <m:t>200</m:t>
        </m:r>
        <m:r>
          <m:t> </m:t>
        </m:r>
        <m:r>
          <m:t>μ</m:t>
        </m:r>
        <m:r>
          <m:rPr>
            <m:nor/>
            <m:sty m:val="p"/>
          </m:rPr>
          <m:t>m</m:t>
        </m:r>
      </m:oMath>
      <w:r>
        <w:t xml:space="preserve">;</w:t>
      </w:r>
      <w:r>
        <w:t xml:space="preserve"> </w:t>
      </w:r>
      <m:oMath>
        <m:r>
          <m:t>θ</m:t>
        </m:r>
        <m:r>
          <m:rPr>
            <m:sty m:val="p"/>
          </m:rPr>
          <m:t>&gt;</m:t>
        </m:r>
        <m:r>
          <m:t>0.332</m:t>
        </m:r>
      </m:oMath>
      <w:r>
        <w:t xml:space="preserve"> </w:t>
      </w:r>
      <w:r>
        <w:t xml:space="preserve">at</w:t>
      </w:r>
      <w:r>
        <w:t xml:space="preserve"> </w:t>
      </w:r>
      <m:oMath>
        <m:sSub>
          <m:e>
            <m:r>
              <m:t>r</m:t>
            </m:r>
          </m:e>
          <m:sub>
            <m:r>
              <m:rPr>
                <m:nor/>
                <m:sty m:val="p"/>
              </m:rPr>
              <m:t>ox</m:t>
            </m:r>
          </m:sub>
        </m:sSub>
        <m:r>
          <m:rPr>
            <m:sty m:val="p"/>
          </m:rPr>
          <m:t>=</m:t>
        </m:r>
        <m:r>
          <m:t>180</m:t>
        </m:r>
        <m:r>
          <m:t> </m:t>
        </m:r>
        <m:r>
          <m:t>μ</m:t>
        </m:r>
        <m:r>
          <m:rPr>
            <m:nor/>
            <m:sty m:val="p"/>
          </m:rPr>
          <m:t>m</m:t>
        </m:r>
      </m:oMath>
      <w:r>
        <w:t xml:space="preserve">; and collapses entirely if</w:t>
      </w:r>
      <w:r>
        <w:t xml:space="preserve"> </w:t>
      </w:r>
      <m:oMath>
        <m:sSub>
          <m:e>
            <m:r>
              <m:t>r</m:t>
            </m:r>
          </m:e>
          <m:sub>
            <m:r>
              <m:rPr>
                <m:nor/>
                <m:sty m:val="p"/>
              </m:rPr>
              <m:t>ox</m:t>
            </m:r>
          </m:sub>
        </m:sSub>
        <m:r>
          <m:rPr>
            <m:sty m:val="p"/>
          </m:rPr>
          <m:t>≤</m:t>
        </m:r>
        <m:r>
          <m:t>165.9</m:t>
        </m:r>
        <m:r>
          <m:t> </m:t>
        </m:r>
        <m:r>
          <m:t>μ</m:t>
        </m:r>
        <m:r>
          <m:rPr>
            <m:nor/>
            <m:sty m:val="p"/>
          </m:rPr>
          <m:t>m</m:t>
        </m:r>
      </m:oMath>
      <w:r>
        <w:t xml:space="preserve"> </w:t>
      </w:r>
      <w:r>
        <w:t xml:space="preserve">(</w:t>
      </w:r>
      <w:r>
        <w:rPr>
          <w:b/>
          <w:bCs/>
        </w:rPr>
        <w:t xml:space="preserve">Figure 1D</w:t>
      </w:r>
      <w:r>
        <w:t xml:space="preserve">). Monte Carlo sensitivity sampling across log-normal distributions of</w:t>
      </w:r>
      <w:r>
        <w:t xml:space="preserve"> </w:t>
      </w:r>
      <m:oMath>
        <m:r>
          <m:t>D</m:t>
        </m:r>
        <m:r>
          <m:rPr>
            <m:sty m:val="p"/>
          </m:rPr>
          <m:t>,</m:t>
        </m:r>
        <m:r>
          <m:t>k</m:t>
        </m:r>
        <m:r>
          <m:rPr>
            <m:sty m:val="p"/>
          </m:rPr>
          <m:t>,</m:t>
        </m:r>
        <m:r>
          <m:t>θ</m:t>
        </m:r>
      </m:oMath>
      <w:r>
        <w:t xml:space="preserve"> </w:t>
      </w:r>
      <w:r>
        <w:t xml:space="preserve">and uniform</w:t>
      </w:r>
      <w:r>
        <w:t xml:space="preserve"> </w:t>
      </w:r>
      <m:oMath>
        <m:sSub>
          <m:e>
            <m:r>
              <m:t>r</m:t>
            </m:r>
          </m:e>
          <m:sub>
            <m:r>
              <m:rPr>
                <m:nor/>
                <m:sty m:val="p"/>
              </m:rPr>
              <m:t>ox</m:t>
            </m:r>
          </m:sub>
        </m:sSub>
        <m:r>
          <m:rPr>
            <m:sty m:val="p"/>
          </m:rPr>
          <m:t>∈</m:t>
        </m:r>
        <m:d>
          <m:dPr>
            <m:begChr m:val="["/>
            <m:endChr m:val="]"/>
            <m:sepChr m:val=""/>
            <m:grow/>
          </m:dPr>
          <m:e>
            <m:r>
              <m:t>100</m:t>
            </m:r>
            <m:r>
              <m:rPr>
                <m:sty m:val="p"/>
              </m:rPr>
              <m:t>,</m:t>
            </m:r>
            <m:r>
              <m:t>200</m:t>
            </m:r>
          </m:e>
        </m:d>
        <m:r>
          <m:t> </m:t>
        </m:r>
        <m:r>
          <m:t>μ</m:t>
        </m:r>
        <m:r>
          <m:rPr>
            <m:nor/>
            <m:sty m:val="p"/>
          </m:rPr>
          <m:t>m</m:t>
        </m:r>
      </m:oMath>
      <w:r>
        <w:t xml:space="preserve"> </w:t>
      </w:r>
      <w:r>
        <w:t xml:space="preserve">indicates that a viable shell exists in 46% of simulated realizations (and 63% with</w:t>
      </w:r>
      <w:r>
        <w:t xml:space="preserve"> </w:t>
      </w:r>
      <m:oMath>
        <m:sSub>
          <m:e>
            <m:r>
              <m:t>r</m:t>
            </m:r>
          </m:e>
          <m:sub>
            <m:r>
              <m:rPr>
                <m:nor/>
                <m:sty m:val="p"/>
              </m:rPr>
              <m:t>ox</m:t>
            </m:r>
          </m:sub>
        </m:sSub>
      </m:oMath>
      <w:r>
        <w:t xml:space="preserve"> </w:t>
      </w:r>
      <w:r>
        <w:t xml:space="preserve">fixed at</w:t>
      </w:r>
      <w:r>
        <w:t xml:space="preserve"> </w:t>
      </w:r>
      <m:oMath>
        <m:r>
          <m:t>200</m:t>
        </m:r>
        <m:r>
          <m:t> </m:t>
        </m:r>
        <m:r>
          <m:t>μ</m:t>
        </m:r>
        <m:r>
          <m:rPr>
            <m:nor/>
            <m:sty m:val="p"/>
          </m:rPr>
          <m:t>m</m:t>
        </m:r>
      </m:oMath>
      <w:r>
        <w:t xml:space="preserve">).</w:t>
      </w:r>
    </w:p>
    <w:bookmarkEnd w:id="30"/>
    <w:bookmarkStart w:id="31" w:name="Xacb0edfc37f9d953addaf6b208d4eb152e6fa47"/>
    <w:p>
      <w:pPr>
        <w:pStyle w:val="Heading4"/>
      </w:pPr>
      <w:r>
        <w:t xml:space="preserve">Table 2. Inward Avascular Nest Geometry: Core Drug Concentration Relative to Boundary (</w:t>
      </w:r>
      <m:oMath>
        <m:r>
          <m:t>C</m:t>
        </m:r>
        <m:d>
          <m:dPr>
            <m:begChr m:val="("/>
            <m:endChr m:val=")"/>
            <m:sepChr m:val=""/>
            <m:grow/>
          </m:dPr>
          <m:e>
            <m:r>
              <m:t>0</m:t>
            </m:r>
          </m:e>
        </m:d>
        <m:r>
          <m:rPr>
            <m:sty m:val="p"/>
          </m:rPr>
          <m:t>/</m:t>
        </m:r>
        <m:sSub>
          <m:e>
            <m:r>
              <m:t>C</m:t>
            </m:r>
          </m:e>
          <m:sub>
            <m:r>
              <m:t>0</m:t>
            </m:r>
          </m:sub>
        </m:sSub>
      </m:oMath>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Nest Radius</w:t>
            </w:r>
            <w:r>
              <w:t xml:space="preserve"> </w:t>
            </w:r>
            <m:oMath>
              <m:r>
                <m:t>R</m:t>
              </m:r>
            </m:oMath>
            <w:r>
              <w:t xml:space="preserve"> </w:t>
            </w:r>
            <w:r>
              <w:t xml:space="preserve">(</w:t>
            </w:r>
            <m:oMath>
              <m:r>
                <m:t>μ</m:t>
              </m:r>
              <m:r>
                <m:rPr>
                  <m:nor/>
                  <m:sty m:val="p"/>
                </m:rPr>
                <m:t>m</m:t>
              </m:r>
            </m:oMath>
            <w:r>
              <w:t xml:space="preserve">)</w:t>
            </w:r>
          </w:p>
        </w:tc>
        <w:tc>
          <w:tcPr/>
          <w:p>
            <w:pPr>
              <w:pStyle w:val="Compact"/>
              <w:jc w:val="center"/>
            </w:pPr>
            <w:r>
              <w:t xml:space="preserve">Osimertinib (</w:t>
            </w:r>
            <m:oMath>
              <m:r>
                <m:t>500</m:t>
              </m:r>
              <m:r>
                <m:t> </m:t>
              </m:r>
              <m:r>
                <m:rPr>
                  <m:nor/>
                  <m:sty m:val="p"/>
                </m:rPr>
                <m:t>Da</m:t>
              </m:r>
              <m:r>
                <m:rPr>
                  <m:sty m:val="p"/>
                </m:rPr>
                <m:t>,</m:t>
              </m:r>
              <m:r>
                <m:t>λ</m:t>
              </m:r>
              <m:r>
                <m:rPr>
                  <m:sty m:val="p"/>
                </m:rPr>
                <m:t>=</m:t>
              </m:r>
              <m:r>
                <m:t>627.6</m:t>
              </m:r>
              <m:r>
                <m:t> </m:t>
              </m:r>
              <m:r>
                <m:t>μ</m:t>
              </m:r>
              <m:r>
                <m:rPr>
                  <m:nor/>
                  <m:sty m:val="p"/>
                </m:rPr>
                <m:t>m</m:t>
              </m:r>
            </m:oMath>
            <w:r>
              <w:t xml:space="preserve">)</w:t>
            </w:r>
          </w:p>
        </w:tc>
        <w:tc>
          <w:tcPr/>
          <w:p>
            <w:pPr>
              <w:pStyle w:val="Compact"/>
              <w:jc w:val="center"/>
            </w:pPr>
            <w:r>
              <w:t xml:space="preserve">Macromolecule / ADC (</w:t>
            </w:r>
            <m:oMath>
              <m:r>
                <m:t>150</m:t>
              </m:r>
              <m:r>
                <m:t> </m:t>
              </m:r>
              <m:r>
                <m:rPr>
                  <m:nor/>
                  <m:sty m:val="p"/>
                </m:rPr>
                <m:t>kDa</m:t>
              </m:r>
              <m:r>
                <m:rPr>
                  <m:sty m:val="p"/>
                </m:rPr>
                <m:t>,</m:t>
              </m:r>
              <m:r>
                <m:t>λ</m:t>
              </m:r>
              <m:r>
                <m:rPr>
                  <m:sty m:val="p"/>
                </m:rPr>
                <m:t>=</m:t>
              </m:r>
              <m:r>
                <m:t>77.5</m:t>
              </m:r>
              <m:r>
                <m:t> </m:t>
              </m:r>
              <m:r>
                <m:t>μ</m:t>
              </m:r>
              <m:r>
                <m:rPr>
                  <m:nor/>
                  <m:sty m:val="p"/>
                </m:rPr>
                <m:t>m</m:t>
              </m:r>
            </m:oMath>
            <w:r>
              <w:t xml:space="preserve">)</w:t>
            </w:r>
          </w:p>
        </w:tc>
      </w:tr>
      <w:tr>
        <w:tc>
          <w:tcPr/>
          <w:p>
            <w:pPr>
              <w:pStyle w:val="Compact"/>
              <w:jc w:val="center"/>
            </w:pPr>
            <m:oMath>
              <m:r>
                <m:t>100</m:t>
              </m:r>
              <m:r>
                <m:t> </m:t>
              </m:r>
              <m:r>
                <m:t>μ</m:t>
              </m:r>
              <m:r>
                <m:rPr>
                  <m:nor/>
                  <m:sty m:val="p"/>
                </m:rPr>
                <m:t>m</m:t>
              </m:r>
            </m:oMath>
          </w:p>
        </w:tc>
        <w:tc>
          <w:tcPr/>
          <w:p>
            <w:pPr>
              <w:pStyle w:val="Compact"/>
              <w:jc w:val="center"/>
            </w:pPr>
            <w:r>
              <w:rPr>
                <w:b/>
                <w:bCs/>
              </w:rPr>
              <w:t xml:space="preserve">0.994</w:t>
            </w:r>
            <w:r>
              <w:t xml:space="preserve"> </w:t>
            </w:r>
            <w:r>
              <w:t xml:space="preserve">(99.4%)</w:t>
            </w:r>
          </w:p>
        </w:tc>
        <w:tc>
          <w:tcPr/>
          <w:p>
            <w:pPr>
              <w:pStyle w:val="Compact"/>
              <w:jc w:val="center"/>
            </w:pPr>
            <w:r>
              <w:t xml:space="preserve">0.684 (68.4%)</w:t>
            </w:r>
          </w:p>
        </w:tc>
      </w:tr>
      <w:tr>
        <w:tc>
          <w:tcPr/>
          <w:p>
            <w:pPr>
              <w:pStyle w:val="Compact"/>
              <w:jc w:val="center"/>
            </w:pPr>
            <m:oMath>
              <m:r>
                <m:t>200</m:t>
              </m:r>
              <m:r>
                <m:t> </m:t>
              </m:r>
              <m:r>
                <m:t>μ</m:t>
              </m:r>
              <m:r>
                <m:rPr>
                  <m:nor/>
                  <m:sty m:val="p"/>
                </m:rPr>
                <m:t>m</m:t>
              </m:r>
            </m:oMath>
          </w:p>
        </w:tc>
        <w:tc>
          <w:tcPr/>
          <w:p>
            <w:pPr>
              <w:pStyle w:val="Compact"/>
              <w:jc w:val="center"/>
            </w:pPr>
            <w:r>
              <w:rPr>
                <w:b/>
                <w:bCs/>
              </w:rPr>
              <w:t xml:space="preserve">0.975</w:t>
            </w:r>
            <w:r>
              <w:t xml:space="preserve"> </w:t>
            </w:r>
            <w:r>
              <w:t xml:space="preserve">(97.5%)</w:t>
            </w:r>
          </w:p>
        </w:tc>
        <w:tc>
          <w:tcPr/>
          <w:p>
            <w:pPr>
              <w:pStyle w:val="Compact"/>
              <w:jc w:val="center"/>
            </w:pPr>
            <w:r>
              <w:rPr>
                <w:b/>
                <w:bCs/>
              </w:rPr>
              <w:t xml:space="preserve">0.285</w:t>
            </w:r>
            <w:r>
              <w:t xml:space="preserve"> </w:t>
            </w:r>
            <w:r>
              <w:t xml:space="preserve">(28.5% — Sanctuary Core)</w:t>
            </w:r>
          </w:p>
        </w:tc>
      </w:tr>
      <w:tr>
        <w:tc>
          <w:tcPr/>
          <w:p>
            <w:pPr>
              <w:pStyle w:val="Compact"/>
              <w:jc w:val="center"/>
            </w:pPr>
            <m:oMath>
              <m:r>
                <m:t>300</m:t>
              </m:r>
              <m:r>
                <m:t> </m:t>
              </m:r>
              <m:r>
                <m:t>μ</m:t>
              </m:r>
              <m:r>
                <m:rPr>
                  <m:nor/>
                  <m:sty m:val="p"/>
                </m:rPr>
                <m:t>m</m:t>
              </m:r>
            </m:oMath>
          </w:p>
        </w:tc>
        <w:tc>
          <w:tcPr/>
          <w:p>
            <w:pPr>
              <w:pStyle w:val="Compact"/>
              <w:jc w:val="center"/>
            </w:pPr>
            <w:r>
              <w:rPr>
                <w:b/>
                <w:bCs/>
              </w:rPr>
              <w:t xml:space="preserve">0.945</w:t>
            </w:r>
            <w:r>
              <w:t xml:space="preserve"> </w:t>
            </w:r>
            <w:r>
              <w:t xml:space="preserve">(94.5%)</w:t>
            </w:r>
          </w:p>
        </w:tc>
        <w:tc>
          <w:tcPr/>
          <w:p>
            <w:pPr>
              <w:pStyle w:val="Compact"/>
              <w:jc w:val="center"/>
            </w:pPr>
            <w:r>
              <w:t xml:space="preserve">0.099 (9.9% — Deep Sanctuary)</w:t>
            </w:r>
          </w:p>
        </w:tc>
      </w:tr>
      <w:tr>
        <w:tc>
          <w:tcPr/>
          <w:p>
            <w:pPr>
              <w:pStyle w:val="Compact"/>
              <w:jc w:val="center"/>
            </w:pPr>
            <m:oMath>
              <m:r>
                <m:t>400</m:t>
              </m:r>
              <m:r>
                <m:t> </m:t>
              </m:r>
              <m:r>
                <m:t>μ</m:t>
              </m:r>
              <m:r>
                <m:rPr>
                  <m:nor/>
                  <m:sty m:val="p"/>
                </m:rPr>
                <m:t>m</m:t>
              </m:r>
            </m:oMath>
          </w:p>
        </w:tc>
        <w:tc>
          <w:tcPr/>
          <w:p>
            <w:pPr>
              <w:pStyle w:val="Compact"/>
              <w:jc w:val="center"/>
            </w:pPr>
            <w:r>
              <w:rPr>
                <w:b/>
                <w:bCs/>
              </w:rPr>
              <w:t xml:space="preserve">0.906</w:t>
            </w:r>
            <w:r>
              <w:t xml:space="preserve"> </w:t>
            </w:r>
            <w:r>
              <w:t xml:space="preserve">(90.6%)</w:t>
            </w:r>
          </w:p>
        </w:tc>
        <w:tc>
          <w:tcPr/>
          <w:p>
            <w:pPr>
              <w:pStyle w:val="Compact"/>
              <w:jc w:val="center"/>
            </w:pPr>
            <w:r>
              <w:t xml:space="preserve">0.032 (3.2% — Deep Sanctuary)</w:t>
            </w:r>
          </w:p>
        </w:tc>
      </w:tr>
    </w:tbl>
    <w:p>
      <w:pPr>
        <w:pStyle w:val="BodyText"/>
      </w:pPr>
      <w:r>
        <w:rPr>
          <w:b/>
          <w:bCs/>
        </w:rPr>
        <w:t xml:space="preserve">Crucial Finding for Avascular Nests:</w:t>
      </w:r>
      <w:r>
        <w:t xml:space="preserve"> </w:t>
      </w:r>
      <w:r>
        <w:t xml:space="preserve">As shown in</w:t>
      </w:r>
      <w:r>
        <w:t xml:space="preserve"> </w:t>
      </w:r>
      <w:r>
        <w:rPr>
          <w:b/>
          <w:bCs/>
        </w:rPr>
        <w:t xml:space="preserve">Table 2</w:t>
      </w:r>
      <w:r>
        <w:t xml:space="preserve">, in an avascular solid nest supplied from the periphery, osimertinib concentrations at the center remain between</w:t>
      </w:r>
      <w:r>
        <w:t xml:space="preserve"> </w:t>
      </w:r>
      <m:oMath>
        <m:r>
          <m:t>90.6</m:t>
        </m:r>
        <m:r>
          <m:rPr>
            <m:sty m:val="p"/>
          </m:rPr>
          <m:t>%</m:t>
        </m:r>
      </m:oMath>
      <w:r>
        <w:t xml:space="preserve"> </w:t>
      </w:r>
      <w:r>
        <w:t xml:space="preserve">and</w:t>
      </w:r>
      <w:r>
        <w:t xml:space="preserve"> </w:t>
      </w:r>
      <m:oMath>
        <m:r>
          <m:t>99.4</m:t>
        </m:r>
        <m:r>
          <m:rPr>
            <m:sty m:val="p"/>
          </m:rPr>
          <m:t>%</m:t>
        </m:r>
      </m:oMath>
      <w:r>
        <w:t xml:space="preserve"> </w:t>
      </w:r>
      <w:r>
        <w:t xml:space="preserve">of the stromal boundary concentration for nests up to</w:t>
      </w:r>
      <w:r>
        <w:t xml:space="preserve"> </w:t>
      </w:r>
      <m:oMath>
        <m:r>
          <m:t>400</m:t>
        </m:r>
        <m:r>
          <m:t> </m:t>
        </m:r>
        <m:r>
          <m:t>μ</m:t>
        </m:r>
        <m:r>
          <m:rPr>
            <m:nor/>
            <m:sty m:val="p"/>
          </m:rPr>
          <m:t>m</m:t>
        </m:r>
      </m:oMath>
      <w:r>
        <w:t xml:space="preserve"> </w:t>
      </w:r>
      <w:r>
        <w:t xml:space="preserve">in radius. Because</w:t>
      </w:r>
      <w:r>
        <w:t xml:space="preserve"> </w:t>
      </w:r>
      <m:oMath>
        <m:r>
          <m:t>C</m:t>
        </m:r>
        <m:d>
          <m:dPr>
            <m:begChr m:val="("/>
            <m:endChr m:val=")"/>
            <m:sepChr m:val=""/>
            <m:grow/>
          </m:dPr>
          <m:e>
            <m:r>
              <m:t>0</m:t>
            </m:r>
          </m:e>
        </m:d>
        <m:r>
          <m:rPr>
            <m:sty m:val="p"/>
          </m:rPr>
          <m:t>≫</m:t>
        </m:r>
        <m:r>
          <m:t>0.35</m:t>
        </m:r>
        <m:sSub>
          <m:e>
            <m:r>
              <m:t>C</m:t>
            </m:r>
          </m:e>
          <m:sub>
            <m:r>
              <m:t>0</m:t>
            </m:r>
          </m:sub>
        </m:sSub>
      </m:oMath>
      <w:r>
        <w:t xml:space="preserve">,</w:t>
      </w:r>
      <w:r>
        <w:t xml:space="preserve"> </w:t>
      </w:r>
      <w:r>
        <w:rPr>
          <w:b/>
          <w:bCs/>
        </w:rPr>
        <w:t xml:space="preserve">no pharmacological sanctuary can exist for osimertinib inside avascular nests under physiological parameters</w:t>
      </w:r>
      <w:r>
        <w:t xml:space="preserve">. Generating a sanctuary (</w:t>
      </w:r>
      <m:oMath>
        <m:r>
          <m:t>C</m:t>
        </m:r>
        <m:d>
          <m:dPr>
            <m:begChr m:val="("/>
            <m:endChr m:val=")"/>
            <m:sepChr m:val=""/>
            <m:grow/>
          </m:dPr>
          <m:e>
            <m:r>
              <m:t>0</m:t>
            </m:r>
          </m:e>
        </m:d>
        <m:r>
          <m:rPr>
            <m:sty m:val="p"/>
          </m:rPr>
          <m:t>≤</m:t>
        </m:r>
        <m:r>
          <m:t>0.35</m:t>
        </m:r>
      </m:oMath>
      <w:r>
        <w:t xml:space="preserve">) at the center of a</w:t>
      </w:r>
      <w:r>
        <w:t xml:space="preserve"> </w:t>
      </w:r>
      <m:oMath>
        <m:r>
          <m:t>200</m:t>
        </m:r>
        <m:r>
          <m:t> </m:t>
        </m:r>
        <m:r>
          <m:t>μ</m:t>
        </m:r>
        <m:r>
          <m:rPr>
            <m:nor/>
            <m:sty m:val="p"/>
          </m:rPr>
          <m:t>m</m:t>
        </m:r>
      </m:oMath>
      <w:r>
        <w:t xml:space="preserve"> </w:t>
      </w:r>
      <w:r>
        <w:t xml:space="preserve">avascular nest would require</w:t>
      </w:r>
      <w:r>
        <w:t xml:space="preserve"> </w:t>
      </w:r>
      <m:oMath>
        <m:r>
          <m:t>λ</m:t>
        </m:r>
        <m:r>
          <m:rPr>
            <m:sty m:val="p"/>
          </m:rPr>
          <m:t>≤</m:t>
        </m:r>
        <m:r>
          <m:t>86.5</m:t>
        </m:r>
        <m:r>
          <m:t> </m:t>
        </m:r>
        <m:r>
          <m:t>μ</m:t>
        </m:r>
        <m:r>
          <m:rPr>
            <m:nor/>
            <m:sty m:val="p"/>
          </m:rPr>
          <m:t>m</m:t>
        </m:r>
      </m:oMath>
      <w:r>
        <w:t xml:space="preserve">, representing an approximately 53-fold higher cellular uptake rate (</w:t>
      </w:r>
      <m:oMath>
        <m:r>
          <m:t>k</m:t>
        </m:r>
        <m:r>
          <m:rPr>
            <m:sty m:val="p"/>
          </m:rPr>
          <m:t>≈</m:t>
        </m:r>
        <m:r>
          <m:t>0.017</m:t>
        </m:r>
        <m:r>
          <m:t> </m:t>
        </m:r>
        <m:sSup>
          <m:e>
            <m:r>
              <m:rPr>
                <m:nor/>
                <m:sty m:val="p"/>
              </m:rPr>
              <m:t>s</m:t>
            </m:r>
          </m:e>
          <m:sup>
            <m:r>
              <m:rPr>
                <m:sty m:val="p"/>
              </m:rPr>
              <m:t>−</m:t>
            </m:r>
            <m:r>
              <m:t>1</m:t>
            </m:r>
          </m:sup>
        </m:sSup>
      </m:oMath>
      <w:r>
        <w:t xml:space="preserve">) at fixed</w:t>
      </w:r>
      <w:r>
        <w:t xml:space="preserve"> </w:t>
      </w:r>
      <m:oMath>
        <m:r>
          <m:t>D</m:t>
        </m:r>
      </m:oMath>
      <w:r>
        <w:t xml:space="preserve">. Therefore, our reaction-diffusion model proves that depth-limited small-molecule sanctuaries are strictly restricted to outward perivascular cord geometries, while inward avascular nests create sanctuaries exclusively for macromolecules.</w:t>
      </w:r>
    </w:p>
    <w:p>
      <w:r>
        <w:pict>
          <v:rect style="width:0;height:1.5pt" o:hralign="center" o:hrstd="t" o:hr="t"/>
        </w:pict>
      </w:r>
    </w:p>
    <w:bookmarkEnd w:id="31"/>
    <w:bookmarkEnd w:id="32"/>
    <w:bookmarkEnd w:id="33"/>
    <w:bookmarkStart w:id="41" w:name="X5ddd5133aee179fe3088ad640f607ab055364d6"/>
    <w:p>
      <w:pPr>
        <w:pStyle w:val="Heading2"/>
      </w:pPr>
      <w:r>
        <w:t xml:space="preserve">3. Evolutionary Game Dynamics &amp; Post-Cessation Regrowth Kinetics</w:t>
      </w:r>
    </w:p>
    <w:bookmarkStart w:id="37" w:name="replicator-dynamics-model"/>
    <w:p>
      <w:pPr>
        <w:pStyle w:val="Heading3"/>
      </w:pPr>
      <w:r>
        <w:t xml:space="preserve">3.1 Replicator Dynamics Model</w:t>
      </w:r>
    </w:p>
    <w:p>
      <w:pPr>
        <w:pStyle w:val="FirstParagraph"/>
      </w:pPr>
      <w:r>
        <w:t xml:space="preserve">To examine subclonal coexistence within the perivascular sanctuary shell, we formalized a symmetric</w:t>
      </w:r>
      <w:r>
        <w:t xml:space="preserve"> </w:t>
      </w:r>
      <m:oMath>
        <m:r>
          <m:t>2</m:t>
        </m:r>
        <m:r>
          <m:rPr>
            <m:sty m:val="p"/>
          </m:rPr>
          <m:t>×</m:t>
        </m:r>
        <m:r>
          <m:t>2</m:t>
        </m:r>
      </m:oMath>
      <w:r>
        <w:t xml:space="preserve"> </w:t>
      </w:r>
      <w:r>
        <w:t xml:space="preserve">evolutionary game between drug-sensitive proliferating cells (</w:t>
      </w:r>
      <m:oMath>
        <m:r>
          <m:t>S</m:t>
        </m:r>
      </m:oMath>
      <w:r>
        <w:t xml:space="preserve">, fraction</w:t>
      </w:r>
      <w:r>
        <w:t xml:space="preserve"> </w:t>
      </w:r>
      <m:oMath>
        <m:r>
          <m:t>x</m:t>
        </m:r>
      </m:oMath>
      <w:r>
        <w:t xml:space="preserve">) and drug-tolerant persister cells (</w:t>
      </w:r>
      <m:oMath>
        <m:r>
          <m:t>P</m:t>
        </m:r>
      </m:oMath>
      <w:r>
        <w:t xml:space="preserve">, fraction</w:t>
      </w:r>
      <w:r>
        <w:t xml:space="preserve"> </w:t>
      </w:r>
      <m:oMath>
        <m:r>
          <m:t>1</m:t>
        </m:r>
        <m:r>
          <m:rPr>
            <m:sty m:val="p"/>
          </m:rPr>
          <m:t>−</m:t>
        </m:r>
        <m:r>
          <m:t>x</m:t>
        </m:r>
      </m:oMath>
      <w:r>
        <w:t xml:space="preserve">). Under non-zero-sum frequency-dependent interactions (Kaznatcheev et al.,</w:t>
      </w:r>
      <w:r>
        <w:t xml:space="preserve"> </w:t>
      </w:r>
      <w:r>
        <w:rPr>
          <w:i/>
          <w:iCs/>
        </w:rPr>
        <w:t xml:space="preserve">Nat Ecol Evol</w:t>
      </w:r>
      <w:r>
        <w:t xml:space="preserve"> </w:t>
      </w:r>
      <w:r>
        <w:t xml:space="preserve">2019 [15]):</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The continuous replicator equation 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m:t>
          </m:r>
          <m:r>
            <m:t> </m:t>
          </m:r>
          <m:d>
            <m:dPr>
              <m:begChr m:val="("/>
              <m:endChr m:val=")"/>
              <m:sepChr m:val=""/>
              <m:grow/>
            </m:dPr>
            <m:e>
              <m:r>
                <m:t>61.33</m:t>
              </m:r>
              <m:r>
                <m:rPr>
                  <m:sty m:val="p"/>
                </m:rPr>
                <m:t>%</m:t>
              </m:r>
              <m:r>
                <m:rPr>
                  <m:nor/>
                  <m:sty m:val="p"/>
                </m:rPr>
                <m:t> Sensitive</m:t>
              </m:r>
            </m:e>
          </m:d>
        </m:oMath>
      </m:oMathPara>
    </w:p>
    <w:p>
      <w:pPr>
        <w:pStyle w:val="FirstParagraph"/>
      </w:pPr>
      <w:r>
        <w:t xml:space="preserve">The Jacobian eigenvalue at</w:t>
      </w:r>
      <w:r>
        <w:t xml:space="preserve"> </w:t>
      </w:r>
      <m:oMath>
        <m:sSup>
          <m:e>
            <m:r>
              <m:t>x</m:t>
            </m:r>
          </m:e>
          <m:sup>
            <m:r>
              <m:rPr>
                <m:sty m:val="p"/>
              </m:rPr>
              <m:t>*</m:t>
            </m:r>
          </m:sup>
        </m:sSup>
      </m:oMath>
      <w:r>
        <w:t xml:space="preserve"> </w:t>
      </w:r>
      <w:r>
        <w:t xml:space="preserve">is</w:t>
      </w:r>
      <w:r>
        <w:t xml:space="preserve"> </w:t>
      </w:r>
      <m:oMath>
        <m:sSub>
          <m:e>
            <m:r>
              <m:t>λ</m:t>
            </m:r>
          </m:e>
          <m:sub>
            <m:r>
              <m:rPr>
                <m:nor/>
                <m:sty m:val="p"/>
              </m:rPr>
              <m:t>eig</m:t>
            </m:r>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rPr>
            <m:sty m:val="p"/>
          </m:rPr>
          <m:t>−</m:t>
        </m:r>
        <m:r>
          <m:t>1.7934</m:t>
        </m:r>
        <m:r>
          <m:rPr>
            <m:sty m:val="p"/>
          </m:rPr>
          <m:t>&lt;</m:t>
        </m:r>
        <m:r>
          <m:t>0</m:t>
        </m:r>
      </m:oMath>
      <w:r>
        <w:t xml:space="preserve">, confirming that</w:t>
      </w:r>
      <w:r>
        <w:t xml:space="preserve"> </w:t>
      </w:r>
      <m:oMath>
        <m:sSup>
          <m:e>
            <m:r>
              <m:t>x</m:t>
            </m:r>
          </m:e>
          <m:sup>
            <m:r>
              <m:rPr>
                <m:sty m:val="p"/>
              </m:rPr>
              <m:t>*</m:t>
            </m:r>
          </m:sup>
        </m:sSup>
        <m:r>
          <m:rPr>
            <m:sty m:val="p"/>
          </m:rPr>
          <m:t>=</m:t>
        </m:r>
        <m:r>
          <m:t>0.6133</m:t>
        </m:r>
      </m:oMath>
      <w:r>
        <w:t xml:space="preserve"> </w:t>
      </w:r>
      <w:r>
        <w:t xml:space="preserve">is an asymptotically stable Lyapunov attractor (</w:t>
      </w:r>
      <w:r>
        <w:rPr>
          <w:b/>
          <w:bCs/>
        </w:rPr>
        <w:t xml:space="preserve">Figure 2A</w:t>
      </w:r>
      <w:r>
        <w:t xml:space="preserve">). Because</w:t>
      </w:r>
      <w:r>
        <w:t xml:space="preserve"> </w:t>
      </w:r>
      <m:oMath>
        <m:sSub>
          <m:e>
            <m:r>
              <m:t>a</m:t>
            </m:r>
          </m:e>
          <m:sub>
            <m:r>
              <m:t>12</m:t>
            </m:r>
          </m:sub>
        </m:sSub>
        <m:r>
          <m:rPr>
            <m:sty m:val="p"/>
          </m:rPr>
          <m:t>&gt;</m:t>
        </m:r>
        <m:sSub>
          <m:e>
            <m:r>
              <m:t>a</m:t>
            </m:r>
          </m:e>
          <m:sub>
            <m:r>
              <m:t>22</m:t>
            </m:r>
          </m:sub>
        </m:sSub>
      </m:oMath>
      <w:r>
        <w:t xml:space="preserve"> </w:t>
      </w:r>
      <w:r>
        <w:t xml:space="preserve">(</w:t>
      </w:r>
      <m:oMath>
        <m:r>
          <m:t>2.866</m:t>
        </m:r>
        <m:r>
          <m:rPr>
            <m:sty m:val="p"/>
          </m:rPr>
          <m:t>&gt;</m:t>
        </m:r>
        <m:r>
          <m:rPr>
            <m:sty m:val="p"/>
          </m:rPr>
          <m:t>−</m:t>
        </m:r>
        <m:r>
          <m:t>1.772</m:t>
        </m:r>
      </m:oMath>
      <w:r>
        <w:t xml:space="preserve">) and</w:t>
      </w:r>
      <w:r>
        <w:t xml:space="preserve"> </w:t>
      </w:r>
      <m:oMath>
        <m:sSub>
          <m:e>
            <m:r>
              <m:t>a</m:t>
            </m:r>
          </m:e>
          <m:sub>
            <m:r>
              <m:t>21</m:t>
            </m:r>
          </m:sub>
        </m:sSub>
        <m:r>
          <m:rPr>
            <m:sty m:val="p"/>
          </m:rPr>
          <m:t>&gt;</m:t>
        </m:r>
        <m:sSub>
          <m:e>
            <m:r>
              <m:t>a</m:t>
            </m:r>
          </m:e>
          <m:sub>
            <m:r>
              <m:t>11</m:t>
            </m:r>
          </m:sub>
        </m:sSub>
      </m:oMath>
      <w:r>
        <w:t xml:space="preserve"> </w:t>
      </w:r>
      <w:r>
        <w:t xml:space="preserve">(</w:t>
      </w:r>
      <m:oMath>
        <m:r>
          <m:t>2.188</m:t>
        </m:r>
        <m:r>
          <m:rPr>
            <m:sty m:val="p"/>
          </m:rPr>
          <m:t>&gt;</m:t>
        </m:r>
        <m:r>
          <m:rPr>
            <m:sty m:val="p"/>
          </m:rPr>
          <m:t>−</m:t>
        </m:r>
        <m:r>
          <m:t>0.736</m:t>
        </m:r>
      </m:oMath>
      <w:r>
        <w:t xml:space="preserve">), any payoff matrix satisfying this sign pattern yields stable coexistence (Hawk–Dove / Snowdrift game). We explicitly clarify that these payoffs represent free parameters chosen to formalize this qualitative structure, rather than values fitted to empirical measurements.</w:t>
      </w:r>
    </w:p>
    <w:p>
      <w:pPr>
        <w:pStyle w:val="BodyText"/>
      </w:pPr>
      <w:r>
        <w:t xml:space="preserve">(</w:t>
      </w:r>
      <w:r>
        <w:t xml:space="preserve">Figure 2</w:t>
      </w:r>
      <w:r>
        <w:t xml:space="preserve">).</w:t>
      </w:r>
    </w:p>
    <w:p>
      <w:pPr>
        <w:pStyle w:val="BodyText"/>
      </w:pPr>
      <w:r>
        <w:drawing>
          <wp:inline>
            <wp:extent cx="5334000" cy="1689099"/>
            <wp:effectExtent b="0" l="0" r="0" t="0"/>
            <wp:docPr descr="Figure 2: Evolutionary Replicator Dynamics &amp; Post-Cessation Regrowth Identity" title="" id="35" name="Picture"/>
            <a:graphic>
              <a:graphicData uri="http://schemas.openxmlformats.org/drawingml/2006/picture">
                <pic:pic>
                  <pic:nvPicPr>
                    <pic:cNvPr descr="Figure2_regrowth_identity.png" id="36" name="Picture"/>
                    <pic:cNvPicPr>
                      <a:picLocks noChangeArrowheads="1" noChangeAspect="1"/>
                    </pic:cNvPicPr>
                  </pic:nvPicPr>
                  <pic:blipFill>
                    <a:blip r:embed="rId34"/>
                    <a:stretch>
                      <a:fillRect/>
                    </a:stretch>
                  </pic:blipFill>
                  <pic:spPr bwMode="auto">
                    <a:xfrm>
                      <a:off x="0" y="0"/>
                      <a:ext cx="5334000" cy="1689099"/>
                    </a:xfrm>
                    <a:prstGeom prst="rect">
                      <a:avLst/>
                    </a:prstGeom>
                    <a:noFill/>
                    <a:ln w="9525">
                      <a:noFill/>
                      <a:headEnd/>
                      <a:tailEnd/>
                    </a:ln>
                  </pic:spPr>
                </pic:pic>
              </a:graphicData>
            </a:graphic>
          </wp:inline>
        </w:drawing>
      </w:r>
      <w:r>
        <w:t xml:space="preserve"> </w:t>
      </w:r>
      <w:r>
        <w:rPr>
          <w:i/>
          <w:iCs/>
        </w:rPr>
        <w:t xml:space="preserve">Figure 2. Evolutionary Replicator Dynamics &amp; Post-Cessation Regrowth Identity. (A) Phase portrait of the replicator equation confirming global convergence to x</w:t>
      </w:r>
      <w:r>
        <w:t xml:space="preserve"> </w:t>
      </w:r>
      <w:r>
        <w:t xml:space="preserve">= 0.6133 (eigenvalue -1.793). (B) Clonal regrowth trajectories from N0 = 2000 cells crossing ctDNA (10^7) and CT (10^9) thresholds. (C) Graphical proof of the analytical lead-time identity Delta t = Td * log2(100), showing that lead time is strictly independent of initial sanctuary load N0.*</w:t>
      </w:r>
    </w:p>
    <w:bookmarkEnd w:id="37"/>
    <w:bookmarkStart w:id="40" w:name="X1505ac844ce7909d83f379b589a117dd4d6b057"/>
    <w:p>
      <w:pPr>
        <w:pStyle w:val="Heading3"/>
      </w:pPr>
      <w:r>
        <w:t xml:space="preserve">3.2 Post-Cessation Regrowth &amp; The Lead-Time Identity</w:t>
      </w:r>
    </w:p>
    <w:p>
      <w:pPr>
        <w:pStyle w:val="FirstParagraph"/>
      </w:pPr>
      <w:r>
        <w:t xml:space="preserve">Following adjuvant treatment discontinuation at month 36, drug clears from the sanctuary niche. Total cell burden expands from an initial residual micro-nest</w:t>
      </w:r>
      <w:r>
        <w:t xml:space="preserve"> </w:t>
      </w:r>
      <m:oMath>
        <m:sSub>
          <m:e>
            <m:r>
              <m:t>N</m:t>
            </m:r>
          </m:e>
          <m:sub>
            <m:r>
              <m:t>0</m:t>
            </m:r>
          </m:sub>
        </m:sSub>
      </m:oMath>
      <w:r>
        <w:t xml:space="preserve"> </w:t>
      </w:r>
      <w:r>
        <w:t xml:space="preserve">with initial sensitive fraction</w:t>
      </w:r>
      <w:r>
        <w:t xml:space="preserve"> </w:t>
      </w:r>
      <m:oMath>
        <m:sSup>
          <m:e>
            <m:r>
              <m:t>x</m:t>
            </m:r>
          </m:e>
          <m:sup>
            <m:r>
              <m:rPr>
                <m:sty m:val="p"/>
              </m:rPr>
              <m:t>*</m:t>
            </m:r>
          </m:sup>
        </m:sSup>
        <m:r>
          <m:rPr>
            <m:sty m:val="p"/>
          </m:rPr>
          <m:t>=</m:t>
        </m:r>
        <m:r>
          <m:t>0.6133</m:t>
        </m:r>
      </m:oMath>
      <w:r>
        <w:t xml:space="preserve">:</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r>
                <m:rPr>
                  <m:sty m:val="p"/>
                </m:rPr>
                <m:t>⋅</m:t>
              </m:r>
              <m:sSup>
                <m:e>
                  <m:r>
                    <m:t>2</m:t>
                  </m:r>
                </m:e>
                <m:sup>
                  <m:r>
                    <m:t>t</m:t>
                  </m:r>
                  <m:r>
                    <m:rPr>
                      <m:sty m:val="p"/>
                    </m:rPr>
                    <m:t>/</m:t>
                  </m:r>
                  <m:sSub>
                    <m:e>
                      <m:r>
                        <m:t>T</m:t>
                      </m:r>
                    </m:e>
                    <m:sub>
                      <m:r>
                        <m:t>s</m:t>
                      </m:r>
                    </m:sub>
                  </m:sSub>
                </m:sup>
              </m:sSup>
              <m:r>
                <m:rPr>
                  <m:sty m:val="p"/>
                </m:rPr>
                <m:t>+</m:t>
              </m:r>
              <m:d>
                <m:dPr>
                  <m:begChr m:val="("/>
                  <m:endChr m:val=")"/>
                  <m:sepChr m:val=""/>
                  <m:grow/>
                </m:dPr>
                <m:e>
                  <m:r>
                    <m:t>1</m:t>
                  </m:r>
                  <m:r>
                    <m:rPr>
                      <m:sty m:val="p"/>
                    </m:rPr>
                    <m:t>−</m:t>
                  </m:r>
                  <m:sSup>
                    <m:e>
                      <m:r>
                        <m:t>x</m:t>
                      </m:r>
                    </m:e>
                    <m:sup>
                      <m:r>
                        <m:rPr>
                          <m:sty m:val="p"/>
                        </m:rPr>
                        <m:t>*</m:t>
                      </m:r>
                    </m:sup>
                  </m:sSup>
                </m:e>
              </m:d>
              <m:r>
                <m:rPr>
                  <m:sty m:val="p"/>
                </m:rPr>
                <m:t>⋅</m:t>
              </m:r>
              <m:sSup>
                <m:e>
                  <m:r>
                    <m:t>2</m:t>
                  </m:r>
                </m:e>
                <m:sup>
                  <m:r>
                    <m:t>t</m:t>
                  </m:r>
                  <m:r>
                    <m:rPr>
                      <m:sty m:val="p"/>
                    </m:rPr>
                    <m:t>/</m:t>
                  </m:r>
                  <m:sSub>
                    <m:e>
                      <m:r>
                        <m:t>T</m:t>
                      </m:r>
                    </m:e>
                    <m:sub>
                      <m:r>
                        <m:t>p</m:t>
                      </m:r>
                    </m:sub>
                  </m:sSub>
                </m:sup>
              </m:sSup>
            </m:e>
          </m:d>
        </m:oMath>
      </m:oMathPara>
    </w:p>
    <w:p>
      <w:pPr>
        <w:pStyle w:val="FirstParagraph"/>
      </w:pPr>
      <w:r>
        <w:t xml:space="preserve">where</w:t>
      </w:r>
      <w:r>
        <w:t xml:space="preserve"> </w:t>
      </w:r>
      <m:oMath>
        <m:sSub>
          <m:e>
            <m:r>
              <m:t>T</m:t>
            </m:r>
          </m:e>
          <m:sub>
            <m:r>
              <m:t>s</m:t>
            </m:r>
          </m:sub>
        </m:sSub>
        <m:r>
          <m:rPr>
            <m:sty m:val="p"/>
          </m:rPr>
          <m:t>=</m:t>
        </m:r>
        <m:r>
          <m:t>25.0</m:t>
        </m:r>
        <m:r>
          <m:t> </m:t>
        </m:r>
        <m:r>
          <m:rPr>
            <m:nor/>
            <m:sty m:val="p"/>
          </m:rPr>
          <m:t>days</m:t>
        </m:r>
      </m:oMath>
      <w:r>
        <w:t xml:space="preserve"> </w:t>
      </w:r>
      <w:r>
        <w:t xml:space="preserve">(sensitive in vivo doubling) and</w:t>
      </w:r>
      <w:r>
        <w:t xml:space="preserve"> </w:t>
      </w:r>
      <m:oMath>
        <m:sSub>
          <m:e>
            <m:r>
              <m:t>T</m:t>
            </m:r>
          </m:e>
          <m:sub>
            <m:r>
              <m:t>p</m:t>
            </m:r>
          </m:sub>
        </m:sSub>
        <m:r>
          <m:rPr>
            <m:sty m:val="p"/>
          </m:rPr>
          <m:t>=</m:t>
        </m:r>
        <m:r>
          <m:t>120.0</m:t>
        </m:r>
        <m:r>
          <m:t> </m:t>
        </m:r>
        <m:r>
          <m:rPr>
            <m:nor/>
            <m:sty m:val="p"/>
          </m:rPr>
          <m:t>days</m:t>
        </m:r>
      </m:oMath>
      <w:r>
        <w:t xml:space="preserve"> </w:t>
      </w:r>
      <w:r>
        <w:t xml:space="preserve">(persister in vivo doubling). Clinical detection thresholds are defined as:</w:t>
      </w:r>
      <w:r>
        <w:t xml:space="preserve"> </w:t>
      </w:r>
      <w:r>
        <w:t xml:space="preserve">- Molecular ctDNA detection limit:</w:t>
      </w:r>
      <w:r>
        <w:t xml:space="preserve"> </w:t>
      </w:r>
      <m:oMath>
        <m:sSub>
          <m:e>
            <m:r>
              <m:t>N</m:t>
            </m:r>
          </m:e>
          <m:sub>
            <m:r>
              <m:rPr>
                <m:nor/>
                <m:sty m:val="p"/>
              </m:rPr>
              <m:t>MRD</m:t>
            </m:r>
          </m:sub>
        </m:sSub>
        <m:r>
          <m:rPr>
            <m:sty m:val="p"/>
          </m:rPr>
          <m:t>=</m:t>
        </m:r>
        <m:sSup>
          <m:e>
            <m:r>
              <m:t>10</m:t>
            </m:r>
          </m:e>
          <m:sup>
            <m:r>
              <m:t>7</m:t>
            </m:r>
          </m:sup>
        </m:sSup>
        <m:r>
          <m:t> </m:t>
        </m:r>
        <m:r>
          <m:rPr>
            <m:nor/>
            <m:sty m:val="p"/>
          </m:rPr>
          <m:t>cells</m:t>
        </m:r>
      </m:oMath>
      <w:r>
        <w:t xml:space="preserve"> </w:t>
      </w:r>
      <w:r>
        <w:t xml:space="preserve">(</w:t>
      </w:r>
      <m:oMath>
        <m:r>
          <m:rPr>
            <m:sty m:val="p"/>
          </m:rPr>
          <m:t>∼</m:t>
        </m:r>
        <m:r>
          <m:t>0.01</m:t>
        </m:r>
        <m:r>
          <m:rPr>
            <m:sty m:val="p"/>
          </m:rPr>
          <m:t>%</m:t>
        </m:r>
      </m:oMath>
      <w:r>
        <w:t xml:space="preserve"> </w:t>
      </w:r>
      <w:r>
        <w:t xml:space="preserve">variant allele fraction).</w:t>
      </w:r>
      <w:r>
        <w:t xml:space="preserve"> </w:t>
      </w:r>
      <w:r>
        <w:t xml:space="preserve">- Radiographic CT imaging limit:</w:t>
      </w:r>
      <w:r>
        <w:t xml:space="preserve"> </w:t>
      </w:r>
      <m:oMath>
        <m:sSub>
          <m:e>
            <m:r>
              <m:t>N</m:t>
            </m:r>
          </m:e>
          <m:sub>
            <m:r>
              <m:rPr>
                <m:nor/>
                <m:sty m:val="p"/>
              </m:rPr>
              <m:t>CT</m:t>
            </m:r>
          </m:sub>
        </m:sSub>
        <m:r>
          <m:rPr>
            <m:sty m:val="p"/>
          </m:rPr>
          <m:t>=</m:t>
        </m:r>
        <m:sSup>
          <m:e>
            <m:r>
              <m:t>10</m:t>
            </m:r>
          </m:e>
          <m:sup>
            <m:r>
              <m:t>9</m:t>
            </m:r>
          </m:sup>
        </m:sSup>
        <m:r>
          <m:t> </m:t>
        </m:r>
        <m:r>
          <m:rPr>
            <m:nor/>
            <m:sty m:val="p"/>
          </m:rPr>
          <m:t>cells</m:t>
        </m:r>
      </m:oMath>
      <w:r>
        <w:t xml:space="preserve"> </w:t>
      </w:r>
      <w:r>
        <w:t xml:space="preserve">(</w:t>
      </w:r>
      <m:oMath>
        <m:r>
          <m:rPr>
            <m:sty m:val="p"/>
          </m:rPr>
          <m:t>∼</m:t>
        </m:r>
        <m:r>
          <m:t>1</m:t>
        </m:r>
        <m:r>
          <m:t> </m:t>
        </m:r>
        <m:sSup>
          <m:e>
            <m:r>
              <m:rPr>
                <m:nor/>
                <m:sty m:val="p"/>
              </m:rPr>
              <m:t>cm</m:t>
            </m:r>
          </m:e>
          <m:sup>
            <m:r>
              <m:t>3</m:t>
            </m:r>
          </m:sup>
        </m:sSup>
      </m:oMath>
      <w:r>
        <w:t xml:space="preserve"> </w:t>
      </w:r>
      <w:r>
        <w:t xml:space="preserve">nodule).</w:t>
      </w:r>
    </w:p>
    <w:p>
      <w:pPr>
        <w:pStyle w:val="BodyText"/>
      </w:pPr>
      <w:r>
        <w:t xml:space="preserve">For</w:t>
      </w:r>
      <w:r>
        <w:t xml:space="preserve"> </w:t>
      </w:r>
      <m:oMath>
        <m:sSub>
          <m:e>
            <m:r>
              <m:t>N</m:t>
            </m:r>
          </m:e>
          <m:sub>
            <m:r>
              <m:t>0</m:t>
            </m:r>
          </m:sub>
        </m:sSub>
        <m:r>
          <m:rPr>
            <m:sty m:val="p"/>
          </m:rPr>
          <m:t>=</m:t>
        </m:r>
        <m:r>
          <m:t>2</m:t>
        </m:r>
        <m:r>
          <m:rPr>
            <m:sty m:val="p"/>
          </m:rPr>
          <m:t>,</m:t>
        </m:r>
        <m:r>
          <m:t>000</m:t>
        </m:r>
        <m:r>
          <m:t> </m:t>
        </m:r>
        <m:r>
          <m:rPr>
            <m:nor/>
            <m:sty m:val="p"/>
          </m:rPr>
          <m:t>cells</m:t>
        </m:r>
      </m:oMath>
      <w:r>
        <w:t xml:space="preserve">, ctDNA threshold crossing occurs at</w:t>
      </w:r>
      <w:r>
        <w:t xml:space="preserve"> </w:t>
      </w:r>
      <m:oMath>
        <m:r>
          <m:t>t</m:t>
        </m:r>
        <m:r>
          <m:rPr>
            <m:sty m:val="p"/>
          </m:rPr>
          <m:t>=</m:t>
        </m:r>
        <m:r>
          <m:t>324.8</m:t>
        </m:r>
        <m:r>
          <m:t> </m:t>
        </m:r>
        <m:r>
          <m:rPr>
            <m:nor/>
            <m:sty m:val="p"/>
          </m:rPr>
          <m:t>days</m:t>
        </m:r>
      </m:oMath>
      <w:r>
        <w:t xml:space="preserve"> </w:t>
      </w:r>
      <w:r>
        <w:t xml:space="preserve">(</w:t>
      </w:r>
      <w:r>
        <w:rPr>
          <w:b/>
          <w:bCs/>
        </w:rPr>
        <w:t xml:space="preserve">10.67 months</w:t>
      </w:r>
      <w:r>
        <w:t xml:space="preserve">), and radiographic detection occurs at</w:t>
      </w:r>
      <w:r>
        <w:t xml:space="preserve"> </w:t>
      </w:r>
      <m:oMath>
        <m:r>
          <m:t>t</m:t>
        </m:r>
        <m:r>
          <m:rPr>
            <m:sty m:val="p"/>
          </m:rPr>
          <m:t>=</m:t>
        </m:r>
        <m:r>
          <m:t>490.9</m:t>
        </m:r>
        <m:r>
          <m:t> </m:t>
        </m:r>
        <m:r>
          <m:rPr>
            <m:nor/>
            <m:sty m:val="p"/>
          </m:rPr>
          <m:t>days</m:t>
        </m:r>
      </m:oMath>
      <w:r>
        <w:t xml:space="preserve"> </w:t>
      </w:r>
      <w:r>
        <w:t xml:space="preserve">(</w:t>
      </w:r>
      <w:r>
        <w:rPr>
          <w:b/>
          <w:bCs/>
        </w:rPr>
        <w:t xml:space="preserve">16.13 months</w:t>
      </w:r>
      <w:r>
        <w:t xml:space="preserve">), yielding a diagnostic lead time window of</w:t>
      </w:r>
      <w:r>
        <w:t xml:space="preserve"> </w:t>
      </w:r>
      <m:oMath>
        <m:r>
          <m:t>Δ</m:t>
        </m:r>
        <m:r>
          <m:t>t</m:t>
        </m:r>
        <m:r>
          <m:rPr>
            <m:sty m:val="p"/>
          </m:rPr>
          <m:t>=</m:t>
        </m:r>
        <m:r>
          <m:t>166.1</m:t>
        </m:r>
        <m:r>
          <m:t> </m:t>
        </m:r>
        <m:r>
          <m:rPr>
            <m:nor/>
            <m:sty m:val="p"/>
          </m:rPr>
          <m:t>days</m:t>
        </m:r>
        <m:r>
          <m:rPr>
            <m:sty m:val="p"/>
          </m:rPr>
          <m:t>=</m:t>
        </m:r>
        <m:r>
          <m:rPr>
            <m:sty m:val="b"/>
          </m:rPr>
          <m:t>5.46</m:t>
        </m:r>
        <m:r>
          <m:rPr>
            <m:sty m:val="b"/>
          </m:rPr>
          <m:t> </m:t>
        </m:r>
        <m:r>
          <m:rPr>
            <m:nor/>
            <m:sty m:val="p"/>
          </m:rPr>
          <m:t>months</m:t>
        </m:r>
      </m:oMath>
      <w:r>
        <w:t xml:space="preserve"> </w:t>
      </w:r>
      <w:r>
        <w:t xml:space="preserve">(</w:t>
      </w:r>
      <w:r>
        <w:rPr>
          <w:b/>
          <w:bCs/>
        </w:rPr>
        <w:t xml:space="preserve">Figure 2B</w:t>
      </w:r>
      <w:r>
        <w:t xml:space="preserve">).</w:t>
      </w:r>
    </w:p>
    <w:bookmarkStart w:id="38" w:name="the-analytical-lead-time-identity"/>
    <w:p>
      <w:pPr>
        <w:pStyle w:val="Heading4"/>
      </w:pPr>
      <w:r>
        <w:t xml:space="preserve">The Analytical Lead-Time Identity</w:t>
      </w:r>
    </w:p>
    <w:p>
      <w:pPr>
        <w:pStyle w:val="FirstParagraph"/>
      </w:pPr>
      <w:r>
        <w:t xml:space="preserve">Crucially, this lead-time window follows directly from an exact algebraic identity:</w:t>
      </w:r>
    </w:p>
    <w:p>
      <w:pPr>
        <w:pStyle w:val="BodyText"/>
      </w:pPr>
      <m:oMathPara>
        <m:oMathParaPr>
          <m:jc m:val="center"/>
        </m:oMathParaPr>
        <m:oMath>
          <m:r>
            <m:t>Δ</m:t>
          </m:r>
          <m:r>
            <m:t>t</m:t>
          </m:r>
          <m:r>
            <m:rPr>
              <m:sty m:val="p"/>
            </m:rPr>
            <m:t>=</m:t>
          </m:r>
          <m:sSub>
            <m:e>
              <m:r>
                <m:t>T</m:t>
              </m:r>
            </m:e>
            <m:sub>
              <m:r>
                <m:t>s</m:t>
              </m:r>
            </m:sub>
          </m:sSub>
          <m:r>
            <m:rPr>
              <m:sty m:val="p"/>
            </m:rPr>
            <m:t>⋅</m:t>
          </m:r>
          <m:sSub>
            <m:e>
              <m:r>
                <m:rPr>
                  <m:sty m:val="p"/>
                </m:rPr>
                <m:t>log</m:t>
              </m:r>
            </m:e>
            <m:sub>
              <m:r>
                <m:t>2</m:t>
              </m:r>
            </m:sub>
          </m:sSub>
          <m:d>
            <m:dPr>
              <m:begChr m:val="("/>
              <m:endChr m:val=")"/>
              <m:sepChr m:val=""/>
              <m:grow/>
            </m:dPr>
            <m:e>
              <m:f>
                <m:fPr>
                  <m:type m:val="bar"/>
                </m:fPr>
                <m:num>
                  <m:sSub>
                    <m:e>
                      <m:r>
                        <m:t>N</m:t>
                      </m:r>
                    </m:e>
                    <m:sub>
                      <m:r>
                        <m:rPr>
                          <m:nor/>
                          <m:sty m:val="p"/>
                        </m:rPr>
                        <m:t>CT</m:t>
                      </m:r>
                    </m:sub>
                  </m:sSub>
                </m:num>
                <m:den>
                  <m:sSub>
                    <m:e>
                      <m:r>
                        <m:t>N</m:t>
                      </m:r>
                    </m:e>
                    <m:sub>
                      <m:r>
                        <m:rPr>
                          <m:nor/>
                          <m:sty m:val="p"/>
                        </m:rPr>
                        <m:t>MRD</m:t>
                      </m:r>
                    </m:sub>
                  </m:sSub>
                </m:den>
              </m:f>
            </m:e>
          </m:d>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6.6439</m:t>
          </m:r>
          <m:r>
            <m:rPr>
              <m:sty m:val="p"/>
            </m:rPr>
            <m:t>⋅</m:t>
          </m:r>
          <m:sSub>
            <m:e>
              <m:r>
                <m:t>T</m:t>
              </m:r>
            </m:e>
            <m:sub>
              <m:r>
                <m:t>s</m:t>
              </m:r>
            </m:sub>
          </m:sSub>
        </m:oMath>
      </m:oMathPara>
    </w:p>
    <w:p>
      <w:pPr>
        <w:pStyle w:val="FirstParagraph"/>
      </w:pPr>
      <w:r>
        <w:t xml:space="preserve">Because sensitive cells rapidly outgrow slow-cycling persisters (</w:t>
      </w:r>
      <m:oMath>
        <m:r>
          <m:rPr>
            <m:sty m:val="p"/>
          </m:rPr>
          <m:t>&gt;</m:t>
        </m:r>
        <m:r>
          <m:t>99.9</m:t>
        </m:r>
        <m:r>
          <m:rPr>
            <m:sty m:val="p"/>
          </m:rPr>
          <m:t>%</m:t>
        </m:r>
      </m:oMath>
      <w:r>
        <w:t xml:space="preserve"> </w:t>
      </w:r>
      <w:r>
        <w:t xml:space="preserve">sensitive cells at</w:t>
      </w:r>
      <w:r>
        <w:t xml:space="preserve"> </w:t>
      </w:r>
      <m:oMath>
        <m:r>
          <m:t>N</m:t>
        </m:r>
        <m:r>
          <m:rPr>
            <m:sty m:val="p"/>
          </m:rPr>
          <m:t>=</m:t>
        </m:r>
        <m:sSup>
          <m:e>
            <m:r>
              <m:t>10</m:t>
            </m:r>
          </m:e>
          <m:sup>
            <m:r>
              <m:t>7</m:t>
            </m:r>
          </m:sup>
        </m:sSup>
      </m:oMath>
      <w:r>
        <w:t xml:space="preserve">), the duration required to expand 100-fold is strictly</w:t>
      </w:r>
      <w:r>
        <w:t xml:space="preserve"> </w:t>
      </w:r>
      <m:oMath>
        <m:r>
          <m:t>6.6439</m:t>
        </m:r>
      </m:oMath>
      <w:r>
        <w:t xml:space="preserve"> </w:t>
      </w:r>
      <w:r>
        <w:t xml:space="preserve">doublings of the sensitive clone (</w:t>
      </w:r>
      <w:r>
        <w:rPr>
          <w:b/>
          <w:bCs/>
        </w:rPr>
        <w:t xml:space="preserve">Figure 2C</w:t>
      </w:r>
      <w:r>
        <w:t xml:space="preserve">).</w:t>
      </w:r>
      <w:r>
        <w:t xml:space="preserve"> </w:t>
      </w:r>
      <w:r>
        <w:rPr>
          <w:b/>
          <w:bCs/>
        </w:rPr>
        <w:t xml:space="preserve">The lead time</w:t>
      </w:r>
      <w:r>
        <w:rPr>
          <w:b/>
          <w:bCs/>
        </w:rPr>
        <w:t xml:space="preserve"> </w:t>
      </w:r>
      <m:oMath>
        <m:r>
          <m:t>Δ</m:t>
        </m:r>
        <m:r>
          <m:t>t</m:t>
        </m:r>
        <m:r>
          <m:rPr>
            <m:sty m:val="p"/>
          </m:rPr>
          <m:t>=</m:t>
        </m:r>
        <m:r>
          <m:t>5.46</m:t>
        </m:r>
        <m:r>
          <m:t> </m:t>
        </m:r>
        <m:r>
          <m:rPr>
            <m:nor/>
            <m:sty m:val="p"/>
          </m:rPr>
          <m:t>months</m:t>
        </m:r>
      </m:oMath>
      <w:r>
        <w:rPr>
          <w:b/>
          <w:bCs/>
        </w:rPr>
        <w:t xml:space="preserve"> </w:t>
      </w:r>
      <w:r>
        <w:rPr>
          <w:b/>
          <w:bCs/>
        </w:rPr>
        <w:t xml:space="preserve">is an invariant property of the assumed doubling time</w:t>
      </w:r>
      <w:r>
        <w:rPr>
          <w:b/>
          <w:bCs/>
        </w:rPr>
        <w:t xml:space="preserve"> </w:t>
      </w:r>
      <m:oMath>
        <m:sSub>
          <m:e>
            <m:r>
              <m:t>T</m:t>
            </m:r>
          </m:e>
          <m:sub>
            <m:r>
              <m:t>s</m:t>
            </m:r>
          </m:sub>
        </m:sSub>
      </m:oMath>
      <w:r>
        <w:rPr>
          <w:b/>
          <w:bCs/>
        </w:rPr>
        <w:t xml:space="preserve"> </w:t>
      </w:r>
      <w:r>
        <w:rPr>
          <w:b/>
          <w:bCs/>
        </w:rPr>
        <w:t xml:space="preserve">and assay limits; it is entirely independent of</w:t>
      </w:r>
      <w:r>
        <w:rPr>
          <w:b/>
          <w:bCs/>
        </w:rPr>
        <w:t xml:space="preserve"> </w:t>
      </w:r>
      <m:oMath>
        <m:sSub>
          <m:e>
            <m:r>
              <m:t>N</m:t>
            </m:r>
          </m:e>
          <m:sub>
            <m:r>
              <m:t>0</m:t>
            </m:r>
          </m:sub>
        </m:sSub>
      </m:oMath>
      <w:r>
        <w:rPr>
          <w:b/>
          <w:bCs/>
        </w:rPr>
        <w:t xml:space="preserve">, independent of persister kinetics, and independent of any spatial sanctuary mechanism.</w:t>
      </w:r>
    </w:p>
    <w:bookmarkEnd w:id="38"/>
    <w:bookmarkStart w:id="39" w:name="Xe1a1616e10c3ef41613c9038cd51eba10a5b244"/>
    <w:p>
      <w:pPr>
        <w:pStyle w:val="Heading4"/>
      </w:pPr>
      <w:r>
        <w:t xml:space="preserve">Table 3. Dependence of Model Regrowth Outputs on Assumed Biological Inputs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Assumed Sensitive Doubling Time</w:t>
            </w:r>
            <w:r>
              <w:t xml:space="preserve"> </w:t>
            </w:r>
            <m:oMath>
              <m:sSub>
                <m:e>
                  <m:r>
                    <m:t>T</m:t>
                  </m:r>
                </m:e>
                <m:sub>
                  <m:r>
                    <m:t>s</m:t>
                  </m:r>
                </m:sub>
              </m:sSub>
            </m:oMath>
            <w:r>
              <w:t xml:space="preserve"> </w:t>
            </w:r>
            <w:r>
              <w:t xml:space="preserve">(days)</w:t>
            </w:r>
          </w:p>
        </w:tc>
        <w:tc>
          <w:tcPr/>
          <w:p>
            <w:pPr>
              <w:pStyle w:val="Compact"/>
              <w:jc w:val="center"/>
            </w:pPr>
            <w:r>
              <w:t xml:space="preserve">Resulting Lead Time</w:t>
            </w:r>
            <w:r>
              <w:t xml:space="preserve"> </w:t>
            </w:r>
            <m:oMath>
              <m:r>
                <m:t>Δ</m:t>
              </m:r>
              <m:r>
                <m:t>t</m:t>
              </m:r>
            </m:oMath>
            <w:r>
              <w:t xml:space="preserve"> </w:t>
            </w:r>
            <w:r>
              <w:t xml:space="preserve">(months)</w:t>
            </w:r>
          </w:p>
        </w:tc>
        <w:tc>
          <w:tcPr/>
          <w:p>
            <w:pPr>
              <w:pStyle w:val="Compact"/>
              <w:jc w:val="center"/>
            </w:pPr>
            <w:r>
              <w:t xml:space="preserve">Residual Inoculum</w:t>
            </w:r>
            <w:r>
              <w:t xml:space="preserve"> </w:t>
            </w:r>
            <m:oMath>
              <m:sSub>
                <m:e>
                  <m:r>
                    <m:t>N</m:t>
                  </m:r>
                </m:e>
                <m:sub>
                  <m:r>
                    <m:t>0</m:t>
                  </m:r>
                </m:sub>
              </m:sSub>
            </m:oMath>
            <w:r>
              <w:t xml:space="preserve"> </w:t>
            </w:r>
            <w:r>
              <w:t xml:space="preserve">(cells)</w:t>
            </w:r>
          </w:p>
        </w:tc>
        <w:tc>
          <w:tcPr/>
          <w:p>
            <w:pPr>
              <w:pStyle w:val="Compact"/>
              <w:jc w:val="center"/>
            </w:pPr>
            <w:r>
              <w:t xml:space="preserve">ctDNA Recurrence Month</w:t>
            </w:r>
          </w:p>
        </w:tc>
        <w:tc>
          <w:tcPr/>
          <w:p>
            <w:pPr>
              <w:pStyle w:val="Compact"/>
              <w:jc w:val="center"/>
            </w:pPr>
            <w:r>
              <w:t xml:space="preserve">Radiographic CT Relapse Month</w:t>
            </w:r>
          </w:p>
        </w:tc>
      </w:tr>
      <w:tr>
        <w:tc>
          <w:tcPr/>
          <w:p>
            <w:pPr>
              <w:pStyle w:val="Compact"/>
              <w:jc w:val="center"/>
            </w:pPr>
            <w:r>
              <w:t xml:space="preserve">10 days</w:t>
            </w:r>
          </w:p>
        </w:tc>
        <w:tc>
          <w:tcPr/>
          <w:p>
            <w:pPr>
              <w:pStyle w:val="Compact"/>
              <w:jc w:val="center"/>
            </w:pPr>
            <w:r>
              <w:t xml:space="preserve">2.2 months</w:t>
            </w:r>
          </w:p>
        </w:tc>
        <w:tc>
          <w:tcPr/>
          <w:p>
            <w:pPr>
              <w:pStyle w:val="Compact"/>
              <w:jc w:val="center"/>
            </w:pPr>
            <m:oMath>
              <m:sSub>
                <m:e>
                  <m:r>
                    <m:t>N</m:t>
                  </m:r>
                </m:e>
                <m:sub>
                  <m:r>
                    <m:t>0</m:t>
                  </m:r>
                </m:sub>
              </m:sSub>
              <m:r>
                <m:rPr>
                  <m:sty m:val="p"/>
                </m:rPr>
                <m:t>=</m:t>
              </m:r>
              <m:r>
                <m:t>1</m:t>
              </m:r>
            </m:oMath>
          </w:p>
        </w:tc>
        <w:tc>
          <w:tcPr/>
          <w:p>
            <w:pPr>
              <w:pStyle w:val="Compact"/>
              <w:jc w:val="center"/>
            </w:pPr>
            <w:r>
              <w:t xml:space="preserve">19.7 months</w:t>
            </w:r>
          </w:p>
        </w:tc>
        <w:tc>
          <w:tcPr/>
          <w:p>
            <w:pPr>
              <w:pStyle w:val="Compact"/>
              <w:jc w:val="center"/>
            </w:pPr>
            <w:r>
              <w:t xml:space="preserve">25.1 months</w:t>
            </w:r>
          </w:p>
        </w:tc>
      </w:tr>
      <w:tr>
        <w:tc>
          <w:tcPr/>
          <w:p>
            <w:pPr>
              <w:pStyle w:val="Compact"/>
              <w:jc w:val="center"/>
            </w:pPr>
            <w:r>
              <w:t xml:space="preserve">15 days</w:t>
            </w:r>
          </w:p>
        </w:tc>
        <w:tc>
          <w:tcPr/>
          <w:p>
            <w:pPr>
              <w:pStyle w:val="Compact"/>
              <w:jc w:val="center"/>
            </w:pPr>
            <w:r>
              <w:t xml:space="preserve">3.3 months</w:t>
            </w:r>
          </w:p>
        </w:tc>
        <w:tc>
          <w:tcPr/>
          <w:p>
            <w:pPr>
              <w:pStyle w:val="Compact"/>
              <w:jc w:val="center"/>
            </w:pPr>
            <m:oMath>
              <m:sSub>
                <m:e>
                  <m:r>
                    <m:t>N</m:t>
                  </m:r>
                </m:e>
                <m:sub>
                  <m:r>
                    <m:t>0</m:t>
                  </m:r>
                </m:sub>
              </m:sSub>
              <m:r>
                <m:rPr>
                  <m:sty m:val="p"/>
                </m:rPr>
                <m:t>=</m:t>
              </m:r>
              <m:r>
                <m:t>100</m:t>
              </m:r>
            </m:oMath>
          </w:p>
        </w:tc>
        <w:tc>
          <w:tcPr/>
          <w:p>
            <w:pPr>
              <w:pStyle w:val="Compact"/>
              <w:jc w:val="center"/>
            </w:pPr>
            <w:r>
              <w:t xml:space="preserve">14.2 months</w:t>
            </w:r>
          </w:p>
        </w:tc>
        <w:tc>
          <w:tcPr/>
          <w:p>
            <w:pPr>
              <w:pStyle w:val="Compact"/>
              <w:jc w:val="center"/>
            </w:pPr>
            <w:r>
              <w:t xml:space="preserve">19.7 months</w:t>
            </w:r>
          </w:p>
        </w:tc>
      </w:tr>
      <w:tr>
        <w:tc>
          <w:tcPr/>
          <w:p>
            <w:pPr>
              <w:pStyle w:val="Compact"/>
              <w:jc w:val="center"/>
            </w:pPr>
            <w:r>
              <w:t xml:space="preserve">20 days</w:t>
            </w:r>
          </w:p>
        </w:tc>
        <w:tc>
          <w:tcPr/>
          <w:p>
            <w:pPr>
              <w:pStyle w:val="Compact"/>
              <w:jc w:val="center"/>
            </w:pPr>
            <w:r>
              <w:t xml:space="preserve">4.4 months</w:t>
            </w:r>
          </w:p>
        </w:tc>
        <w:tc>
          <w:tcPr/>
          <w:p>
            <w:pPr>
              <w:pStyle w:val="Compact"/>
              <w:jc w:val="center"/>
            </w:pPr>
            <m:oMath>
              <m:sSub>
                <m:e>
                  <m:r>
                    <m:t>N</m:t>
                  </m:r>
                </m:e>
                <m:sub>
                  <m:r>
                    <m:t>0</m:t>
                  </m:r>
                </m:sub>
              </m:sSub>
              <m:r>
                <m:rPr>
                  <m:sty m:val="p"/>
                </m:rPr>
                <m:t>=</m:t>
              </m:r>
              <m:r>
                <m:t>1</m:t>
              </m:r>
              <m:r>
                <m:rPr>
                  <m:sty m:val="p"/>
                </m:rPr>
                <m:t>,</m:t>
              </m:r>
              <m:r>
                <m:t>000</m:t>
              </m:r>
            </m:oMath>
          </w:p>
        </w:tc>
        <w:tc>
          <w:tcPr/>
          <w:p>
            <w:pPr>
              <w:pStyle w:val="Compact"/>
              <w:jc w:val="center"/>
            </w:pPr>
            <w:r>
              <w:t xml:space="preserve">11.5 months</w:t>
            </w:r>
          </w:p>
        </w:tc>
        <w:tc>
          <w:tcPr/>
          <w:p>
            <w:pPr>
              <w:pStyle w:val="Compact"/>
              <w:jc w:val="center"/>
            </w:pPr>
            <w:r>
              <w:t xml:space="preserve">17.0 months</w:t>
            </w:r>
          </w:p>
        </w:tc>
      </w:tr>
      <w:tr>
        <w:tc>
          <w:tcPr/>
          <w:p>
            <w:pPr>
              <w:pStyle w:val="Compact"/>
              <w:jc w:val="center"/>
            </w:pPr>
            <w:r>
              <w:rPr>
                <w:b/>
                <w:bCs/>
              </w:rPr>
              <w:t xml:space="preserve">21.5 days</w:t>
            </w:r>
          </w:p>
        </w:tc>
        <w:tc>
          <w:tcPr/>
          <w:p>
            <w:pPr>
              <w:pStyle w:val="Compact"/>
              <w:jc w:val="center"/>
            </w:pPr>
            <w:r>
              <w:rPr>
                <w:b/>
                <w:bCs/>
              </w:rPr>
              <w:t xml:space="preserve">4.7 months (ADAURA Median)</w:t>
            </w:r>
          </w:p>
        </w:tc>
        <w:tc>
          <w:tcPr/>
          <w:p>
            <w:pPr>
              <w:pStyle w:val="Compact"/>
              <w:jc w:val="center"/>
            </w:pPr>
            <m:oMath>
              <m:sSub>
                <m:e>
                  <m:r>
                    <m:t>N</m:t>
                  </m:r>
                </m:e>
                <m:sub>
                  <m:r>
                    <m:t>0</m:t>
                  </m:r>
                </m:sub>
              </m:sSub>
              <m:r>
                <m:rPr>
                  <m:sty m:val="p"/>
                </m:rPr>
                <m:t>=</m:t>
              </m:r>
              <m:r>
                <m:t>2</m:t>
              </m:r>
              <m:r>
                <m:rPr>
                  <m:sty m:val="p"/>
                </m:rPr>
                <m:t>,</m:t>
              </m:r>
              <m:r>
                <m:t>000</m:t>
              </m:r>
            </m:oMath>
          </w:p>
        </w:tc>
        <w:tc>
          <w:tcPr/>
          <w:p>
            <w:pPr>
              <w:pStyle w:val="Compact"/>
              <w:jc w:val="center"/>
            </w:pPr>
            <w:r>
              <w:rPr>
                <w:b/>
                <w:bCs/>
              </w:rPr>
              <w:t xml:space="preserve">10.7 months</w:t>
            </w:r>
          </w:p>
        </w:tc>
        <w:tc>
          <w:tcPr/>
          <w:p>
            <w:pPr>
              <w:pStyle w:val="Compact"/>
              <w:jc w:val="center"/>
            </w:pPr>
            <w:r>
              <w:rPr>
                <w:b/>
                <w:bCs/>
              </w:rPr>
              <w:t xml:space="preserve">16.1 months</w:t>
            </w:r>
          </w:p>
        </w:tc>
      </w:tr>
      <w:tr>
        <w:tc>
          <w:tcPr/>
          <w:p>
            <w:pPr>
              <w:pStyle w:val="Compact"/>
              <w:jc w:val="center"/>
            </w:pPr>
            <w:r>
              <w:rPr>
                <w:b/>
                <w:bCs/>
              </w:rPr>
              <w:t xml:space="preserve">25.0 days</w:t>
            </w:r>
          </w:p>
        </w:tc>
        <w:tc>
          <w:tcPr/>
          <w:p>
            <w:pPr>
              <w:pStyle w:val="Compact"/>
              <w:jc w:val="center"/>
            </w:pPr>
            <w:r>
              <w:rPr>
                <w:b/>
                <w:bCs/>
              </w:rPr>
              <w:t xml:space="preserve">5.5 months</w:t>
            </w:r>
          </w:p>
        </w:tc>
        <w:tc>
          <w:tcPr/>
          <w:p>
            <w:pPr>
              <w:pStyle w:val="Compact"/>
              <w:jc w:val="center"/>
            </w:pPr>
            <m:oMath>
              <m:sSub>
                <m:e>
                  <m:r>
                    <m:t>N</m:t>
                  </m:r>
                </m:e>
                <m:sub>
                  <m:r>
                    <m:t>0</m:t>
                  </m:r>
                </m:sub>
              </m:sSub>
              <m:r>
                <m:rPr>
                  <m:sty m:val="p"/>
                </m:rPr>
                <m:t>=</m:t>
              </m:r>
              <m:r>
                <m:t>10</m:t>
              </m:r>
              <m:r>
                <m:rPr>
                  <m:sty m:val="p"/>
                </m:rPr>
                <m:t>,</m:t>
              </m:r>
              <m:r>
                <m:t>000</m:t>
              </m:r>
            </m:oMath>
          </w:p>
        </w:tc>
        <w:tc>
          <w:tcPr/>
          <w:p>
            <w:pPr>
              <w:pStyle w:val="Compact"/>
              <w:jc w:val="center"/>
            </w:pPr>
            <w:r>
              <w:t xml:space="preserve">8.8 months</w:t>
            </w:r>
          </w:p>
        </w:tc>
        <w:tc>
          <w:tcPr/>
          <w:p>
            <w:pPr>
              <w:pStyle w:val="Compact"/>
              <w:jc w:val="center"/>
            </w:pPr>
            <w:r>
              <w:t xml:space="preserve">14.2 months</w:t>
            </w:r>
          </w:p>
        </w:tc>
      </w:tr>
      <w:tr>
        <w:tc>
          <w:tcPr/>
          <w:p>
            <w:pPr>
              <w:pStyle w:val="Compact"/>
              <w:jc w:val="center"/>
            </w:pPr>
            <w:r>
              <w:t xml:space="preserve">30.0 days</w:t>
            </w:r>
          </w:p>
        </w:tc>
        <w:tc>
          <w:tcPr/>
          <w:p>
            <w:pPr>
              <w:pStyle w:val="Compact"/>
              <w:jc w:val="center"/>
            </w:pPr>
            <w:r>
              <w:t xml:space="preserve">6.5 months</w:t>
            </w:r>
          </w:p>
        </w:tc>
        <w:tc>
          <w:tcPr/>
          <w:p>
            <w:pPr>
              <w:pStyle w:val="Compact"/>
              <w:jc w:val="center"/>
            </w:pPr>
            <m:oMath>
              <m:sSub>
                <m:e>
                  <m:r>
                    <m:t>N</m:t>
                  </m:r>
                </m:e>
                <m:sub>
                  <m:r>
                    <m:t>0</m:t>
                  </m:r>
                </m:sub>
              </m:sSub>
              <m:r>
                <m:rPr>
                  <m:sty m:val="p"/>
                </m:rPr>
                <m:t>=</m:t>
              </m:r>
              <m:r>
                <m:t>100</m:t>
              </m:r>
              <m:r>
                <m:rPr>
                  <m:sty m:val="p"/>
                </m:rPr>
                <m:t>,</m:t>
              </m:r>
              <m:r>
                <m:t>000</m:t>
              </m:r>
            </m:oMath>
          </w:p>
        </w:tc>
        <w:tc>
          <w:tcPr/>
          <w:p>
            <w:pPr>
              <w:pStyle w:val="Compact"/>
              <w:jc w:val="center"/>
            </w:pPr>
            <w:r>
              <w:t xml:space="preserve">6.0 months</w:t>
            </w:r>
          </w:p>
        </w:tc>
        <w:tc>
          <w:tcPr/>
          <w:p>
            <w:pPr>
              <w:pStyle w:val="Compact"/>
              <w:jc w:val="center"/>
            </w:pPr>
            <w:r>
              <w:t xml:space="preserve">11.5 months</w:t>
            </w:r>
          </w:p>
        </w:tc>
      </w:tr>
    </w:tbl>
    <w:p>
      <w:pPr>
        <w:pStyle w:val="BodyText"/>
      </w:pPr>
      <w:r>
        <w:t xml:space="preserve">As shown in</w:t>
      </w:r>
      <w:r>
        <w:t xml:space="preserve"> </w:t>
      </w:r>
      <w:r>
        <w:rPr>
          <w:b/>
          <w:bCs/>
        </w:rPr>
        <w:t xml:space="preserve">Table 3</w:t>
      </w:r>
      <w:r>
        <w:t xml:space="preserve">, the reported median lead time in ADAURA (4.7 months; 95% CI: 2.2–5.6 months [12]) corresponds mathematically to</w:t>
      </w:r>
      <w:r>
        <w:t xml:space="preserve"> </w:t>
      </w:r>
      <m:oMath>
        <m:sSub>
          <m:e>
            <m:r>
              <m:t>T</m:t>
            </m:r>
          </m:e>
          <m:sub>
            <m:r>
              <m:t>s</m:t>
            </m:r>
          </m:sub>
        </m:sSub>
        <m:r>
          <m:rPr>
            <m:sty m:val="p"/>
          </m:rPr>
          <m:t>≈</m:t>
        </m:r>
        <m:r>
          <m:t>21.5</m:t>
        </m:r>
        <m:r>
          <m:t> </m:t>
        </m:r>
        <m:r>
          <m:rPr>
            <m:nor/>
            <m:sty m:val="p"/>
          </m:rPr>
          <m:t>days</m:t>
        </m:r>
      </m:oMath>
      <w:r>
        <w:t xml:space="preserve"> </w:t>
      </w:r>
      <w:r>
        <w:t xml:space="preserve">(range: 10–26 days). Therefore, agreement between our simulation and ADAURA reflects a biologically plausible choice of</w:t>
      </w:r>
      <w:r>
        <w:t xml:space="preserve"> </w:t>
      </w:r>
      <m:oMath>
        <m:sSub>
          <m:e>
            <m:r>
              <m:t>T</m:t>
            </m:r>
          </m:e>
          <m:sub>
            <m:r>
              <m:t>s</m:t>
            </m:r>
          </m:sub>
        </m:sSub>
      </m:oMath>
      <w:r>
        <w:t xml:space="preserve">, rather than an independent validation of spatial sanctuary physics. What residual sanctuary burden</w:t>
      </w:r>
      <w:r>
        <w:t xml:space="preserve"> </w:t>
      </w:r>
      <m:oMath>
        <m:sSub>
          <m:e>
            <m:r>
              <m:t>N</m:t>
            </m:r>
          </m:e>
          <m:sub>
            <m:r>
              <m:t>0</m:t>
            </m:r>
          </m:sub>
        </m:sSub>
      </m:oMath>
      <w:r>
        <w:t xml:space="preserve"> </w:t>
      </w:r>
      <w:r>
        <w:t xml:space="preserve">actually governs is the</w:t>
      </w:r>
      <w:r>
        <w:t xml:space="preserve"> </w:t>
      </w:r>
      <w:r>
        <w:rPr>
          <w:b/>
          <w:bCs/>
        </w:rPr>
        <w:t xml:space="preserve">calendar timing of initial relapse</w:t>
      </w:r>
      <w:r>
        <w:t xml:space="preserve">:</w:t>
      </w:r>
      <w:r>
        <w:t xml:space="preserve"> </w:t>
      </w:r>
      <m:oMath>
        <m:sSub>
          <m:e>
            <m:r>
              <m:t>N</m:t>
            </m:r>
          </m:e>
          <m:sub>
            <m:r>
              <m:t>0</m:t>
            </m:r>
          </m:sub>
        </m:sSub>
        <m:r>
          <m:rPr>
            <m:sty m:val="p"/>
          </m:rPr>
          <m:t>=</m:t>
        </m:r>
        <m:r>
          <m:t>200</m:t>
        </m:r>
        <m:r>
          <m:rPr>
            <m:nor/>
            <m:sty m:val="p"/>
          </m:rPr>
          <m:t>–</m:t>
        </m:r>
        <m:r>
          <m:t>2000</m:t>
        </m:r>
      </m:oMath>
      <w:r>
        <w:t xml:space="preserve"> </w:t>
      </w:r>
      <w:r>
        <w:t xml:space="preserve">cells reproduces the empirical onset clustering documented in ADAURA (peaking within 12–18 months post-cessation).</w:t>
      </w:r>
    </w:p>
    <w:p>
      <w:r>
        <w:pict>
          <v:rect style="width:0;height:1.5pt" o:hralign="center" o:hrstd="t" o:hr="t"/>
        </w:pict>
      </w:r>
    </w:p>
    <w:bookmarkEnd w:id="39"/>
    <w:bookmarkEnd w:id="40"/>
    <w:bookmarkEnd w:id="41"/>
    <w:bookmarkStart w:id="50" w:name="Xe8899abaf8d4f6f0a4a36398f5d9d9ea73bc19c"/>
    <w:p>
      <w:pPr>
        <w:pStyle w:val="Heading2"/>
      </w:pPr>
      <w:r>
        <w:t xml:space="preserve">4. Descriptive Survival Analysis of the MSKCC Cohort (</w:t>
      </w:r>
      <m:oMath>
        <m:r>
          <m:t>N</m:t>
        </m:r>
        <m:r>
          <m:rPr>
            <m:sty m:val="p"/>
          </m:rPr>
          <m:t>=</m:t>
        </m:r>
        <m:r>
          <m:t>604</m:t>
        </m:r>
      </m:oMath>
      <w:r>
        <w:t xml:space="preserve">)</w:t>
      </w:r>
    </w:p>
    <w:bookmarkStart w:id="46" w:name="cohort-characteristics-methods"/>
    <w:p>
      <w:pPr>
        <w:pStyle w:val="Heading3"/>
      </w:pPr>
      <w:r>
        <w:t xml:space="preserve">4.1 Cohort Characteristics &amp; Methods</w:t>
      </w:r>
    </w:p>
    <w:p>
      <w:pPr>
        <w:pStyle w:val="FirstParagraph"/>
      </w:pPr>
      <w:r>
        <w:t xml:space="preserve">We analyzed the authenticated Memorial Sloan Kettering Cancer Center cohort (Caso et al.,</w:t>
      </w:r>
      <w:r>
        <w:t xml:space="preserve"> </w:t>
      </w:r>
      <w:r>
        <w:rPr>
          <w:i/>
          <w:iCs/>
        </w:rPr>
        <w:t xml:space="preserve">J Thorac Oncol</w:t>
      </w:r>
      <w:r>
        <w:t xml:space="preserve"> </w:t>
      </w:r>
      <w:r>
        <w:t xml:space="preserve">2020 [3]), comprising 604 consecutive surgically resected lung adenocarcinoma patients with predominant IASLC histologic subtypes, pathologic stage (I/II/III),</w:t>
      </w:r>
      <w:r>
        <w:t xml:space="preserve"> </w:t>
      </w:r>
      <w:r>
        <w:rPr>
          <w:i/>
          <w:iCs/>
        </w:rPr>
        <w:t xml:space="preserve">EGFR</w:t>
      </w:r>
      <w:r>
        <w:t xml:space="preserve"> </w:t>
      </w:r>
      <w:r>
        <w:t xml:space="preserve">mutational status, recurrence-free survival (RFS) duration, and recurrence events (98 recurrences, 16.23%). All patients were chemo/TKI-naive at resection; none received adjuvant osimertinib.</w:t>
      </w:r>
    </w:p>
    <w:p>
      <w:pPr>
        <w:pStyle w:val="BodyText"/>
      </w:pPr>
      <w:r>
        <w:t xml:space="preserve">Survival analyses were performed using Kaplan–Meier estimators and multivariable Cox proportional hazards models with Efron tie handling and Wald confidence intervals. True median follow-up was computed using the</w:t>
      </w:r>
      <w:r>
        <w:t xml:space="preserve"> </w:t>
      </w:r>
      <w:r>
        <w:rPr>
          <w:b/>
          <w:bCs/>
        </w:rPr>
        <w:t xml:space="preserve">reverse Kaplan–Meier method</w:t>
      </w:r>
      <w:r>
        <w:t xml:space="preserve"> </w:t>
      </w:r>
      <w:r>
        <w:t xml:space="preserve">(Schemper &amp; Smith,</w:t>
      </w:r>
      <w:r>
        <w:t xml:space="preserve"> </w:t>
      </w:r>
      <w:r>
        <w:rPr>
          <w:i/>
          <w:iCs/>
        </w:rPr>
        <w:t xml:space="preserve">Eff Clin Pract</w:t>
      </w:r>
      <w:r>
        <w:t xml:space="preserve"> </w:t>
      </w:r>
      <w:r>
        <w:t xml:space="preserve">1996):</w:t>
      </w:r>
      <w:r>
        <w:t xml:space="preserve"> </w:t>
      </w:r>
      <w:r>
        <w:rPr>
          <w:b/>
          <w:bCs/>
        </w:rPr>
        <w:t xml:space="preserve">median follow-up was 23.8 months</w:t>
      </w:r>
      <w:r>
        <w:t xml:space="preserve"> </w:t>
      </w:r>
      <w:r>
        <w:t xml:space="preserve">(IQR: 11.6–29.1 months; version 1 reported 21.4 months based on raw RFS duration). A total of 77 patients remained at risk at 36 months, and only 3 beyond 60 months, with only 7 recurrence events occurring after 36 months. Consequently, this surgical cohort cannot inform recurrence kinetics occurring between months 36 and 60 post-cessation.</w:t>
      </w:r>
    </w:p>
    <w:p>
      <w:pPr>
        <w:pStyle w:val="BodyText"/>
      </w:pPr>
      <w:r>
        <w:t xml:space="preserve">(</w:t>
      </w:r>
      <w:r>
        <w:t xml:space="preserve">Figure 3</w:t>
      </w:r>
      <w:r>
        <w:t xml:space="preserve">):</w:t>
      </w:r>
    </w:p>
    <w:p>
      <w:pPr>
        <w:pStyle w:val="BodyText"/>
      </w:pPr>
      <w:r>
        <w:drawing>
          <wp:inline>
            <wp:extent cx="5334000" cy="3778249"/>
            <wp:effectExtent b="0" l="0" r="0" t="0"/>
            <wp:docPr descr="Figure 3: MSKCC Clinical Cohort Validation &amp; Survival Modeling" title="" id="43" name="Picture"/>
            <a:graphic>
              <a:graphicData uri="http://schemas.openxmlformats.org/drawingml/2006/picture">
                <pic:pic>
                  <pic:nvPicPr>
                    <pic:cNvPr descr="Figure3_cohort_cox.png" id="44" name="Picture"/>
                    <pic:cNvPicPr>
                      <a:picLocks noChangeArrowheads="1" noChangeAspect="1"/>
                    </pic:cNvPicPr>
                  </pic:nvPicPr>
                  <pic:blipFill>
                    <a:blip r:embed="rId42"/>
                    <a:stretch>
                      <a:fillRect/>
                    </a:stretch>
                  </pic:blipFill>
                  <pic:spPr bwMode="auto">
                    <a:xfrm>
                      <a:off x="0" y="0"/>
                      <a:ext cx="5334000" cy="3778249"/>
                    </a:xfrm>
                    <a:prstGeom prst="rect">
                      <a:avLst/>
                    </a:prstGeom>
                    <a:noFill/>
                    <a:ln w="9525">
                      <a:noFill/>
                      <a:headEnd/>
                      <a:tailEnd/>
                    </a:ln>
                  </pic:spPr>
                </pic:pic>
              </a:graphicData>
            </a:graphic>
          </wp:inline>
        </w:drawing>
      </w:r>
      <w:r>
        <w:t xml:space="preserve"> </w:t>
      </w:r>
      <w:r>
        <w:rPr>
          <w:i/>
          <w:iCs/>
        </w:rPr>
        <w:t xml:space="preserve">Figure 3. MSKCC Clinical Cohort Validation &amp; Survival Modeling (N = 604). (A) Kaplan-Meier recurrence-free survival curves for the 5 IASLC histologic subtypes. (B) Observed crude recurrence rates across subtypes. (C) Forest plot of pairwise subtype contrasts and multivariable Cox models with Holm multiplicity adjustments. (D) Evaluation of the EGFR-mutant subset showing severe stage confounding.</w:t>
      </w:r>
    </w:p>
    <w:bookmarkStart w:id="45" w:name="X99a3ea191a3a788fe28ef8f3f1e79b95bbb63b2"/>
    <w:p>
      <w:pPr>
        <w:pStyle w:val="Heading4"/>
      </w:pPr>
      <w:r>
        <w:t xml:space="preserve">Table 4. Recurrence Events and Stage Distribution by Predominant Histologic Subtype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Predominant Subtype</w:t>
            </w:r>
          </w:p>
        </w:tc>
        <w:tc>
          <w:tcPr/>
          <w:p>
            <w:pPr>
              <w:pStyle w:val="Compact"/>
              <w:jc w:val="center"/>
            </w:pPr>
            <w:r>
              <w:t xml:space="preserve">Total Patients (</w:t>
            </w:r>
            <m:oMath>
              <m:r>
                <m:t>N</m:t>
              </m:r>
            </m:oMath>
            <w:r>
              <w:t xml:space="preserve">)</w:t>
            </w:r>
          </w:p>
        </w:tc>
        <w:tc>
          <w:tcPr/>
          <w:p>
            <w:pPr>
              <w:pStyle w:val="Compact"/>
              <w:jc w:val="center"/>
            </w:pPr>
            <w:r>
              <w:t xml:space="preserve">Recurrence Events (</w:t>
            </w:r>
            <m:oMath>
              <m:r>
                <m:t>E</m:t>
              </m:r>
            </m:oMath>
            <w:r>
              <w:t xml:space="preserve">)</w:t>
            </w:r>
          </w:p>
        </w:tc>
        <w:tc>
          <w:tcPr/>
          <w:p>
            <w:pPr>
              <w:pStyle w:val="Compact"/>
              <w:jc w:val="center"/>
            </w:pPr>
            <w:r>
              <w:t xml:space="preserve">Crude Recurrence Rate (%)</w:t>
            </w:r>
          </w:p>
        </w:tc>
        <w:tc>
          <w:tcPr/>
          <w:p>
            <w:pPr>
              <w:pStyle w:val="Compact"/>
              <w:jc w:val="center"/>
            </w:pPr>
            <w:r>
              <w:t xml:space="preserve">Pathologic Stage I (%)</w:t>
            </w:r>
          </w:p>
        </w:tc>
      </w:tr>
      <w:tr>
        <w:tc>
          <w:tcPr/>
          <w:p>
            <w:pPr>
              <w:pStyle w:val="Compact"/>
              <w:jc w:val="left"/>
            </w:pPr>
            <w:r>
              <w:rPr>
                <w:b/>
                <w:bCs/>
              </w:rPr>
              <w:t xml:space="preserve">Lepidic</w:t>
            </w:r>
          </w:p>
        </w:tc>
        <w:tc>
          <w:tcPr/>
          <w:p>
            <w:pPr>
              <w:pStyle w:val="Compact"/>
              <w:jc w:val="center"/>
            </w:pPr>
            <w:r>
              <w:t xml:space="preserve">88</w:t>
            </w:r>
          </w:p>
        </w:tc>
        <w:tc>
          <w:tcPr/>
          <w:p>
            <w:pPr>
              <w:pStyle w:val="Compact"/>
              <w:jc w:val="center"/>
            </w:pPr>
            <w:r>
              <w:t xml:space="preserve">4</w:t>
            </w:r>
          </w:p>
        </w:tc>
        <w:tc>
          <w:tcPr/>
          <w:p>
            <w:pPr>
              <w:pStyle w:val="Compact"/>
              <w:jc w:val="center"/>
            </w:pPr>
            <w:r>
              <w:rPr>
                <w:b/>
                <w:bCs/>
              </w:rPr>
              <w:t xml:space="preserve">4.55%</w:t>
            </w:r>
          </w:p>
        </w:tc>
        <w:tc>
          <w:tcPr/>
          <w:p>
            <w:pPr>
              <w:pStyle w:val="Compact"/>
              <w:jc w:val="center"/>
            </w:pPr>
            <w:r>
              <w:rPr>
                <w:b/>
                <w:bCs/>
              </w:rPr>
              <w:t xml:space="preserve">88.6%</w:t>
            </w:r>
          </w:p>
        </w:tc>
      </w:tr>
      <w:tr>
        <w:tc>
          <w:tcPr/>
          <w:p>
            <w:pPr>
              <w:pStyle w:val="Compact"/>
              <w:jc w:val="left"/>
            </w:pPr>
            <w:r>
              <w:rPr>
                <w:b/>
                <w:bCs/>
              </w:rPr>
              <w:t xml:space="preserve">Acinar</w:t>
            </w:r>
          </w:p>
        </w:tc>
        <w:tc>
          <w:tcPr/>
          <w:p>
            <w:pPr>
              <w:pStyle w:val="Compact"/>
              <w:jc w:val="center"/>
            </w:pPr>
            <w:r>
              <w:t xml:space="preserve">368</w:t>
            </w:r>
          </w:p>
        </w:tc>
        <w:tc>
          <w:tcPr/>
          <w:p>
            <w:pPr>
              <w:pStyle w:val="Compact"/>
              <w:jc w:val="center"/>
            </w:pPr>
            <w:r>
              <w:t xml:space="preserve">54</w:t>
            </w:r>
          </w:p>
        </w:tc>
        <w:tc>
          <w:tcPr/>
          <w:p>
            <w:pPr>
              <w:pStyle w:val="Compact"/>
              <w:jc w:val="center"/>
            </w:pPr>
            <w:r>
              <w:rPr>
                <w:b/>
                <w:bCs/>
              </w:rPr>
              <w:t xml:space="preserve">14.67%</w:t>
            </w:r>
          </w:p>
        </w:tc>
        <w:tc>
          <w:tcPr/>
          <w:p>
            <w:pPr>
              <w:pStyle w:val="Compact"/>
              <w:jc w:val="center"/>
            </w:pPr>
            <w:r>
              <w:t xml:space="preserve">75.5%</w:t>
            </w:r>
          </w:p>
        </w:tc>
      </w:tr>
      <w:tr>
        <w:tc>
          <w:tcPr/>
          <w:p>
            <w:pPr>
              <w:pStyle w:val="Compact"/>
              <w:jc w:val="left"/>
            </w:pPr>
            <w:r>
              <w:rPr>
                <w:b/>
                <w:bCs/>
              </w:rPr>
              <w:t xml:space="preserve">Micropapillary</w:t>
            </w:r>
          </w:p>
        </w:tc>
        <w:tc>
          <w:tcPr/>
          <w:p>
            <w:pPr>
              <w:pStyle w:val="Compact"/>
              <w:jc w:val="center"/>
            </w:pPr>
            <w:r>
              <w:t xml:space="preserve">37</w:t>
            </w:r>
          </w:p>
        </w:tc>
        <w:tc>
          <w:tcPr/>
          <w:p>
            <w:pPr>
              <w:pStyle w:val="Compact"/>
              <w:jc w:val="center"/>
            </w:pPr>
            <w:r>
              <w:t xml:space="preserve">8</w:t>
            </w:r>
          </w:p>
        </w:tc>
        <w:tc>
          <w:tcPr/>
          <w:p>
            <w:pPr>
              <w:pStyle w:val="Compact"/>
              <w:jc w:val="center"/>
            </w:pPr>
            <w:r>
              <w:rPr>
                <w:b/>
                <w:bCs/>
              </w:rPr>
              <w:t xml:space="preserve">21.62%</w:t>
            </w:r>
          </w:p>
        </w:tc>
        <w:tc>
          <w:tcPr/>
          <w:p>
            <w:pPr>
              <w:pStyle w:val="Compact"/>
              <w:jc w:val="center"/>
            </w:pPr>
            <w:r>
              <w:t xml:space="preserve">51.4%</w:t>
            </w:r>
          </w:p>
        </w:tc>
      </w:tr>
      <w:tr>
        <w:tc>
          <w:tcPr/>
          <w:p>
            <w:pPr>
              <w:pStyle w:val="Compact"/>
              <w:jc w:val="left"/>
            </w:pPr>
            <w:r>
              <w:rPr>
                <w:b/>
                <w:bCs/>
              </w:rPr>
              <w:t xml:space="preserve">Papillary</w:t>
            </w:r>
          </w:p>
        </w:tc>
        <w:tc>
          <w:tcPr/>
          <w:p>
            <w:pPr>
              <w:pStyle w:val="Compact"/>
              <w:jc w:val="center"/>
            </w:pPr>
            <w:r>
              <w:t xml:space="preserve">43</w:t>
            </w:r>
          </w:p>
        </w:tc>
        <w:tc>
          <w:tcPr/>
          <w:p>
            <w:pPr>
              <w:pStyle w:val="Compact"/>
              <w:jc w:val="center"/>
            </w:pPr>
            <w:r>
              <w:t xml:space="preserve">11</w:t>
            </w:r>
          </w:p>
        </w:tc>
        <w:tc>
          <w:tcPr/>
          <w:p>
            <w:pPr>
              <w:pStyle w:val="Compact"/>
              <w:jc w:val="center"/>
            </w:pPr>
            <w:r>
              <w:rPr>
                <w:b/>
                <w:bCs/>
              </w:rPr>
              <w:t xml:space="preserve">25.58%</w:t>
            </w:r>
          </w:p>
        </w:tc>
        <w:tc>
          <w:tcPr/>
          <w:p>
            <w:pPr>
              <w:pStyle w:val="Compact"/>
              <w:jc w:val="center"/>
            </w:pPr>
            <w:r>
              <w:t xml:space="preserve">76.7%</w:t>
            </w:r>
          </w:p>
        </w:tc>
      </w:tr>
      <w:tr>
        <w:tc>
          <w:tcPr/>
          <w:p>
            <w:pPr>
              <w:pStyle w:val="Compact"/>
              <w:jc w:val="left"/>
            </w:pPr>
            <w:r>
              <w:rPr>
                <w:b/>
                <w:bCs/>
              </w:rPr>
              <w:t xml:space="preserve">Solid</w:t>
            </w:r>
          </w:p>
        </w:tc>
        <w:tc>
          <w:tcPr/>
          <w:p>
            <w:pPr>
              <w:pStyle w:val="Compact"/>
              <w:jc w:val="center"/>
            </w:pPr>
            <w:r>
              <w:t xml:space="preserve">68</w:t>
            </w:r>
          </w:p>
        </w:tc>
        <w:tc>
          <w:tcPr/>
          <w:p>
            <w:pPr>
              <w:pStyle w:val="Compact"/>
              <w:jc w:val="center"/>
            </w:pPr>
            <w:r>
              <w:t xml:space="preserve">21</w:t>
            </w:r>
          </w:p>
        </w:tc>
        <w:tc>
          <w:tcPr/>
          <w:p>
            <w:pPr>
              <w:pStyle w:val="Compact"/>
              <w:jc w:val="center"/>
            </w:pPr>
            <w:r>
              <w:rPr>
                <w:b/>
                <w:bCs/>
              </w:rPr>
              <w:t xml:space="preserve">30.88%</w:t>
            </w:r>
          </w:p>
        </w:tc>
        <w:tc>
          <w:tcPr/>
          <w:p>
            <w:pPr>
              <w:pStyle w:val="Compact"/>
              <w:jc w:val="center"/>
            </w:pPr>
            <w:r>
              <w:t xml:space="preserve">57.4%</w:t>
            </w:r>
          </w:p>
        </w:tc>
      </w:tr>
      <w:tr>
        <w:tc>
          <w:tcPr/>
          <w:p>
            <w:pPr>
              <w:pStyle w:val="Compact"/>
              <w:jc w:val="left"/>
            </w:pPr>
            <w:r>
              <w:rPr>
                <w:b/>
                <w:bCs/>
              </w:rPr>
              <w:t xml:space="preserve">Total Cohort</w:t>
            </w:r>
          </w:p>
        </w:tc>
        <w:tc>
          <w:tcPr/>
          <w:p>
            <w:pPr>
              <w:pStyle w:val="Compact"/>
              <w:jc w:val="center"/>
            </w:pPr>
            <w:r>
              <w:rPr>
                <w:b/>
                <w:bCs/>
              </w:rPr>
              <w:t xml:space="preserve">604</w:t>
            </w:r>
          </w:p>
        </w:tc>
        <w:tc>
          <w:tcPr/>
          <w:p>
            <w:pPr>
              <w:pStyle w:val="Compact"/>
              <w:jc w:val="center"/>
            </w:pPr>
            <w:r>
              <w:rPr>
                <w:b/>
                <w:bCs/>
              </w:rPr>
              <w:t xml:space="preserve">98</w:t>
            </w:r>
          </w:p>
        </w:tc>
        <w:tc>
          <w:tcPr/>
          <w:p>
            <w:pPr>
              <w:pStyle w:val="Compact"/>
              <w:jc w:val="center"/>
            </w:pPr>
            <w:r>
              <w:rPr>
                <w:b/>
                <w:bCs/>
              </w:rPr>
              <w:t xml:space="preserve">16.23%</w:t>
            </w:r>
          </w:p>
        </w:tc>
        <w:tc>
          <w:tcPr/>
          <w:p>
            <w:pPr>
              <w:pStyle w:val="Compact"/>
              <w:jc w:val="center"/>
            </w:pPr>
            <w:r>
              <w:rPr>
                <w:b/>
                <w:bCs/>
              </w:rPr>
              <w:t xml:space="preserve">74.0%</w:t>
            </w:r>
          </w:p>
        </w:tc>
      </w:tr>
    </w:tbl>
    <w:p>
      <w:pPr>
        <w:pStyle w:val="BodyText"/>
      </w:pPr>
      <w:r>
        <w:t xml:space="preserve">Histologic subtype is significantly associated with recurrence after adjusting for pathologic stage (likelihood ratio test:</w:t>
      </w:r>
      <w:r>
        <w:t xml:space="preserve"> </w:t>
      </w:r>
      <m:oMath>
        <m:sSup>
          <m:e>
            <m:r>
              <m:t>χ</m:t>
            </m:r>
          </m:e>
          <m:sup>
            <m:r>
              <m:t>2</m:t>
            </m:r>
          </m:sup>
        </m:sSup>
        <m:r>
          <m:rPr>
            <m:sty m:val="p"/>
          </m:rPr>
          <m:t>=</m:t>
        </m:r>
        <m:r>
          <m:t>18.33</m:t>
        </m:r>
      </m:oMath>
      <w:r>
        <w:t xml:space="preserve">, 4 degrees of freedom,</w:t>
      </w:r>
      <w:r>
        <w:t xml:space="preserve"> </w:t>
      </w:r>
      <m:oMath>
        <m:r>
          <m:t>p</m:t>
        </m:r>
        <m:r>
          <m:rPr>
            <m:sty m:val="p"/>
          </m:rPr>
          <m:t>=</m:t>
        </m:r>
        <m:r>
          <m:t>0.0011</m:t>
        </m:r>
      </m:oMath>
      <w:r>
        <w:t xml:space="preserve">). However, pathologic stage is unevenly distributed (</w:t>
      </w:r>
      <w:r>
        <w:rPr>
          <w:b/>
          <w:bCs/>
        </w:rPr>
        <w:t xml:space="preserve">Table 4</w:t>
      </w:r>
      <w:r>
        <w:t xml:space="preserve">): 88.6% of lepidic tumours presented at Stage I, compared to only 55.2% of solid and micropapillary tumours.</w:t>
      </w:r>
    </w:p>
    <w:bookmarkEnd w:id="45"/>
    <w:bookmarkEnd w:id="46"/>
    <w:bookmarkStart w:id="48" w:name="multivariable-survival-modeling-results"/>
    <w:p>
      <w:pPr>
        <w:pStyle w:val="Heading3"/>
      </w:pPr>
      <w:r>
        <w:t xml:space="preserve">4.2 Multivariable Survival Modeling Results</w:t>
      </w:r>
    </w:p>
    <w:bookmarkStart w:id="47" w:name="X629c8f90c3f5a83d8bdedc96fb6933f3b00a2bf"/>
    <w:p>
      <w:pPr>
        <w:pStyle w:val="Heading4"/>
      </w:pPr>
      <w:r>
        <w:t xml:space="preserve">Table 5. Stage-Adjusted Multivariable Cox Proportional Hazards Models</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Model Specification</w:t>
            </w:r>
          </w:p>
        </w:tc>
        <w:tc>
          <w:tcPr/>
          <w:p>
            <w:pPr>
              <w:pStyle w:val="Compact"/>
              <w:jc w:val="center"/>
            </w:pPr>
            <w:r>
              <w:t xml:space="preserve">Hazard Ratio (HR)</w:t>
            </w:r>
          </w:p>
        </w:tc>
        <w:tc>
          <w:tcPr/>
          <w:p>
            <w:pPr>
              <w:pStyle w:val="Compact"/>
              <w:jc w:val="center"/>
            </w:pPr>
            <w:r>
              <w:t xml:space="preserve">95% Confidence Interval</w:t>
            </w:r>
          </w:p>
        </w:tc>
        <w:tc>
          <w:tcPr/>
          <w:p>
            <w:pPr>
              <w:pStyle w:val="Compact"/>
              <w:jc w:val="center"/>
            </w:pPr>
            <m:oMath>
              <m:r>
                <m:t>p</m:t>
              </m:r>
            </m:oMath>
            <w:r>
              <w:t xml:space="preserve">-value</w:t>
            </w:r>
          </w:p>
        </w:tc>
        <w:tc>
          <w:tcPr/>
          <w:p>
            <w:pPr>
              <w:pStyle w:val="Compact"/>
              <w:jc w:val="center"/>
            </w:pPr>
            <w:r>
              <w:t xml:space="preserve">Holm-Adjusted</w:t>
            </w:r>
            <w:r>
              <w:t xml:space="preserve"> </w:t>
            </w:r>
            <m:oMath>
              <m:r>
                <m:t>p</m:t>
              </m:r>
            </m:oMath>
            <w:r>
              <w:t xml:space="preserve">-value</w:t>
            </w:r>
          </w:p>
        </w:tc>
      </w:tr>
      <w:tr>
        <w:tc>
          <w:tcPr/>
          <w:p>
            <w:pPr>
              <w:pStyle w:val="Compact"/>
              <w:jc w:val="left"/>
            </w:pPr>
            <w:r>
              <w:rPr>
                <w:b/>
                <w:bCs/>
              </w:rPr>
              <w:t xml:space="preserve">Pairwise Contrasts vs Lepidic Reference: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Solid vs Lepidic</w:t>
            </w:r>
          </w:p>
        </w:tc>
        <w:tc>
          <w:tcPr/>
          <w:p>
            <w:pPr>
              <w:pStyle w:val="Compact"/>
              <w:jc w:val="center"/>
            </w:pPr>
            <w:r>
              <w:rPr>
                <w:b/>
                <w:bCs/>
              </w:rPr>
              <w:t xml:space="preserve">7.82</w:t>
            </w:r>
          </w:p>
        </w:tc>
        <w:tc>
          <w:tcPr/>
          <w:p>
            <w:pPr>
              <w:pStyle w:val="Compact"/>
              <w:jc w:val="center"/>
            </w:pPr>
            <w:r>
              <w:t xml:space="preserve">2.60 – 23.55</w:t>
            </w:r>
          </w:p>
        </w:tc>
        <w:tc>
          <w:tcPr/>
          <w:p>
            <w:pPr>
              <w:pStyle w:val="Compact"/>
              <w:jc w:val="center"/>
            </w:pPr>
            <m:oMath>
              <m:r>
                <m:t>0.0003</m:t>
              </m:r>
            </m:oMath>
          </w:p>
        </w:tc>
        <w:tc>
          <w:tcPr/>
          <w:p>
            <w:pPr>
              <w:pStyle w:val="Compact"/>
              <w:jc w:val="center"/>
            </w:pPr>
            <w:r>
              <w:rPr>
                <w:b/>
                <w:bCs/>
              </w:rPr>
              <w:t xml:space="preserve">0.003</w:t>
            </w:r>
          </w:p>
        </w:tc>
      </w:tr>
      <w:tr>
        <w:tc>
          <w:tcPr/>
          <w:p>
            <w:pPr>
              <w:pStyle w:val="Compact"/>
              <w:jc w:val="left"/>
            </w:pPr>
            <w:r>
              <w:t xml:space="preserve">- Papillary vs Lepidic</w:t>
            </w:r>
          </w:p>
        </w:tc>
        <w:tc>
          <w:tcPr/>
          <w:p>
            <w:pPr>
              <w:pStyle w:val="Compact"/>
              <w:jc w:val="center"/>
            </w:pPr>
            <w:r>
              <w:rPr>
                <w:b/>
                <w:bCs/>
              </w:rPr>
              <w:t xml:space="preserve">6.07</w:t>
            </w:r>
          </w:p>
        </w:tc>
        <w:tc>
          <w:tcPr/>
          <w:p>
            <w:pPr>
              <w:pStyle w:val="Compact"/>
              <w:jc w:val="center"/>
            </w:pPr>
            <w:r>
              <w:t xml:space="preserve">1.91 – 19.32</w:t>
            </w:r>
          </w:p>
        </w:tc>
        <w:tc>
          <w:tcPr/>
          <w:p>
            <w:pPr>
              <w:pStyle w:val="Compact"/>
              <w:jc w:val="center"/>
            </w:pPr>
            <m:oMath>
              <m:r>
                <m:t>0.0020</m:t>
              </m:r>
            </m:oMath>
          </w:p>
        </w:tc>
        <w:tc>
          <w:tcPr/>
          <w:p>
            <w:pPr>
              <w:pStyle w:val="Compact"/>
              <w:jc w:val="center"/>
            </w:pPr>
            <w:r>
              <w:rPr>
                <w:b/>
                <w:bCs/>
              </w:rPr>
              <w:t xml:space="preserve">0.020</w:t>
            </w:r>
          </w:p>
        </w:tc>
      </w:tr>
      <w:tr>
        <w:tc>
          <w:tcPr/>
          <w:p>
            <w:pPr>
              <w:pStyle w:val="Compact"/>
              <w:jc w:val="left"/>
            </w:pPr>
            <w:r>
              <w:t xml:space="preserve">- Acinar vs Lepidic</w:t>
            </w:r>
          </w:p>
        </w:tc>
        <w:tc>
          <w:tcPr/>
          <w:p>
            <w:pPr>
              <w:pStyle w:val="Compact"/>
              <w:jc w:val="center"/>
            </w:pPr>
            <w:r>
              <w:rPr>
                <w:b/>
                <w:bCs/>
              </w:rPr>
              <w:t xml:space="preserve">3.94</w:t>
            </w:r>
          </w:p>
        </w:tc>
        <w:tc>
          <w:tcPr/>
          <w:p>
            <w:pPr>
              <w:pStyle w:val="Compact"/>
              <w:jc w:val="center"/>
            </w:pPr>
            <w:r>
              <w:t xml:space="preserve">1.41 – 10.97</w:t>
            </w:r>
          </w:p>
        </w:tc>
        <w:tc>
          <w:tcPr/>
          <w:p>
            <w:pPr>
              <w:pStyle w:val="Compact"/>
              <w:jc w:val="center"/>
            </w:pPr>
            <m:oMath>
              <m:r>
                <m:t>0.0090</m:t>
              </m:r>
            </m:oMath>
          </w:p>
        </w:tc>
        <w:tc>
          <w:tcPr/>
          <w:p>
            <w:pPr>
              <w:pStyle w:val="Compact"/>
              <w:jc w:val="center"/>
            </w:pPr>
            <w:r>
              <w:rPr>
                <w:b/>
                <w:bCs/>
              </w:rPr>
              <w:t xml:space="preserve">0.070</w:t>
            </w:r>
          </w:p>
        </w:tc>
      </w:tr>
      <w:tr>
        <w:tc>
          <w:tcPr/>
          <w:p>
            <w:pPr>
              <w:pStyle w:val="Compact"/>
              <w:jc w:val="left"/>
            </w:pPr>
            <w:r>
              <w:t xml:space="preserve">- Micropapillary vs Lepidic</w:t>
            </w:r>
          </w:p>
        </w:tc>
        <w:tc>
          <w:tcPr/>
          <w:p>
            <w:pPr>
              <w:pStyle w:val="Compact"/>
              <w:jc w:val="center"/>
            </w:pPr>
            <w:r>
              <w:rPr>
                <w:b/>
                <w:bCs/>
              </w:rPr>
              <w:t xml:space="preserve">3.85</w:t>
            </w:r>
          </w:p>
        </w:tc>
        <w:tc>
          <w:tcPr/>
          <w:p>
            <w:pPr>
              <w:pStyle w:val="Compact"/>
              <w:jc w:val="center"/>
            </w:pPr>
            <w:r>
              <w:t xml:space="preserve">0.97 – 15.34</w:t>
            </w:r>
          </w:p>
        </w:tc>
        <w:tc>
          <w:tcPr/>
          <w:p>
            <w:pPr>
              <w:pStyle w:val="Compact"/>
              <w:jc w:val="center"/>
            </w:pPr>
            <m:oMath>
              <m:r>
                <m:t>0.0560</m:t>
              </m:r>
            </m:oMath>
          </w:p>
        </w:tc>
        <w:tc>
          <w:tcPr/>
          <w:p>
            <w:pPr>
              <w:pStyle w:val="Compact"/>
              <w:jc w:val="center"/>
            </w:pPr>
            <w:r>
              <w:t xml:space="preserve">0.390</w:t>
            </w:r>
          </w:p>
        </w:tc>
      </w:tr>
      <w:tr>
        <w:tc>
          <w:tcPr/>
          <w:p>
            <w:pPr>
              <w:pStyle w:val="Compact"/>
              <w:jc w:val="left"/>
            </w:pPr>
            <w:r>
              <w:rPr>
                <w:b/>
                <w:bCs/>
              </w:rPr>
              <w:t xml:space="preserve">Composite Architectural Contrasts: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Solid/Micro vs Lepidic (</w:t>
            </w:r>
            <m:oMath>
              <m:r>
                <m:t>N</m:t>
              </m:r>
              <m:r>
                <m:rPr>
                  <m:sty m:val="p"/>
                </m:rPr>
                <m:t>=</m:t>
              </m:r>
              <m:r>
                <m:t>193</m:t>
              </m:r>
            </m:oMath>
            <w:r>
              <w:t xml:space="preserve">, 33 events)</w:t>
            </w:r>
          </w:p>
        </w:tc>
        <w:tc>
          <w:tcPr/>
          <w:p>
            <w:pPr>
              <w:pStyle w:val="Compact"/>
              <w:jc w:val="center"/>
            </w:pPr>
            <w:r>
              <w:rPr>
                <w:b/>
                <w:bCs/>
              </w:rPr>
              <w:t xml:space="preserve">6.75</w:t>
            </w:r>
          </w:p>
        </w:tc>
        <w:tc>
          <w:tcPr/>
          <w:p>
            <w:pPr>
              <w:pStyle w:val="Compact"/>
              <w:jc w:val="center"/>
            </w:pPr>
            <w:r>
              <w:t xml:space="preserve">2.28 – 19.97</w:t>
            </w:r>
          </w:p>
        </w:tc>
        <w:tc>
          <w:tcPr/>
          <w:p>
            <w:pPr>
              <w:pStyle w:val="Compact"/>
              <w:jc w:val="center"/>
            </w:pPr>
            <m:oMath>
              <m:r>
                <m:rPr>
                  <m:sty m:val="p"/>
                </m:rPr>
                <m:t>&lt;</m:t>
              </m:r>
              <m:r>
                <m:t>0.001</m:t>
              </m:r>
            </m:oMath>
          </w:p>
        </w:tc>
        <w:tc>
          <w:tcPr/>
          <w:p>
            <w:pPr>
              <w:pStyle w:val="Compact"/>
              <w:jc w:val="center"/>
            </w:pPr>
            <w:r>
              <w:t xml:space="preserve">—</w:t>
            </w:r>
          </w:p>
        </w:tc>
      </w:tr>
      <w:tr>
        <w:tc>
          <w:tcPr/>
          <w:p>
            <w:pPr>
              <w:pStyle w:val="Compact"/>
              <w:jc w:val="left"/>
            </w:pPr>
            <w:r>
              <w:t xml:space="preserve">- …extended model (+ stage levels, sex, smoking,</w:t>
            </w:r>
            <w:r>
              <w:t xml:space="preserve"> </w:t>
            </w:r>
            <w:r>
              <w:rPr>
                <w:i/>
                <w:iCs/>
              </w:rPr>
              <w:t xml:space="preserve">EGFR</w:t>
            </w:r>
            <w:r>
              <w:t xml:space="preserve">)</w:t>
            </w:r>
          </w:p>
        </w:tc>
        <w:tc>
          <w:tcPr/>
          <w:p>
            <w:pPr>
              <w:pStyle w:val="Compact"/>
              <w:jc w:val="center"/>
            </w:pPr>
            <w:r>
              <w:rPr>
                <w:b/>
                <w:bCs/>
              </w:rPr>
              <w:t xml:space="preserve">7.15</w:t>
            </w:r>
          </w:p>
        </w:tc>
        <w:tc>
          <w:tcPr/>
          <w:p>
            <w:pPr>
              <w:pStyle w:val="Compact"/>
              <w:jc w:val="center"/>
            </w:pPr>
            <w:r>
              <w:t xml:space="preserve">2.40 – 21.33</w:t>
            </w:r>
          </w:p>
        </w:tc>
        <w:tc>
          <w:tcPr/>
          <w:p>
            <w:pPr>
              <w:pStyle w:val="Compact"/>
              <w:jc w:val="center"/>
            </w:pPr>
            <m:oMath>
              <m:r>
                <m:rPr>
                  <m:sty m:val="p"/>
                </m:rPr>
                <m:t>&lt;</m:t>
              </m:r>
              <m:r>
                <m:t>0.001</m:t>
              </m:r>
            </m:oMath>
          </w:p>
        </w:tc>
        <w:tc>
          <w:tcPr/>
          <w:p>
            <w:pPr>
              <w:pStyle w:val="Compact"/>
              <w:jc w:val="center"/>
            </w:pPr>
            <w:r>
              <w:t xml:space="preserve">—</w:t>
            </w:r>
          </w:p>
        </w:tc>
      </w:tr>
      <w:tr>
        <w:tc>
          <w:tcPr/>
          <w:p>
            <w:pPr>
              <w:pStyle w:val="Compact"/>
              <w:jc w:val="left"/>
            </w:pPr>
            <w:r>
              <w:t xml:space="preserve">- Solid/Micro vs All Others (</w:t>
            </w:r>
            <m:oMath>
              <m:r>
                <m:t>N</m:t>
              </m:r>
              <m:r>
                <m:rPr>
                  <m:sty m:val="p"/>
                </m:rPr>
                <m:t>=</m:t>
              </m:r>
              <m:r>
                <m:t>604</m:t>
              </m:r>
            </m:oMath>
            <w:r>
              <w:t xml:space="preserve">, 98 events)</w:t>
            </w:r>
          </w:p>
        </w:tc>
        <w:tc>
          <w:tcPr/>
          <w:p>
            <w:pPr>
              <w:pStyle w:val="Compact"/>
              <w:jc w:val="center"/>
            </w:pPr>
            <w:r>
              <w:rPr>
                <w:b/>
                <w:bCs/>
              </w:rPr>
              <w:t xml:space="preserve">1.32</w:t>
            </w:r>
          </w:p>
        </w:tc>
        <w:tc>
          <w:tcPr/>
          <w:p>
            <w:pPr>
              <w:pStyle w:val="Compact"/>
              <w:jc w:val="center"/>
            </w:pPr>
            <w:r>
              <w:t xml:space="preserve">0.83 – 2.08</w:t>
            </w:r>
          </w:p>
        </w:tc>
        <w:tc>
          <w:tcPr/>
          <w:p>
            <w:pPr>
              <w:pStyle w:val="Compact"/>
              <w:jc w:val="center"/>
            </w:pPr>
            <m:oMath>
              <m:r>
                <m:t>0.239</m:t>
              </m:r>
            </m:oMath>
          </w:p>
        </w:tc>
        <w:tc>
          <w:tcPr/>
          <w:p>
            <w:pPr>
              <w:pStyle w:val="Compact"/>
              <w:jc w:val="center"/>
            </w:pPr>
            <w:r>
              <w:t xml:space="preserve">—</w:t>
            </w:r>
          </w:p>
        </w:tc>
      </w:tr>
      <w:tr>
        <w:tc>
          <w:tcPr/>
          <w:p>
            <w:pPr>
              <w:pStyle w:val="Compact"/>
              <w:jc w:val="left"/>
            </w:pPr>
            <w:r>
              <w:t xml:space="preserve">- …plus</w:t>
            </w:r>
            <w:r>
              <w:t xml:space="preserve"> </w:t>
            </w:r>
            <w:r>
              <w:rPr>
                <w:i/>
                <w:iCs/>
              </w:rPr>
              <w:t xml:space="preserve">EGFR</w:t>
            </w:r>
            <w:r>
              <w:t xml:space="preserve"> </w:t>
            </w:r>
            <w:r>
              <w:t xml:space="preserve">mutation status (</w:t>
            </w:r>
            <m:oMath>
              <m:r>
                <m:t>N</m:t>
              </m:r>
              <m:r>
                <m:rPr>
                  <m:sty m:val="p"/>
                </m:rPr>
                <m:t>=</m:t>
              </m:r>
              <m:r>
                <m:t>604</m:t>
              </m:r>
            </m:oMath>
            <w:r>
              <w:t xml:space="preserve">)</w:t>
            </w:r>
          </w:p>
        </w:tc>
        <w:tc>
          <w:tcPr/>
          <w:p>
            <w:pPr>
              <w:pStyle w:val="Compact"/>
              <w:jc w:val="center"/>
            </w:pPr>
            <w:r>
              <w:rPr>
                <w:b/>
                <w:bCs/>
              </w:rPr>
              <w:t xml:space="preserve">1.30</w:t>
            </w:r>
          </w:p>
        </w:tc>
        <w:tc>
          <w:tcPr/>
          <w:p>
            <w:pPr>
              <w:pStyle w:val="Compact"/>
              <w:jc w:val="center"/>
            </w:pPr>
            <w:r>
              <w:t xml:space="preserve">0.82 – 2.07</w:t>
            </w:r>
          </w:p>
        </w:tc>
        <w:tc>
          <w:tcPr/>
          <w:p>
            <w:pPr>
              <w:pStyle w:val="Compact"/>
              <w:jc w:val="center"/>
            </w:pPr>
            <m:oMath>
              <m:r>
                <m:t>0.258</m:t>
              </m:r>
            </m:oMath>
          </w:p>
        </w:tc>
        <w:tc>
          <w:tcPr/>
          <w:p>
            <w:pPr>
              <w:pStyle w:val="Compact"/>
              <w:jc w:val="center"/>
            </w:pPr>
            <w:r>
              <w:t xml:space="preserve">—</w:t>
            </w:r>
          </w:p>
        </w:tc>
      </w:tr>
      <w:tr>
        <w:tc>
          <w:tcPr/>
          <w:p>
            <w:pPr>
              <w:pStyle w:val="Compact"/>
              <w:jc w:val="left"/>
            </w:pPr>
            <w:r>
              <w:rPr>
                <w:b/>
                <w:bCs/>
              </w:rPr>
              <w:t xml:space="preserve">5-Subtype Model (Acinar Reference):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Lepidic</w:t>
            </w:r>
          </w:p>
        </w:tc>
        <w:tc>
          <w:tcPr/>
          <w:p>
            <w:pPr>
              <w:pStyle w:val="Compact"/>
              <w:jc w:val="center"/>
            </w:pPr>
            <w:r>
              <w:rPr>
                <w:b/>
                <w:bCs/>
              </w:rPr>
              <w:t xml:space="preserve">0.25</w:t>
            </w:r>
          </w:p>
        </w:tc>
        <w:tc>
          <w:tcPr/>
          <w:p>
            <w:pPr>
              <w:pStyle w:val="Compact"/>
              <w:jc w:val="center"/>
            </w:pPr>
            <w:r>
              <w:t xml:space="preserve">0.09 – 0.70</w:t>
            </w:r>
          </w:p>
        </w:tc>
        <w:tc>
          <w:tcPr/>
          <w:p>
            <w:pPr>
              <w:pStyle w:val="Compact"/>
              <w:jc w:val="center"/>
            </w:pPr>
            <w:r>
              <w:rPr>
                <w:b/>
                <w:bCs/>
              </w:rPr>
              <w:t xml:space="preserve">0.0084</w:t>
            </w:r>
          </w:p>
        </w:tc>
        <w:tc>
          <w:tcPr/>
          <w:p>
            <w:pPr>
              <w:pStyle w:val="Compact"/>
              <w:jc w:val="center"/>
            </w:pPr>
            <w:r>
              <w:t xml:space="preserve">—</w:t>
            </w:r>
          </w:p>
        </w:tc>
      </w:tr>
      <w:tr>
        <w:tc>
          <w:tcPr/>
          <w:p>
            <w:pPr>
              <w:pStyle w:val="Compact"/>
              <w:jc w:val="left"/>
            </w:pPr>
            <w:r>
              <w:t xml:space="preserve">- Solid</w:t>
            </w:r>
          </w:p>
        </w:tc>
        <w:tc>
          <w:tcPr/>
          <w:p>
            <w:pPr>
              <w:pStyle w:val="Compact"/>
              <w:jc w:val="center"/>
            </w:pPr>
            <w:r>
              <w:rPr>
                <w:b/>
                <w:bCs/>
              </w:rPr>
              <w:t xml:space="preserve">1.48</w:t>
            </w:r>
          </w:p>
        </w:tc>
        <w:tc>
          <w:tcPr/>
          <w:p>
            <w:pPr>
              <w:pStyle w:val="Compact"/>
              <w:jc w:val="center"/>
            </w:pPr>
            <w:r>
              <w:t xml:space="preserve">0.89 – 2.49</w:t>
            </w:r>
          </w:p>
        </w:tc>
        <w:tc>
          <w:tcPr/>
          <w:p>
            <w:pPr>
              <w:pStyle w:val="Compact"/>
              <w:jc w:val="center"/>
            </w:pPr>
            <m:oMath>
              <m:r>
                <m:t>0.1330</m:t>
              </m:r>
            </m:oMath>
          </w:p>
        </w:tc>
        <w:tc>
          <w:tcPr/>
          <w:p>
            <w:pPr>
              <w:pStyle w:val="Compact"/>
              <w:jc w:val="center"/>
            </w:pPr>
            <w:r>
              <w:t xml:space="preserve">—</w:t>
            </w:r>
          </w:p>
        </w:tc>
      </w:tr>
      <w:tr>
        <w:tc>
          <w:tcPr/>
          <w:p>
            <w:pPr>
              <w:pStyle w:val="Compact"/>
              <w:jc w:val="left"/>
            </w:pPr>
            <w:r>
              <w:t xml:space="preserve">- Papillary</w:t>
            </w:r>
          </w:p>
        </w:tc>
        <w:tc>
          <w:tcPr/>
          <w:p>
            <w:pPr>
              <w:pStyle w:val="Compact"/>
              <w:jc w:val="center"/>
            </w:pPr>
            <w:r>
              <w:rPr>
                <w:b/>
                <w:bCs/>
              </w:rPr>
              <w:t xml:space="preserve">1.51</w:t>
            </w:r>
          </w:p>
        </w:tc>
        <w:tc>
          <w:tcPr/>
          <w:p>
            <w:pPr>
              <w:pStyle w:val="Compact"/>
              <w:jc w:val="center"/>
            </w:pPr>
            <w:r>
              <w:t xml:space="preserve">0.79 – 2.92</w:t>
            </w:r>
          </w:p>
        </w:tc>
        <w:tc>
          <w:tcPr/>
          <w:p>
            <w:pPr>
              <w:pStyle w:val="Compact"/>
              <w:jc w:val="center"/>
            </w:pPr>
            <m:oMath>
              <m:r>
                <m:t>0.2150</m:t>
              </m:r>
            </m:oMath>
          </w:p>
        </w:tc>
        <w:tc>
          <w:tcPr/>
          <w:p>
            <w:pPr>
              <w:pStyle w:val="Compact"/>
              <w:jc w:val="center"/>
            </w:pPr>
            <w:r>
              <w:t xml:space="preserve">—</w:t>
            </w:r>
          </w:p>
        </w:tc>
      </w:tr>
      <w:tr>
        <w:tc>
          <w:tcPr/>
          <w:p>
            <w:pPr>
              <w:pStyle w:val="Compact"/>
              <w:jc w:val="left"/>
            </w:pPr>
            <w:r>
              <w:t xml:space="preserve">- Micropapillary</w:t>
            </w:r>
          </w:p>
        </w:tc>
        <w:tc>
          <w:tcPr/>
          <w:p>
            <w:pPr>
              <w:pStyle w:val="Compact"/>
              <w:jc w:val="center"/>
            </w:pPr>
            <w:r>
              <w:rPr>
                <w:b/>
                <w:bCs/>
              </w:rPr>
              <w:t xml:space="preserve">0.74</w:t>
            </w:r>
          </w:p>
        </w:tc>
        <w:tc>
          <w:tcPr/>
          <w:p>
            <w:pPr>
              <w:pStyle w:val="Compact"/>
              <w:jc w:val="center"/>
            </w:pPr>
            <w:r>
              <w:t xml:space="preserve">0.33 – 1.66</w:t>
            </w:r>
          </w:p>
        </w:tc>
        <w:tc>
          <w:tcPr/>
          <w:p>
            <w:pPr>
              <w:pStyle w:val="Compact"/>
              <w:jc w:val="center"/>
            </w:pPr>
            <m:oMath>
              <m:r>
                <m:t>0.4680</m:t>
              </m:r>
            </m:oMath>
          </w:p>
        </w:tc>
        <w:tc>
          <w:tcPr/>
          <w:p>
            <w:pPr>
              <w:pStyle w:val="Compact"/>
              <w:jc w:val="center"/>
            </w:pPr>
            <w:r>
              <w:t xml:space="preserve">—</w:t>
            </w:r>
          </w:p>
        </w:tc>
      </w:tr>
      <w:tr>
        <w:tc>
          <w:tcPr/>
          <w:p>
            <w:pPr>
              <w:pStyle w:val="Compact"/>
              <w:jc w:val="left"/>
            </w:pPr>
            <w:r>
              <w:t xml:space="preserve">- Pathologic Stage II/III vs I</w:t>
            </w:r>
          </w:p>
        </w:tc>
        <w:tc>
          <w:tcPr/>
          <w:p>
            <w:pPr>
              <w:pStyle w:val="Compact"/>
              <w:jc w:val="center"/>
            </w:pPr>
            <w:r>
              <w:rPr>
                <w:b/>
                <w:bCs/>
              </w:rPr>
              <w:t xml:space="preserve">4.16</w:t>
            </w:r>
          </w:p>
        </w:tc>
        <w:tc>
          <w:tcPr/>
          <w:p>
            <w:pPr>
              <w:pStyle w:val="Compact"/>
              <w:jc w:val="center"/>
            </w:pPr>
            <w:r>
              <w:t xml:space="preserve">2.73 – 6.34</w:t>
            </w:r>
          </w:p>
        </w:tc>
        <w:tc>
          <w:tcPr/>
          <w:p>
            <w:pPr>
              <w:pStyle w:val="Compact"/>
              <w:jc w:val="center"/>
            </w:pPr>
            <m:oMath>
              <m:r>
                <m:rPr>
                  <m:sty m:val="p"/>
                </m:rPr>
                <m:t>&lt;</m:t>
              </m:r>
              <m:r>
                <m:t>0.001</m:t>
              </m:r>
            </m:oMath>
          </w:p>
        </w:tc>
        <w:tc>
          <w:tcPr/>
          <w:p>
            <w:pPr>
              <w:pStyle w:val="Compact"/>
              <w:jc w:val="center"/>
            </w:pPr>
            <w:r>
              <w:t xml:space="preserve">—</w:t>
            </w:r>
          </w:p>
        </w:tc>
      </w:tr>
    </w:tbl>
    <w:p>
      <w:pPr>
        <w:pStyle w:val="BodyText"/>
      </w:pPr>
      <w:r>
        <w:t xml:space="preserve">As detailed in</w:t>
      </w:r>
      <w:r>
        <w:t xml:space="preserve"> </w:t>
      </w:r>
      <w:r>
        <w:rPr>
          <w:b/>
          <w:bCs/>
        </w:rPr>
        <w:t xml:space="preserve">Table 5</w:t>
      </w:r>
      <w:r>
        <w:t xml:space="preserve">, the primary empirical finding from this cohort is that</w:t>
      </w:r>
      <w:r>
        <w:t xml:space="preserve"> </w:t>
      </w:r>
      <w:r>
        <w:rPr>
          <w:b/>
          <w:bCs/>
        </w:rPr>
        <w:t xml:space="preserve">lepidic histology is associated with a significantly lower recurrence hazard than any other subtype</w:t>
      </w:r>
      <w:r>
        <w:t xml:space="preserve"> </w:t>
      </w:r>
      <w:r>
        <w:t xml:space="preserve">(</w:t>
      </w:r>
      <m:oMath>
        <m:r>
          <m:t>H</m:t>
        </m:r>
        <m:r>
          <m:t>R</m:t>
        </m:r>
        <m:r>
          <m:rPr>
            <m:sty m:val="p"/>
          </m:rPr>
          <m:t>=</m:t>
        </m:r>
        <m:r>
          <m:t>0.25</m:t>
        </m:r>
        <m:r>
          <m:rPr>
            <m:sty m:val="p"/>
          </m:rPr>
          <m:t>,</m:t>
        </m:r>
        <m:r>
          <m:t>p</m:t>
        </m:r>
        <m:r>
          <m:rPr>
            <m:sty m:val="p"/>
          </m:rPr>
          <m:t>=</m:t>
        </m:r>
        <m:r>
          <m:t>0.0084</m:t>
        </m:r>
      </m:oMath>
      <w:r>
        <w:t xml:space="preserve"> </w:t>
      </w:r>
      <w:r>
        <w:t xml:space="preserve">vs acinar). Conversely, the data do not demonstrate an escalating risk gradient tracking compaction: solid (</w:t>
      </w:r>
      <m:oMath>
        <m:r>
          <m:t>H</m:t>
        </m:r>
        <m:r>
          <m:t>R</m:t>
        </m:r>
        <m:r>
          <m:rPr>
            <m:sty m:val="p"/>
          </m:rPr>
          <m:t>=</m:t>
        </m:r>
        <m:r>
          <m:t>1.48</m:t>
        </m:r>
        <m:r>
          <m:rPr>
            <m:sty m:val="p"/>
          </m:rPr>
          <m:t>,</m:t>
        </m:r>
        <m:r>
          <m:t>p</m:t>
        </m:r>
        <m:r>
          <m:rPr>
            <m:sty m:val="p"/>
          </m:rPr>
          <m:t>=</m:t>
        </m:r>
        <m:r>
          <m:t>0.133</m:t>
        </m:r>
      </m:oMath>
      <w:r>
        <w:t xml:space="preserve">) and papillary (</w:t>
      </w:r>
      <m:oMath>
        <m:r>
          <m:t>H</m:t>
        </m:r>
        <m:r>
          <m:t>R</m:t>
        </m:r>
        <m:r>
          <m:rPr>
            <m:sty m:val="p"/>
          </m:rPr>
          <m:t>=</m:t>
        </m:r>
        <m:r>
          <m:t>1.51</m:t>
        </m:r>
        <m:r>
          <m:rPr>
            <m:sty m:val="p"/>
          </m:rPr>
          <m:t>,</m:t>
        </m:r>
        <m:r>
          <m:t>p</m:t>
        </m:r>
        <m:r>
          <m:rPr>
            <m:sty m:val="p"/>
          </m:rPr>
          <m:t>=</m:t>
        </m:r>
        <m:r>
          <m:t>0.215</m:t>
        </m:r>
      </m:oMath>
      <w:r>
        <w:t xml:space="preserve">) do not differ significantly from acinar, and micropapillary histology exhibits an adjusted</w:t>
      </w:r>
      <w:r>
        <w:t xml:space="preserve"> </w:t>
      </w:r>
      <m:oMath>
        <m:r>
          <m:t>H</m:t>
        </m:r>
        <m:r>
          <m:t>R</m:t>
        </m:r>
        <m:r>
          <m:rPr>
            <m:sty m:val="p"/>
          </m:rPr>
          <m:t>=</m:t>
        </m:r>
        <m:r>
          <m:t>0.74</m:t>
        </m:r>
      </m:oMath>
      <w:r>
        <w:t xml:space="preserve"> </w:t>
      </w:r>
      <w:r>
        <w:t xml:space="preserve">(</w:t>
      </w:r>
      <m:oMath>
        <m:r>
          <m:t>p</m:t>
        </m:r>
        <m:r>
          <m:rPr>
            <m:sty m:val="p"/>
          </m:rPr>
          <m:t>=</m:t>
        </m:r>
        <m:r>
          <m:t>0.468</m:t>
        </m:r>
      </m:oMath>
      <w:r>
        <w:t xml:space="preserve">). Grouping solid and micropapillary patterns as a single high-sanctuary class is therefore not empirically supported by intra-cohort risk separation.</w:t>
      </w:r>
    </w:p>
    <w:bookmarkEnd w:id="47"/>
    <w:bookmarkEnd w:id="48"/>
    <w:bookmarkStart w:id="49" w:name="X4cd16d5852c24ea6daa9783ce603b62d627bea8"/>
    <w:p>
      <w:pPr>
        <w:pStyle w:val="Heading3"/>
      </w:pPr>
      <w:r>
        <w:t xml:space="preserve">4.3 Robustness &amp; Limitations of the Headline Contrast</w:t>
      </w:r>
    </w:p>
    <w:p>
      <w:pPr>
        <w:pStyle w:val="FirstParagraph"/>
      </w:pPr>
      <w:r>
        <w:t xml:space="preserve">The headline contrast comparing solid/micropapillary against lepidic architecture (</w:t>
      </w:r>
      <m:oMath>
        <m:r>
          <m:t>H</m:t>
        </m:r>
        <m:r>
          <m:t>R</m:t>
        </m:r>
        <m:r>
          <m:rPr>
            <m:sty m:val="p"/>
          </m:rPr>
          <m:t>=</m:t>
        </m:r>
        <m:r>
          <m:t>6.75</m:t>
        </m:r>
        <m:r>
          <m:rPr>
            <m:sty m:val="p"/>
          </m:rPr>
          <m:t>,</m:t>
        </m:r>
        <m:r>
          <m:t>95</m:t>
        </m:r>
        <m:r>
          <m:rPr>
            <m:sty m:val="p"/>
          </m:rPr>
          <m:t>%</m:t>
        </m:r>
        <m:r>
          <m:rPr>
            <m:nor/>
            <m:sty m:val="p"/>
          </m:rPr>
          <m:t> CI: </m:t>
        </m:r>
        <m:r>
          <m:t>2.28</m:t>
        </m:r>
        <m:r>
          <m:rPr>
            <m:nor/>
            <m:sty m:val="p"/>
          </m:rPr>
          <m:t>–</m:t>
        </m:r>
        <m:r>
          <m:t>19.97</m:t>
        </m:r>
      </m:oMath>
      <w:r>
        <w:t xml:space="preserve">) rests upon only 4 recurrence events in the lepidic reference group. Bootstrap resampling (500 iterations) yielded a median HR of 6.9 and a 2.5th percentile of 2.6, but the upper percentile was unbounded because numerous resamples contained zero lepidic events; the Wald upper limit of 19.97 is therefore statistically unstable. Truncating follow-up at 36 months yielded</w:t>
      </w:r>
      <w:r>
        <w:t xml:space="preserve"> </w:t>
      </w:r>
      <m:oMath>
        <m:r>
          <m:t>H</m:t>
        </m:r>
        <m:r>
          <m:t>R</m:t>
        </m:r>
        <m:r>
          <m:rPr>
            <m:sty m:val="p"/>
          </m:rPr>
          <m:t>=</m:t>
        </m:r>
        <m:r>
          <m:t>6.11</m:t>
        </m:r>
      </m:oMath>
      <w:r>
        <w:t xml:space="preserve"> </w:t>
      </w:r>
      <w:r>
        <w:t xml:space="preserve">(95% CI: 2.04–18.31; 30 events); at 24 months,</w:t>
      </w:r>
      <w:r>
        <w:t xml:space="preserve"> </w:t>
      </w:r>
      <m:oMath>
        <m:r>
          <m:t>H</m:t>
        </m:r>
        <m:r>
          <m:t>R</m:t>
        </m:r>
        <m:r>
          <m:rPr>
            <m:sty m:val="p"/>
          </m:rPr>
          <m:t>=</m:t>
        </m:r>
        <m:r>
          <m:t>23.8</m:t>
        </m:r>
      </m:oMath>
      <w:r>
        <w:t xml:space="preserve"> </w:t>
      </w:r>
      <w:r>
        <w:t xml:space="preserve">(95% CI: 3.14–180.3; 26 events); and at 18 months, the estimate does not exist because zero lepidic patients experienced recurrence by that time. Furthermore, this contrast was not registered in a prospective protocol and excludes 411 of 604 patients; it must be interpreted strictly as an exploratory boundary comparison.</w:t>
      </w:r>
    </w:p>
    <w:p>
      <w:pPr>
        <w:pStyle w:val="BodyText"/>
      </w:pPr>
      <w:r>
        <w:t xml:space="preserve">In the confirmed</w:t>
      </w:r>
      <w:r>
        <w:t xml:space="preserve"> </w:t>
      </w:r>
      <w:r>
        <w:rPr>
          <w:i/>
          <w:iCs/>
        </w:rPr>
        <w:t xml:space="preserve">EGFR</w:t>
      </w:r>
      <w:r>
        <w:t xml:space="preserve">-mutant subpopulation (</w:t>
      </w:r>
      <m:oMath>
        <m:r>
          <m:t>N</m:t>
        </m:r>
        <m:r>
          <m:rPr>
            <m:sty m:val="p"/>
          </m:rPr>
          <m:t>=</m:t>
        </m:r>
        <m:r>
          <m:t>182</m:t>
        </m:r>
        <m:r>
          <m:rPr>
            <m:sty m:val="p"/>
          </m:rPr>
          <m:t>,</m:t>
        </m:r>
        <m:r>
          <m:t>26</m:t>
        </m:r>
        <m:r>
          <m:rPr>
            <m:nor/>
            <m:sty m:val="p"/>
          </m:rPr>
          <m:t> events</m:t>
        </m:r>
      </m:oMath>
      <w:r>
        <w:t xml:space="preserve">), recurrence occurred in 4 of 18 solid/micropapillary patients (22.2%) versus 22 of 164 other patients (13.4%; univariable log-rank</w:t>
      </w:r>
      <w:r>
        <w:t xml:space="preserve"> </w:t>
      </w:r>
      <m:oMath>
        <m:r>
          <m:t>p</m:t>
        </m:r>
        <m:r>
          <m:rPr>
            <m:sty m:val="p"/>
          </m:rPr>
          <m:t>=</m:t>
        </m:r>
        <m:r>
          <m:t>0.112</m:t>
        </m:r>
      </m:oMath>
      <w:r>
        <w:t xml:space="preserve">). Restricting to solid/micropapillary versus lepidic (</w:t>
      </w:r>
      <m:oMath>
        <m:r>
          <m:t>N</m:t>
        </m:r>
        <m:r>
          <m:rPr>
            <m:sty m:val="p"/>
          </m:rPr>
          <m:t>=</m:t>
        </m:r>
        <m:r>
          <m:t>56</m:t>
        </m:r>
        <m:r>
          <m:rPr>
            <m:sty m:val="p"/>
          </m:rPr>
          <m:t>,</m:t>
        </m:r>
        <m:r>
          <m:t>6</m:t>
        </m:r>
        <m:r>
          <m:rPr>
            <m:nor/>
            <m:sty m:val="p"/>
          </m:rPr>
          <m:t> events</m:t>
        </m:r>
      </m:oMath>
      <w:r>
        <w:t xml:space="preserve">) yielded an apparent univariable log-rank</w:t>
      </w:r>
      <w:r>
        <w:t xml:space="preserve"> </w:t>
      </w:r>
      <m:oMath>
        <m:r>
          <m:t>p</m:t>
        </m:r>
        <m:r>
          <m:rPr>
            <m:sty m:val="p"/>
          </m:rPr>
          <m:t>=</m:t>
        </m:r>
        <m:r>
          <m:t>0.021</m:t>
        </m:r>
      </m:oMath>
      <w:r>
        <w:t xml:space="preserve">. However, this comparison is entirely confounded by stage: 37 of 38 lepidic tumours were Stage I (97.4%), whereas 11 of 18 solid/micropapillary tumours were Stage II/III (61.1%). After adjusting for pathologic stage, the hazard ratio collapsed to</w:t>
      </w:r>
      <w:r>
        <w:t xml:space="preserve"> </w:t>
      </w:r>
      <m:oMath>
        <m:r>
          <m:t>H</m:t>
        </m:r>
        <m:r>
          <m:t>R</m:t>
        </m:r>
        <m:r>
          <m:rPr>
            <m:sty m:val="p"/>
          </m:rPr>
          <m:t>=</m:t>
        </m:r>
        <m:r>
          <m:t>1.10</m:t>
        </m:r>
      </m:oMath>
      <w:r>
        <w:t xml:space="preserve"> </w:t>
      </w:r>
      <w:r>
        <w:t xml:space="preserve">(</w:t>
      </w:r>
      <m:oMath>
        <m:r>
          <m:t>95</m:t>
        </m:r>
        <m:r>
          <m:rPr>
            <m:sty m:val="p"/>
          </m:rPr>
          <m:t>%</m:t>
        </m:r>
        <m:r>
          <m:rPr>
            <m:nor/>
            <m:sty m:val="p"/>
          </m:rPr>
          <m:t> CI: </m:t>
        </m:r>
        <m:r>
          <m:t>0.06</m:t>
        </m:r>
        <m:r>
          <m:rPr>
            <m:nor/>
            <m:sty m:val="p"/>
          </m:rPr>
          <m:t>–</m:t>
        </m:r>
        <m:r>
          <m:t>19.97</m:t>
        </m:r>
        <m:r>
          <m:rPr>
            <m:sty m:val="p"/>
          </m:rPr>
          <m:t>,</m:t>
        </m:r>
        <m:r>
          <m:t>p</m:t>
        </m:r>
        <m:r>
          <m:rPr>
            <m:sty m:val="p"/>
          </m:rPr>
          <m:t>=</m:t>
        </m:r>
        <m:r>
          <m:t>0.947</m:t>
        </m:r>
      </m:oMath>
      <w:r>
        <w:t xml:space="preserve">). The</w:t>
      </w:r>
      <w:r>
        <w:t xml:space="preserve"> </w:t>
      </w:r>
      <w:r>
        <w:rPr>
          <w:i/>
          <w:iCs/>
        </w:rPr>
        <w:t xml:space="preserve">EGFR</w:t>
      </w:r>
      <w:r>
        <w:t xml:space="preserve">-mutant subgroup is underpowered and uninformative.</w:t>
      </w:r>
    </w:p>
    <w:p>
      <w:r>
        <w:pict>
          <v:rect style="width:0;height:1.5pt" o:hralign="center" o:hrstd="t" o:hr="t"/>
        </w:pict>
      </w:r>
    </w:p>
    <w:bookmarkEnd w:id="49"/>
    <w:bookmarkEnd w:id="50"/>
    <w:bookmarkStart w:id="54" w:name="discussion"/>
    <w:p>
      <w:pPr>
        <w:pStyle w:val="Heading2"/>
      </w:pPr>
      <w:r>
        <w:t xml:space="preserve">5. Discussion</w:t>
      </w:r>
    </w:p>
    <w:bookmarkStart w:id="51" w:name="what-is-supported-by-the-data"/>
    <w:p>
      <w:pPr>
        <w:pStyle w:val="Heading3"/>
      </w:pPr>
      <w:r>
        <w:t xml:space="preserve">5.1 What is Supported by the Data</w:t>
      </w:r>
    </w:p>
    <w:p>
      <w:pPr>
        <w:pStyle w:val="Compact"/>
        <w:numPr>
          <w:ilvl w:val="0"/>
          <w:numId w:val="1002"/>
        </w:numPr>
      </w:pPr>
      <w:r>
        <w:rPr>
          <w:b/>
          <w:bCs/>
        </w:rPr>
        <w:t xml:space="preserve">Perivascular Cords Support Pharmacological Sanctuaries:</w:t>
      </w:r>
      <w:r>
        <w:t xml:space="preserve"> </w:t>
      </w:r>
      <w:r>
        <w:t xml:space="preserve">Within exact steady-state reaction–diffusion physics, a sub-inhibitory but oxygenated perivascular shell (</w:t>
      </w:r>
      <m:oMath>
        <m:sSub>
          <m:e>
            <m:r>
              <m:t>r</m:t>
            </m:r>
          </m:e>
          <m:sub>
            <m:r>
              <m:rPr>
                <m:nor/>
                <m:sty m:val="p"/>
              </m:rPr>
              <m:t>crit</m:t>
            </m:r>
          </m:sub>
        </m:sSub>
        <m:r>
          <m:rPr>
            <m:sty m:val="p"/>
          </m:rPr>
          <m:t>&lt;</m:t>
        </m:r>
        <m:r>
          <m:t>r</m:t>
        </m:r>
        <m:r>
          <m:rPr>
            <m:sty m:val="p"/>
          </m:rPr>
          <m:t>&lt;</m:t>
        </m:r>
        <m:sSub>
          <m:e>
            <m:r>
              <m:t>r</m:t>
            </m:r>
          </m:e>
          <m:sub>
            <m:r>
              <m:rPr>
                <m:nor/>
                <m:sty m:val="p"/>
              </m:rPr>
              <m:t>ox</m:t>
            </m:r>
          </m:sub>
        </m:sSub>
      </m:oMath>
      <w:r>
        <w:t xml:space="preserve">) can exist around a central microvessel. For baseline osimertinib parameters, a viable shell of width</w:t>
      </w:r>
      <w:r>
        <w:t xml:space="preserve"> </w:t>
      </w:r>
      <m:oMath>
        <m:r>
          <m:t>Δ</m:t>
        </m:r>
        <m:r>
          <m:t>r</m:t>
        </m:r>
        <m:r>
          <m:rPr>
            <m:sty m:val="p"/>
          </m:rPr>
          <m:t>=</m:t>
        </m:r>
        <m:r>
          <m:t>34.1</m:t>
        </m:r>
        <m:r>
          <m:t> </m:t>
        </m:r>
        <m:r>
          <m:t>μ</m:t>
        </m:r>
        <m:r>
          <m:rPr>
            <m:nor/>
            <m:sty m:val="p"/>
          </m:rPr>
          <m:t>m</m:t>
        </m:r>
      </m:oMath>
      <w:r>
        <w:t xml:space="preserve"> </w:t>
      </w:r>
      <w:r>
        <w:t xml:space="preserve">exists, but collapses under moderate, jointly unfavorable parameter variations (</w:t>
      </w:r>
      <m:oMath>
        <m:r>
          <m:t>D</m:t>
        </m:r>
        <m:r>
          <m:rPr>
            <m:sty m:val="p"/>
          </m:rPr>
          <m:t>+</m:t>
        </m:r>
        <m:r>
          <m:t>30</m:t>
        </m:r>
        <m:r>
          <m:rPr>
            <m:sty m:val="p"/>
          </m:rPr>
          <m:t>%</m:t>
        </m:r>
      </m:oMath>
      <w:r>
        <w:t xml:space="preserve"> </w:t>
      </w:r>
      <w:r>
        <w:t xml:space="preserve">and</w:t>
      </w:r>
      <w:r>
        <w:t xml:space="preserve"> </w:t>
      </w:r>
      <m:oMath>
        <m:r>
          <m:t>k</m:t>
        </m:r>
        <m:r>
          <m:rPr>
            <m:sty m:val="p"/>
          </m:rPr>
          <m:t>−</m:t>
        </m:r>
        <m:r>
          <m:t>30</m:t>
        </m:r>
        <m:r>
          <m:rPr>
            <m:sty m:val="p"/>
          </m:rPr>
          <m:t>%</m:t>
        </m:r>
      </m:oMath>
      <w:r>
        <w:t xml:space="preserve">) or in cords with oxygen limits</w:t>
      </w:r>
      <w:r>
        <w:t xml:space="preserve"> </w:t>
      </w:r>
      <m:oMath>
        <m:sSub>
          <m:e>
            <m:r>
              <m:t>r</m:t>
            </m:r>
          </m:e>
          <m:sub>
            <m:r>
              <m:rPr>
                <m:nor/>
                <m:sty m:val="p"/>
              </m:rPr>
              <m:t>ox</m:t>
            </m:r>
          </m:sub>
        </m:sSub>
        <m:r>
          <m:rPr>
            <m:sty m:val="p"/>
          </m:rPr>
          <m:t>≤</m:t>
        </m:r>
        <m:r>
          <m:t>165.9</m:t>
        </m:r>
        <m:r>
          <m:t> </m:t>
        </m:r>
        <m:r>
          <m:t>μ</m:t>
        </m:r>
        <m:r>
          <m:rPr>
            <m:nor/>
            <m:sty m:val="p"/>
          </m:rPr>
          <m:t>m</m:t>
        </m:r>
      </m:oMath>
      <w:r>
        <w:t xml:space="preserve">.</w:t>
      </w:r>
    </w:p>
    <w:p>
      <w:pPr>
        <w:pStyle w:val="Compact"/>
        <w:numPr>
          <w:ilvl w:val="0"/>
          <w:numId w:val="1002"/>
        </w:numPr>
      </w:pPr>
      <w:r>
        <w:rPr>
          <w:b/>
          <w:bCs/>
        </w:rPr>
        <w:t xml:space="preserve">Avascular Nests Do Not Shelter Small-Molecule TKIs:</w:t>
      </w:r>
      <w:r>
        <w:t xml:space="preserve"> </w:t>
      </w:r>
      <w:r>
        <w:t xml:space="preserve">In inward cylindrical diffusion, osimertinib penetrates almost completely to the center (</w:t>
      </w:r>
      <m:oMath>
        <m:r>
          <m:t>90.6</m:t>
        </m:r>
        <m:r>
          <m:rPr>
            <m:sty m:val="p"/>
          </m:rPr>
          <m:t>%</m:t>
        </m:r>
        <m:r>
          <m:rPr>
            <m:nor/>
            <m:sty m:val="p"/>
          </m:rPr>
          <m:t>–</m:t>
        </m:r>
        <m:r>
          <m:t>99.4</m:t>
        </m:r>
        <m:r>
          <m:rPr>
            <m:sty m:val="p"/>
          </m:rPr>
          <m:t>%</m:t>
        </m:r>
      </m:oMath>
      <w:r>
        <w:t xml:space="preserve">), proving that avascular solid nests do not establish pharmacological sanctuaries for small molecules under physiological uptake rates.</w:t>
      </w:r>
    </w:p>
    <w:p>
      <w:pPr>
        <w:pStyle w:val="Compact"/>
        <w:numPr>
          <w:ilvl w:val="0"/>
          <w:numId w:val="1002"/>
        </w:numPr>
      </w:pPr>
      <w:r>
        <w:rPr>
          <w:b/>
          <w:bCs/>
        </w:rPr>
        <w:t xml:space="preserve">Lead Time is an Invariant Doubling Identity:</w:t>
      </w:r>
      <w:r>
        <w:t xml:space="preserve"> </w:t>
      </w:r>
      <w:r>
        <w:t xml:space="preserve">The ctDNA-to-imaging lead time is analytically determined by clonal doubling kinetics (</w:t>
      </w:r>
      <m:oMath>
        <m:r>
          <m:t>Δ</m:t>
        </m:r>
        <m:r>
          <m:t>t</m:t>
        </m:r>
        <m:r>
          <m:rPr>
            <m:sty m:val="p"/>
          </m:rPr>
          <m:t>=</m:t>
        </m:r>
        <m:r>
          <m:t>6.6439</m:t>
        </m:r>
        <m:r>
          <m:rPr>
            <m:sty m:val="p"/>
          </m:rPr>
          <m:t>⋅</m:t>
        </m:r>
        <m:sSub>
          <m:e>
            <m:r>
              <m:t>T</m:t>
            </m:r>
          </m:e>
          <m:sub>
            <m:r>
              <m:t>s</m:t>
            </m:r>
          </m:sub>
        </m:sSub>
      </m:oMath>
      <w:r>
        <w:t xml:space="preserve">), rather than spatial sanctuary parameters.</w:t>
      </w:r>
    </w:p>
    <w:p>
      <w:pPr>
        <w:pStyle w:val="Compact"/>
        <w:numPr>
          <w:ilvl w:val="0"/>
          <w:numId w:val="1002"/>
        </w:numPr>
      </w:pPr>
      <w:r>
        <w:rPr>
          <w:b/>
          <w:bCs/>
        </w:rPr>
        <w:t xml:space="preserve">Lepidic Architecture Confers Strong Baseline Protection:</w:t>
      </w:r>
      <w:r>
        <w:t xml:space="preserve"> </w:t>
      </w:r>
      <w:r>
        <w:t xml:space="preserve">In resected lung adenocarcinoma, lepidic growth is an independent marker of favorable prognosis (</w:t>
      </w:r>
      <m:oMath>
        <m:r>
          <m:t>H</m:t>
        </m:r>
        <m:r>
          <m:t>R</m:t>
        </m:r>
        <m:r>
          <m:rPr>
            <m:sty m:val="p"/>
          </m:rPr>
          <m:t>=</m:t>
        </m:r>
        <m:r>
          <m:t>0.25</m:t>
        </m:r>
        <m:r>
          <m:rPr>
            <m:sty m:val="p"/>
          </m:rPr>
          <m:t>,</m:t>
        </m:r>
        <m:r>
          <m:t>p</m:t>
        </m:r>
        <m:r>
          <m:rPr>
            <m:sty m:val="p"/>
          </m:rPr>
          <m:t>=</m:t>
        </m:r>
        <m:r>
          <m:t>0.0084</m:t>
        </m:r>
      </m:oMath>
      <w:r>
        <w:t xml:space="preserve">).</w:t>
      </w:r>
    </w:p>
    <w:bookmarkEnd w:id="51"/>
    <w:bookmarkStart w:id="52" w:name="what-is-not-supported-clinical-cautions"/>
    <w:p>
      <w:pPr>
        <w:pStyle w:val="Heading3"/>
      </w:pPr>
      <w:r>
        <w:t xml:space="preserve">5.2 What is Not Supported &amp; Clinical Cautions</w:t>
      </w:r>
    </w:p>
    <w:p>
      <w:pPr>
        <w:pStyle w:val="FirstParagraph"/>
      </w:pPr>
      <w:r>
        <w:t xml:space="preserve">The empirical data do not prove that tissue compaction causes non-mutational persistence, that biophysical sanctuaries explain post-ADAURA relapses, that histologic subtypes predict post-osimertinib recurrence, or that ctDNA monitoring improves patient survival. Intercepting relapses in the molecular-only phase incurs a risk of</w:t>
      </w:r>
      <w:r>
        <w:t xml:space="preserve"> </w:t>
      </w:r>
      <w:r>
        <w:rPr>
          <w:b/>
          <w:bCs/>
        </w:rPr>
        <w:t xml:space="preserve">lead-time bias</w:t>
      </w:r>
      <w:r>
        <w:t xml:space="preserve">: an apparent prolongation of time-to-recurrence does not automatically confer an overall survival benefit unless prospective randomized trials demonstrate that preemptive treatment alteration alters clinical trajectory. The</w:t>
      </w:r>
      <w:r>
        <w:t xml:space="preserve"> </w:t>
      </w:r>
      <m:oMath>
        <m:r>
          <m:rPr>
            <m:sty m:val="p"/>
          </m:rPr>
          <m:t>≥</m:t>
        </m:r>
        <m:r>
          <m:t>20</m:t>
        </m:r>
        <m:r>
          <m:rPr>
            <m:sty m:val="p"/>
          </m:rPr>
          <m:t>%</m:t>
        </m:r>
      </m:oMath>
      <w:r>
        <w:t xml:space="preserve"> </w:t>
      </w:r>
      <w:r>
        <w:t xml:space="preserve">high-grade pattern cutoff defined by the IASLC Pathology Committee (Moreira et al.,</w:t>
      </w:r>
      <w:r>
        <w:t xml:space="preserve"> </w:t>
      </w:r>
      <w:r>
        <w:rPr>
          <w:i/>
          <w:iCs/>
        </w:rPr>
        <w:t xml:space="preserve">J Thorac Oncol</w:t>
      </w:r>
      <w:r>
        <w:t xml:space="preserve"> </w:t>
      </w:r>
      <w:r>
        <w:t xml:space="preserve">2020 [16]) is validated for post-surgical prognosis, not for ctDNA surveillance intervals. We therefore provide no clinical directives.</w:t>
      </w:r>
    </w:p>
    <w:bookmarkEnd w:id="52"/>
    <w:bookmarkStart w:id="53" w:name="testable-experimental-predictions"/>
    <w:p>
      <w:pPr>
        <w:pStyle w:val="Heading3"/>
      </w:pPr>
      <w:r>
        <w:t xml:space="preserve">5.3 Testable Experimental Predictions</w:t>
      </w:r>
    </w:p>
    <w:p>
      <w:pPr>
        <w:pStyle w:val="Compact"/>
        <w:numPr>
          <w:ilvl w:val="0"/>
          <w:numId w:val="1003"/>
        </w:numPr>
      </w:pPr>
      <w:r>
        <w:rPr>
          <w:b/>
          <w:bCs/>
        </w:rPr>
        <w:t xml:space="preserve">Matrix-Assisted Laser Desorption/Ionization (MALDI) Mass-Spectrometry Imaging:</w:t>
      </w:r>
      <w:r>
        <w:t xml:space="preserve"> </w:t>
      </w:r>
      <w:r>
        <w:t xml:space="preserve">High-resolution spatial drug mapping in resected lung tumours from osimertinib-treated patients should reveal steep radial concentration gradients around perivascular cords with</w:t>
      </w:r>
      <w:r>
        <w:t xml:space="preserve"> </w:t>
      </w:r>
      <m:oMath>
        <m:sSub>
          <m:e>
            <m:r>
              <m:t>r</m:t>
            </m:r>
          </m:e>
          <m:sub>
            <m:r>
              <m:rPr>
                <m:nor/>
                <m:sty m:val="p"/>
              </m:rPr>
              <m:t>crit</m:t>
            </m:r>
          </m:sub>
        </m:sSub>
        <m:r>
          <m:rPr>
            <m:sty m:val="p"/>
          </m:rPr>
          <m:t>≈</m:t>
        </m:r>
        <m:r>
          <m:t>166</m:t>
        </m:r>
        <m:r>
          <m:t> </m:t>
        </m:r>
        <m:r>
          <m:t>μ</m:t>
        </m:r>
        <m:r>
          <m:rPr>
            <m:nor/>
            <m:sty m:val="p"/>
          </m:rPr>
          <m:t>m</m:t>
        </m:r>
      </m:oMath>
      <w:r>
        <w:t xml:space="preserve">, contrasted with flat, unhindered concentration profiles throughout avascular nests.</w:t>
      </w:r>
    </w:p>
    <w:p>
      <w:pPr>
        <w:pStyle w:val="Compact"/>
        <w:numPr>
          <w:ilvl w:val="0"/>
          <w:numId w:val="1003"/>
        </w:numPr>
      </w:pPr>
      <w:r>
        <w:rPr>
          <w:b/>
          <w:bCs/>
        </w:rPr>
        <w:t xml:space="preserve">Spatial Pharmacodynamic Gradients:</w:t>
      </w:r>
      <w:r>
        <w:t xml:space="preserve"> </w:t>
      </w:r>
      <w:r>
        <w:t xml:space="preserve">Neoplastic cells residing at distances</w:t>
      </w:r>
      <w:r>
        <w:t xml:space="preserve"> </w:t>
      </w:r>
      <m:oMath>
        <m:r>
          <m:t>r</m:t>
        </m:r>
        <m:r>
          <m:rPr>
            <m:sty m:val="p"/>
          </m:rPr>
          <m:t>&gt;</m:t>
        </m:r>
        <m:r>
          <m:t>166</m:t>
        </m:r>
        <m:r>
          <m:t> </m:t>
        </m:r>
        <m:r>
          <m:t>μ</m:t>
        </m:r>
        <m:r>
          <m:rPr>
            <m:nor/>
            <m:sty m:val="p"/>
          </m:rPr>
          <m:t>m</m:t>
        </m:r>
      </m:oMath>
      <w:r>
        <w:t xml:space="preserve"> </w:t>
      </w:r>
      <w:r>
        <w:t xml:space="preserve">from functional capillaries should demonstrate persistent phospho-EGFR signaling despite therapeutic plasma concentrations.</w:t>
      </w:r>
    </w:p>
    <w:p>
      <w:pPr>
        <w:pStyle w:val="Compact"/>
        <w:numPr>
          <w:ilvl w:val="0"/>
          <w:numId w:val="1003"/>
        </w:numPr>
      </w:pPr>
      <w:r>
        <w:rPr>
          <w:b/>
          <w:bCs/>
        </w:rPr>
        <w:t xml:space="preserve">Prospective Architectural Tracking in Post-TKI Cohorts:</w:t>
      </w:r>
      <w:r>
        <w:t xml:space="preserve"> </w:t>
      </w:r>
      <w:r>
        <w:t xml:space="preserve">In prospective clinical trials with quantified architectural components, post-cessation recurrence rates should correlate specifically with the fraction of perivascular cord architecture.</w:t>
      </w:r>
    </w:p>
    <w:p>
      <w:r>
        <w:pict>
          <v:rect style="width:0;height:1.5pt" o:hralign="center" o:hrstd="t" o:hr="t"/>
        </w:pict>
      </w:r>
    </w:p>
    <w:bookmarkEnd w:id="53"/>
    <w:bookmarkEnd w:id="54"/>
    <w:bookmarkStart w:id="55" w:name="limitations"/>
    <w:p>
      <w:pPr>
        <w:pStyle w:val="Heading2"/>
      </w:pPr>
      <w:r>
        <w:t xml:space="preserve">6. Limitations</w:t>
      </w:r>
    </w:p>
    <w:p>
      <w:pPr>
        <w:pStyle w:val="FirstParagraph"/>
      </w:pPr>
      <w:r>
        <w:t xml:space="preserve">All reaction–diffusion parameters are literature-calibrated estimates rather than direct measurements in lung adenocarcinoma tissue. The transport model assumes steady-state conditions, idealized cylindrical geometry, non-saturable first-order uptake, and absence of convection or non-specific tissue binding. The game-theoretic formulation assumes constant payoffs and exponential clonal growth. The MSKCC cohort is observational, surgical, TKI-naive, and contains only 4 recurrence events in the lepidic reference group.</w:t>
      </w:r>
    </w:p>
    <w:p>
      <w:r>
        <w:pict>
          <v:rect style="width:0;height:1.5pt" o:hralign="center" o:hrstd="t" o:hr="t"/>
        </w:pic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This research received no external grant from funding agencies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analyzes publicly available, de-identified secondary clinical data from the Memorial Sloan Kettering Cancer Center cohort (cBioPortal; Caso et al.,</w:t>
      </w:r>
      <w:r>
        <w:t xml:space="preserve"> </w:t>
      </w:r>
      <w:r>
        <w:rPr>
          <w:i/>
          <w:iCs/>
        </w:rPr>
        <w:t xml:space="preserve">J Thorac Oncol</w:t>
      </w:r>
      <w:r>
        <w:t xml:space="preserve"> </w:t>
      </w:r>
      <w:r>
        <w:t xml:space="preserve">2020). Secondary analysis of anonymized public datasets requires no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analytical Bessel solvers, replicator dynamics models, and survival verification scripts are openly accessible at https://github.com/Lukecele/spatial-oncology-master and permanently archived on Zenodo at https://doi.org/10.5281/zenodo.23623653.</w:t>
      </w:r>
    </w:p>
    <w:p>
      <w:r>
        <w:pict>
          <v:rect style="width:0;height:1.5pt" o:hralign="center" o:hrstd="t" o:hr="t"/>
        </w:pict>
      </w:r>
    </w:p>
    <w:bookmarkEnd w:id="56"/>
    <w:bookmarkStart w:id="57" w:name="appendix-a.-changes-from-version-1"/>
    <w:p>
      <w:pPr>
        <w:pStyle w:val="Heading2"/>
      </w:pPr>
      <w:r>
        <w:t xml:space="preserve">Appendix A. Changes from Version 1</w:t>
      </w:r>
    </w:p>
    <w:p>
      <w:pPr>
        <w:pStyle w:val="Compact"/>
        <w:numPr>
          <w:ilvl w:val="0"/>
          <w:numId w:val="1004"/>
        </w:numPr>
      </w:pPr>
      <w:r>
        <w:rPr>
          <w:b/>
          <w:bCs/>
        </w:rPr>
        <w:t xml:space="preserve">Corrected &amp; Withdrawn:</w:t>
      </w:r>
    </w:p>
    <w:p>
      <w:pPr>
        <w:pStyle w:val="Compact"/>
        <w:numPr>
          <w:ilvl w:val="1"/>
          <w:numId w:val="1005"/>
        </w:numPr>
      </w:pPr>
      <w:r>
        <w:t xml:space="preserve">Withdrew the assertion that inward (avascular nest) and outward (perivascular cord) geometries yield identical sanctuary bands; proved that inward diffusion maintains osimertinib at</w:t>
      </w:r>
      <w:r>
        <w:t xml:space="preserve"> </w:t>
      </w:r>
      <m:oMath>
        <m:r>
          <m:t>91</m:t>
        </m:r>
        <m:r>
          <m:rPr>
            <m:sty m:val="p"/>
          </m:rPr>
          <m:t>%</m:t>
        </m:r>
        <m:r>
          <m:rPr>
            <m:nor/>
            <m:sty m:val="p"/>
          </m:rPr>
          <m:t>–</m:t>
        </m:r>
        <m:r>
          <m:t>99</m:t>
        </m:r>
        <m:r>
          <m:rPr>
            <m:sty m:val="p"/>
          </m:rPr>
          <m:t>%</m:t>
        </m:r>
      </m:oMath>
      <w:r>
        <w:t xml:space="preserve"> </w:t>
      </w:r>
      <w:r>
        <w:t xml:space="preserve">of boundary concentration, precluding sanctuary formation.</w:t>
      </w:r>
    </w:p>
    <w:p>
      <w:pPr>
        <w:pStyle w:val="Compact"/>
        <w:numPr>
          <w:ilvl w:val="1"/>
          <w:numId w:val="1005"/>
        </w:numPr>
      </w:pPr>
      <w:r>
        <w:t xml:space="preserve">Withdrew the claim that avascular solid/micropapillary nests shelter sensitive cells from small-molecule TKIs; clarified that sanctuaries exist exclusively in outward perivascular cords or for macromolecular ADCs.</w:t>
      </w:r>
    </w:p>
    <w:p>
      <w:pPr>
        <w:pStyle w:val="Compact"/>
        <w:numPr>
          <w:ilvl w:val="1"/>
          <w:numId w:val="1005"/>
        </w:numPr>
      </w:pPr>
      <w:r>
        <w:t xml:space="preserve">Withdrew the claim of ADAURA concordance as mechanistic validation; proved that lead time</w:t>
      </w:r>
      <w:r>
        <w:t xml:space="preserve"> </w:t>
      </w:r>
      <m:oMath>
        <m:r>
          <m:t>Δ</m:t>
        </m:r>
        <m:r>
          <m:t>t</m:t>
        </m:r>
        <m:r>
          <m:rPr>
            <m:sty m:val="p"/>
          </m:rPr>
          <m:t>=</m:t>
        </m:r>
        <m:r>
          <m:t>5.46</m:t>
        </m:r>
        <m:r>
          <m:t> </m:t>
        </m:r>
        <m:r>
          <m:rPr>
            <m:nor/>
            <m:sty m:val="p"/>
          </m:rPr>
          <m:t>months</m:t>
        </m:r>
      </m:oMath>
      <w:r>
        <w:t xml:space="preserve"> </w:t>
      </w:r>
      <w:r>
        <w:t xml:space="preserve">is an algebraic identity (</w:t>
      </w:r>
      <m:oMath>
        <m:sSub>
          <m:e>
            <m:r>
              <m:rPr>
                <m:sty m:val="p"/>
              </m:rPr>
              <m:t>log</m:t>
            </m:r>
          </m:e>
          <m:sub>
            <m:r>
              <m:t>2</m:t>
            </m:r>
          </m:sub>
        </m:sSub>
        <m:d>
          <m:dPr>
            <m:begChr m:val="("/>
            <m:endChr m:val=")"/>
            <m:sepChr m:val=""/>
            <m:grow/>
          </m:dPr>
          <m:e>
            <m:r>
              <m:t>100</m:t>
            </m:r>
          </m:e>
        </m:d>
        <m:r>
          <m:rPr>
            <m:sty m:val="p"/>
          </m:rPr>
          <m:t>⋅</m:t>
        </m:r>
        <m:sSub>
          <m:e>
            <m:r>
              <m:t>T</m:t>
            </m:r>
          </m:e>
          <m:sub>
            <m:r>
              <m:t>s</m:t>
            </m:r>
          </m:sub>
        </m:sSub>
      </m:oMath>
      <w:r>
        <w:t xml:space="preserve">).</w:t>
      </w:r>
    </w:p>
    <w:p>
      <w:pPr>
        <w:pStyle w:val="Compact"/>
        <w:numPr>
          <w:ilvl w:val="1"/>
          <w:numId w:val="1005"/>
        </w:numPr>
      </w:pPr>
      <w:r>
        <w:t xml:space="preserve">Withdrew the cross-subtype correlation coefficient (</w:t>
      </w:r>
      <m:oMath>
        <m:r>
          <m:t>r</m:t>
        </m:r>
        <m:r>
          <m:rPr>
            <m:sty m:val="p"/>
          </m:rPr>
          <m:t>=</m:t>
        </m:r>
        <m:r>
          <m:t>0.983</m:t>
        </m:r>
      </m:oMath>
      <w:r>
        <w:t xml:space="preserve">), recognizing that sorting categories by their own event rates creates a circular artifact.</w:t>
      </w:r>
    </w:p>
    <w:p>
      <w:pPr>
        <w:pStyle w:val="Compact"/>
        <w:numPr>
          <w:ilvl w:val="1"/>
          <w:numId w:val="1005"/>
        </w:numPr>
      </w:pPr>
      <w:r>
        <w:t xml:space="preserve">Withdrew the designation of the solid/micropapillary vs lepidic contrast as</w:t>
      </w:r>
      <w:r>
        <w:t xml:space="preserve"> </w:t>
      </w:r>
      <w:r>
        <w:t xml:space="preserve">“</w:t>
      </w:r>
      <w:r>
        <w:t xml:space="preserve">a priori</w:t>
      </w:r>
      <w:r>
        <w:t xml:space="preserve">”</w:t>
      </w:r>
      <w:r>
        <w:t xml:space="preserve"> </w:t>
      </w:r>
      <w:r>
        <w:t xml:space="preserve">or</w:t>
      </w:r>
      <w:r>
        <w:t xml:space="preserve"> </w:t>
      </w:r>
      <w:r>
        <w:t xml:space="preserve">“</w:t>
      </w:r>
      <w:r>
        <w:t xml:space="preserve">pre-specified</w:t>
      </w:r>
      <w:r>
        <w:t xml:space="preserve">”</w:t>
      </w:r>
      <w:r>
        <w:t xml:space="preserve">; reported it transparently as an exploratory boundary comparison.</w:t>
      </w:r>
    </w:p>
    <w:p>
      <w:pPr>
        <w:pStyle w:val="Compact"/>
        <w:numPr>
          <w:ilvl w:val="1"/>
          <w:numId w:val="1005"/>
        </w:numPr>
      </w:pPr>
      <w:r>
        <w:t xml:space="preserve">Replaced raw median RFS follow-up (</w:t>
      </w:r>
      <m:oMath>
        <m:r>
          <m:t>21.4</m:t>
        </m:r>
        <m:r>
          <m:t> </m:t>
        </m:r>
        <m:r>
          <m:rPr>
            <m:nor/>
            <m:sty m:val="p"/>
          </m:rPr>
          <m:t>months</m:t>
        </m:r>
      </m:oMath>
      <w:r>
        <w:t xml:space="preserve">) with the reverse Kaplan–Meier follow-up estimate (</w:t>
      </w:r>
      <m:oMath>
        <m:r>
          <m:t>23.8</m:t>
        </m:r>
        <m:r>
          <m:t> </m:t>
        </m:r>
        <m:r>
          <m:rPr>
            <m:nor/>
            <m:sty m:val="p"/>
          </m:rPr>
          <m:t>months</m:t>
        </m:r>
      </m:oMath>
      <w:r>
        <w:t xml:space="preserve">).</w:t>
      </w:r>
    </w:p>
    <w:p>
      <w:pPr>
        <w:pStyle w:val="Compact"/>
        <w:numPr>
          <w:ilvl w:val="1"/>
          <w:numId w:val="1005"/>
        </w:numPr>
      </w:pPr>
      <w:r>
        <w:t xml:space="preserve">Corrected the post-cessation event distribution from Herbst et al. 2025: 11 of 19 events occurred within 12 months post-cessation.</w:t>
      </w:r>
    </w:p>
    <w:p>
      <w:pPr>
        <w:pStyle w:val="Compact"/>
        <w:numPr>
          <w:ilvl w:val="1"/>
          <w:numId w:val="1005"/>
        </w:numPr>
      </w:pPr>
      <w:r>
        <w:t xml:space="preserve">Removed speculative clinical surveillance recommendations, the</w:t>
      </w:r>
      <w:r>
        <w:t xml:space="preserve"> </w:t>
      </w:r>
      <m:oMath>
        <m:r>
          <m:rPr>
            <m:sty m:val="p"/>
          </m:rPr>
          <m:t>≥</m:t>
        </m:r>
        <m:r>
          <m:t>20</m:t>
        </m:r>
        <m:r>
          <m:rPr>
            <m:sty m:val="p"/>
          </m:rPr>
          <m:t>%</m:t>
        </m:r>
      </m:oMath>
      <w:r>
        <w:t xml:space="preserve"> </w:t>
      </w:r>
      <w:r>
        <w:t xml:space="preserve">ctDNA monitoring interval, and combination therapy claims, replacing them with explicit testable predictions.</w:t>
      </w:r>
    </w:p>
    <w:p>
      <w:pPr>
        <w:pStyle w:val="Compact"/>
        <w:numPr>
          <w:ilvl w:val="0"/>
          <w:numId w:val="1004"/>
        </w:numPr>
      </w:pPr>
      <w:r>
        <w:rPr>
          <w:b/>
          <w:bCs/>
        </w:rPr>
        <w:t xml:space="preserve">Added:</w:t>
      </w:r>
    </w:p>
    <w:p>
      <w:pPr>
        <w:pStyle w:val="Compact"/>
        <w:numPr>
          <w:ilvl w:val="1"/>
          <w:numId w:val="1006"/>
        </w:numPr>
      </w:pPr>
      <w:r>
        <w:t xml:space="preserve">Closed-form inward Bessel solution (</w:t>
      </w:r>
      <m:oMath>
        <m:sSub>
          <m:e>
            <m:r>
              <m:t>I</m:t>
            </m:r>
          </m:e>
          <m:sub>
            <m:r>
              <m:t>0</m:t>
            </m:r>
          </m:sub>
        </m:sSub>
        <m:d>
          <m:dPr>
            <m:begChr m:val="("/>
            <m:endChr m:val=")"/>
            <m:sepChr m:val=""/>
            <m:grow/>
          </m:dPr>
          <m:e>
            <m:r>
              <m:t>r</m:t>
            </m:r>
            <m:r>
              <m:rPr>
                <m:sty m:val="p"/>
              </m:rPr>
              <m:t>/</m:t>
            </m:r>
            <m:r>
              <m:t>λ</m:t>
            </m:r>
          </m:e>
        </m:d>
        <m:r>
          <m:rPr>
            <m:sty m:val="p"/>
          </m:rPr>
          <m:t>/</m:t>
        </m:r>
        <m:sSub>
          <m:e>
            <m:r>
              <m:t>I</m:t>
            </m:r>
          </m:e>
          <m:sub>
            <m:r>
              <m:t>0</m:t>
            </m:r>
          </m:sub>
        </m:sSub>
        <m:d>
          <m:dPr>
            <m:begChr m:val="("/>
            <m:endChr m:val=")"/>
            <m:sepChr m:val=""/>
            <m:grow/>
          </m:dPr>
          <m:e>
            <m:r>
              <m:t>R</m:t>
            </m:r>
            <m:r>
              <m:rPr>
                <m:sty m:val="p"/>
              </m:rPr>
              <m:t>/</m:t>
            </m:r>
            <m:r>
              <m:t>λ</m:t>
            </m:r>
          </m:e>
        </m:d>
      </m:oMath>
      <w:r>
        <w:t xml:space="preserve">) alongside outward solution (</w:t>
      </w:r>
      <m:oMath>
        <m:sSub>
          <m:e>
            <m:r>
              <m:t>K</m:t>
            </m:r>
          </m:e>
          <m:sub>
            <m:r>
              <m:t>0</m:t>
            </m:r>
          </m:sub>
        </m:sSub>
        <m:d>
          <m:dPr>
            <m:begChr m:val="("/>
            <m:endChr m:val=")"/>
            <m:sepChr m:val=""/>
            <m:grow/>
          </m:dPr>
          <m:e>
            <m:r>
              <m:t>r</m:t>
            </m:r>
            <m:r>
              <m:rPr>
                <m:sty m:val="p"/>
              </m:rPr>
              <m:t>/</m:t>
            </m:r>
            <m:r>
              <m:t>λ</m:t>
            </m:r>
          </m:e>
        </m:d>
        <m:r>
          <m:rPr>
            <m:sty m:val="p"/>
          </m:rPr>
          <m:t>/</m:t>
        </m:r>
        <m:sSub>
          <m:e>
            <m:r>
              <m:t>K</m:t>
            </m:r>
          </m:e>
          <m:sub>
            <m:r>
              <m:t>0</m:t>
            </m:r>
          </m:sub>
        </m:sSub>
        <m:d>
          <m:dPr>
            <m:begChr m:val="("/>
            <m:endChr m:val=")"/>
            <m:sepChr m:val=""/>
            <m:grow/>
          </m:dPr>
          <m:e>
            <m:sSub>
              <m:e>
                <m:r>
                  <m:t>r</m:t>
                </m:r>
              </m:e>
              <m:sub>
                <m:r>
                  <m:t>0</m:t>
                </m:r>
              </m:sub>
            </m:sSub>
            <m:r>
              <m:rPr>
                <m:sty m:val="p"/>
              </m:rPr>
              <m:t>/</m:t>
            </m:r>
            <m:r>
              <m:t>λ</m:t>
            </m:r>
          </m:e>
        </m:d>
      </m:oMath>
      <w:r>
        <w:t xml:space="preserve">).</w:t>
      </w:r>
    </w:p>
    <w:p>
      <w:pPr>
        <w:pStyle w:val="Compact"/>
        <w:numPr>
          <w:ilvl w:val="1"/>
          <w:numId w:val="1006"/>
        </w:numPr>
      </w:pPr>
      <w:r>
        <w:t xml:space="preserve">Exhaustive multidimensional sensitivity analysis across</w:t>
      </w:r>
      <w:r>
        <w:t xml:space="preserve"> </w:t>
      </w:r>
      <m:oMath>
        <m:r>
          <m:t>D</m:t>
        </m:r>
        <m:r>
          <m:rPr>
            <m:sty m:val="p"/>
          </m:rPr>
          <m:t>,</m:t>
        </m:r>
        <m:r>
          <m:t>k</m:t>
        </m:r>
        <m:r>
          <m:rPr>
            <m:sty m:val="p"/>
          </m:rPr>
          <m:t>,</m:t>
        </m:r>
        <m:r>
          <m:t>θ</m:t>
        </m:r>
        <m:r>
          <m:rPr>
            <m:sty m:val="p"/>
          </m:rPr>
          <m:t>,</m:t>
        </m:r>
        <m:sSub>
          <m:e>
            <m:r>
              <m:t>r</m:t>
            </m:r>
          </m:e>
          <m:sub>
            <m:r>
              <m:t>0</m:t>
            </m:r>
          </m:sub>
        </m:sSub>
      </m:oMath>
      <w:r>
        <w:t xml:space="preserve">, and</w:t>
      </w:r>
      <w:r>
        <w:t xml:space="preserve"> </w:t>
      </w:r>
      <m:oMath>
        <m:sSub>
          <m:e>
            <m:r>
              <m:t>r</m:t>
            </m:r>
          </m:e>
          <m:sub>
            <m:r>
              <m:rPr>
                <m:nor/>
                <m:sty m:val="p"/>
              </m:rPr>
              <m:t>ox</m:t>
            </m:r>
          </m:sub>
        </m:sSub>
      </m:oMath>
      <w:r>
        <w:t xml:space="preserve"> </w:t>
      </w:r>
      <w:r>
        <w:t xml:space="preserve">(Table 1, Table 2).</w:t>
      </w:r>
    </w:p>
    <w:p>
      <w:pPr>
        <w:pStyle w:val="Compact"/>
        <w:numPr>
          <w:ilvl w:val="1"/>
          <w:numId w:val="1006"/>
        </w:numPr>
      </w:pPr>
      <w:r>
        <w:t xml:space="preserve">Analytical lead-time identity derivation (Table 3).</w:t>
      </w:r>
    </w:p>
    <w:p>
      <w:pPr>
        <w:pStyle w:val="Compact"/>
        <w:numPr>
          <w:ilvl w:val="1"/>
          <w:numId w:val="1006"/>
        </w:numPr>
      </w:pPr>
      <w:r>
        <w:t xml:space="preserve">Pairwise Cox contrasts with Holm multiplicity adjustments (Table 4, Table 5).</w:t>
      </w:r>
    </w:p>
    <w:p>
      <w:pPr>
        <w:pStyle w:val="Compact"/>
        <w:numPr>
          <w:ilvl w:val="1"/>
          <w:numId w:val="1006"/>
        </w:numPr>
      </w:pPr>
      <w:r>
        <w:t xml:space="preserve">Bootstrap confidence intervals demonstrating the instability of the extreme contrast upper bound.</w:t>
      </w:r>
    </w:p>
    <w:p>
      <w:pPr>
        <w:pStyle w:val="Compact"/>
        <w:numPr>
          <w:ilvl w:val="1"/>
          <w:numId w:val="1006"/>
        </w:numPr>
      </w:pPr>
      <w:r>
        <w:t xml:space="preserve">Demonstration of severe stage confounding within the</w:t>
      </w:r>
      <w:r>
        <w:t xml:space="preserve"> </w:t>
      </w:r>
      <w:r>
        <w:rPr>
          <w:i/>
          <w:iCs/>
        </w:rPr>
        <w:t xml:space="preserve">EGFR</w:t>
      </w:r>
      <w:r>
        <w:t xml:space="preserve">-mutant subgroup.</w:t>
      </w:r>
    </w:p>
    <w:p>
      <w:r>
        <w:pict>
          <v:rect style="width:0;height:1.5pt" o:hralign="center" o:hrstd="t" o:hr="t"/>
        </w:pict>
      </w:r>
    </w:p>
    <w:bookmarkEnd w:id="57"/>
    <w:bookmarkStart w:id="58" w:name="references"/>
    <w:p>
      <w:pPr>
        <w:pStyle w:val="Heading2"/>
      </w:pPr>
      <w:r>
        <w:t xml:space="preserve">References</w:t>
      </w:r>
    </w:p>
    <w:p>
      <w:pPr>
        <w:pStyle w:val="Compact"/>
        <w:numPr>
          <w:ilvl w:val="0"/>
          <w:numId w:val="1007"/>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7"/>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7"/>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7"/>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7"/>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7"/>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7"/>
        </w:numPr>
      </w:pPr>
      <w:r>
        <w:t xml:space="preserve">Kurppa KJ, Liu Y, To C, et al. Treatment-Induced Emergence of a Drug-Tolerant Persister State in</w:t>
      </w:r>
      <w:r>
        <w:t xml:space="preserve"> </w:t>
      </w:r>
      <w:r>
        <w:rPr>
          <w:i/>
          <w:iCs/>
        </w:rPr>
        <w:t xml:space="preserve">EGFR</w:t>
      </w:r>
      <w:r>
        <w:t xml:space="preserve">-Mutant Lung Cancer Sinks into Tumor Dormancy through YAP-Mediated Transcriptional Reprogramming.</w:t>
      </w:r>
      <w:r>
        <w:t xml:space="preserve"> </w:t>
      </w:r>
      <w:r>
        <w:rPr>
          <w:i/>
          <w:iCs/>
        </w:rPr>
        <w:t xml:space="preserve">Cancer Cell</w:t>
      </w:r>
      <w:r>
        <w:t xml:space="preserve">. 2020;37(1):104-122.e12. doi:10.1016/j.ccell.2019.12.006.</w:t>
      </w:r>
    </w:p>
    <w:p>
      <w:pPr>
        <w:pStyle w:val="Compact"/>
        <w:numPr>
          <w:ilvl w:val="0"/>
          <w:numId w:val="1007"/>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7"/>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7"/>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7"/>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7"/>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p>
      <w:pPr>
        <w:pStyle w:val="Compact"/>
        <w:numPr>
          <w:ilvl w:val="0"/>
          <w:numId w:val="1007"/>
        </w:numPr>
      </w:pPr>
      <w:r>
        <w:t xml:space="preserve">Swabb EA, Wei J, Gullino PM. Diffusion and convection in normal and neoplastic tissues.</w:t>
      </w:r>
      <w:r>
        <w:t xml:space="preserve"> </w:t>
      </w:r>
      <w:r>
        <w:rPr>
          <w:i/>
          <w:iCs/>
        </w:rPr>
        <w:t xml:space="preserve">Cancer Res</w:t>
      </w:r>
      <w:r>
        <w:t xml:space="preserve">. 1974;34(10):2814-2822.</w:t>
      </w:r>
    </w:p>
    <w:p>
      <w:pPr>
        <w:pStyle w:val="Compact"/>
        <w:numPr>
          <w:ilvl w:val="0"/>
          <w:numId w:val="1007"/>
        </w:numPr>
      </w:pPr>
      <w:r>
        <w:t xml:space="preserve">Worth KR, Papandreou I, Hammond EM. How the histological structure of some lung cancers shaped almost 70 years of radiobiology.</w:t>
      </w:r>
      <w:r>
        <w:t xml:space="preserve"> </w:t>
      </w:r>
      <w:r>
        <w:rPr>
          <w:i/>
          <w:iCs/>
        </w:rPr>
        <w:t xml:space="preserve">Br J Cancer</w:t>
      </w:r>
      <w:r>
        <w:t xml:space="preserve">. 2022;127(7):1171-1178. doi:10.1038/s41416-022-02041-9.</w:t>
      </w:r>
    </w:p>
    <w:p>
      <w:pPr>
        <w:pStyle w:val="Compact"/>
        <w:numPr>
          <w:ilvl w:val="0"/>
          <w:numId w:val="1007"/>
        </w:numPr>
      </w:pPr>
      <w:r>
        <w:t xml:space="preserve">Hirst DG, Hirst VK, Joiner B, et al. Changes in tumour morphology with alterations in oxygen availability: further evidence for oxygen as a limiting substrate.</w:t>
      </w:r>
      <w:r>
        <w:t xml:space="preserve"> </w:t>
      </w:r>
      <w:r>
        <w:rPr>
          <w:i/>
          <w:iCs/>
        </w:rPr>
        <w:t xml:space="preserve">Br J Cancer</w:t>
      </w:r>
      <w:r>
        <w:t xml:space="preserve">. 1991;64(4):689-693.</w:t>
      </w:r>
    </w:p>
    <w:p>
      <w:pPr>
        <w:pStyle w:val="Compact"/>
        <w:numPr>
          <w:ilvl w:val="0"/>
          <w:numId w:val="1007"/>
        </w:numPr>
      </w:pPr>
      <w:r>
        <w:t xml:space="preserve">Moreira AL, Ocampo PSS, Xia Y, et al. A Grading System for Invasive Pulmonary Adenocarcinoma: A Proposal From the International Association for the Study of Lung Cancer Pathology Committee.</w:t>
      </w:r>
      <w:r>
        <w:t xml:space="preserve"> </w:t>
      </w:r>
      <w:r>
        <w:rPr>
          <w:i/>
          <w:iCs/>
        </w:rPr>
        <w:t xml:space="preserve">J Thorac Oncol</w:t>
      </w:r>
      <w:r>
        <w:t xml:space="preserve">. 2020;15(10):1599-1610. doi:10.1016/j.jtho.2020.06.001.</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21" Target="https://doi.org/10.5281/zenodo.23623653" TargetMode="External" /><Relationship Type="http://schemas.openxmlformats.org/officeDocument/2006/relationships/hyperlink" Id="rId22" Target="https://github.com/Lukecele/spatial-oncology-master" TargetMode="External" /><Relationship Type="http://schemas.openxmlformats.org/officeDocument/2006/relationships/hyperlink" Id="rId20" Target="https://orcid.org/0009-0006-2584-754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5281/zenodo.23623653" TargetMode="External" /><Relationship Type="http://schemas.openxmlformats.org/officeDocument/2006/relationships/hyperlink" Id="rId22" Target="https://github.com/Lukecele/spatial-oncology-master" TargetMode="External" /><Relationship Type="http://schemas.openxmlformats.org/officeDocument/2006/relationships/hyperlink" Id="rId20" Target="https://orcid.org/0009-0006-2584-75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2026-10-26T07:11:06Z</dcterms:created>
  <dcterms:modified xsi:type="dcterms:W3CDTF">2026-10-26T07:11:06Z</dcterms:modified>
</cp:coreProperties>
</file>

<file path=docProps/custom.xml><?xml version="1.0" encoding="utf-8"?>
<Properties xmlns="http://schemas.openxmlformats.org/officeDocument/2006/custom-properties" xmlns:vt="http://schemas.openxmlformats.org/officeDocument/2006/docPropsVTypes"/>
</file>