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1327b1b913d131b3e762361a59877bb325c0caf"/>
    <w:p>
      <w:pPr>
        <w:pStyle w:val="Heading1"/>
      </w:pPr>
      <w:r>
        <w:t xml:space="preserve">Biophysical Reaction-Diffusion Transport and Evolutionary Sanctuary Dynamics in Compact EGFR-Mutant Lung Adenocarcinoma</w:t>
      </w:r>
    </w:p>
    <w:p>
      <w:pPr>
        <w:pStyle w:val="FirstParagraph"/>
      </w:pPr>
      <w:r>
        <w:rPr>
          <w:b/>
          <w:bCs/>
        </w:rPr>
        <w:t xml:space="preserve">Luca Celebrano</w:t>
      </w:r>
      <m:oMath>
        <m:sSup>
          <m:e>
            <m:r>
              <m:t>​</m:t>
            </m:r>
          </m:e>
          <m:sup>
            <m:r>
              <m:t>1</m:t>
            </m:r>
            <m:r>
              <m:rPr>
                <m:sty m:val="p"/>
              </m:rPr>
              <m:t>,</m:t>
            </m:r>
            <m:r>
              <m:t>2</m:t>
            </m:r>
            <m:r>
              <m:rPr>
                <m:sty m:val="p"/>
              </m:rPr>
              <m:t>,</m:t>
            </m:r>
            <m:r>
              <m:rPr>
                <m:sty m:val="p"/>
              </m:rPr>
              <m:t>*</m:t>
            </m:r>
          </m:sup>
        </m:sSup>
      </m:oMath>
    </w:p>
    <w:p>
      <w:pPr>
        <w:pStyle w:val="BodyText"/>
      </w:pPr>
      <m:oMath>
        <m:sSup>
          <m:e>
            <m:r>
              <m:t>​</m:t>
            </m:r>
          </m:e>
          <m:sup>
            <m:r>
              <m:t>1</m:t>
            </m:r>
          </m:sup>
        </m:sSup>
      </m:oMath>
      <w:r>
        <w:t xml:space="preserve">Department of Clinical Medicine and Surgery, School of Medicine, University of Naples Federico II, 80131 Naples, Italy</w:t>
      </w:r>
      <w:r>
        <w:br/>
      </w:r>
      <m:oMath>
        <m:sSup>
          <m:e>
            <m:r>
              <m:t>​</m:t>
            </m:r>
          </m:e>
          <m:sup>
            <m:r>
              <m:t>2</m:t>
            </m:r>
          </m:sup>
        </m:sSup>
      </m:oMath>
      <w:r>
        <w:t xml:space="preserve">Telethon Institute of Genetics and Medicine (TIGEM), 80078 Pozzuoli, Naples, Italy</w:t>
      </w:r>
      <w:r>
        <w:br/>
      </w:r>
      <m:oMath>
        <m:sSup>
          <m:e>
            <m:r>
              <m:t>​</m:t>
            </m:r>
          </m:e>
          <m:sup>
            <m:r>
              <m:rPr>
                <m:sty m:val="p"/>
              </m:rPr>
              <m:t>*</m:t>
            </m:r>
          </m:sup>
        </m:sSup>
      </m:oMath>
      <w:r>
        <w:t xml:space="preserve">Correspondence:</w:t>
      </w:r>
      <w:r>
        <w:t xml:space="preserve"> </w:t>
      </w:r>
      <w:r>
        <w:rPr>
          <w:rStyle w:val="VerbatimChar"/>
        </w:rPr>
        <w:t xml:space="preserve">l.celebrano@studenti.unina.it</w:t>
      </w:r>
      <w:r>
        <w:t xml:space="preserve"> </w:t>
      </w:r>
      <w:r>
        <w:t xml:space="preserve">| ORCID:</w:t>
      </w:r>
      <w:r>
        <w:t xml:space="preserve"> </w:t>
      </w:r>
      <w:hyperlink r:id="rId20">
        <w:r>
          <w:rPr>
            <w:rStyle w:val="Hyperlink"/>
          </w:rPr>
          <w:t xml:space="preserve">0009-0007-0931-3555</w:t>
        </w:r>
      </w:hyperlink>
      <w:r>
        <w:br/>
      </w:r>
      <w:r>
        <w:rPr>
          <w:b/>
          <w:bCs/>
        </w:rPr>
        <w:t xml:space="preserve">Article Classification:</w:t>
      </w:r>
      <w:r>
        <w:t xml:space="preserve"> </w:t>
      </w:r>
      <w:r>
        <w:t xml:space="preserve">Translational Oncology, Spatial Biophysics, Mathematical Modeling &amp; Molecular Pathology</w:t>
      </w:r>
      <w:r>
        <w:br/>
      </w:r>
      <w:r>
        <w:rPr>
          <w:b/>
          <w:bCs/>
        </w:rPr>
        <w:t xml:space="preserve">Master Repository:</w:t>
      </w:r>
      <w:r>
        <w:t xml:space="preserve"> </w:t>
      </w:r>
      <w:hyperlink r:id="rId21">
        <w:r>
          <w:rPr>
            <w:rStyle w:val="Hyperlink"/>
          </w:rPr>
          <w:t xml:space="preserve">https://github.com/Lukecele/spatial-oncology-master</w:t>
        </w:r>
      </w:hyperlink>
    </w:p>
    <w:p>
      <w:r>
        <w:pict>
          <v:rect style="width:0;height:1.5pt" o:hralign="center" o:hrstd="t" o:hr="t"/>
        </w:pict>
      </w:r>
    </w:p>
    <w:bookmarkStart w:id="22" w:name="abstract"/>
    <w:p>
      <w:pPr>
        <w:pStyle w:val="Heading2"/>
      </w:pPr>
      <w:r>
        <w:t xml:space="preserve">Abstract</w:t>
      </w:r>
    </w:p>
    <w:p>
      <w:pPr>
        <w:pStyle w:val="FirstParagraph"/>
      </w:pPr>
      <w:r>
        <w:rPr>
          <w:b/>
          <w:bCs/>
        </w:rPr>
        <w:t xml:space="preserve">Background:</w:t>
      </w:r>
      <w:r>
        <w:t xml:space="preserve"> </w:t>
      </w:r>
      <w:r>
        <w:t xml:space="preserve">Third-generation epidermal growth factor receptor (EGFR) tyrosine kinase inhibitors (TKIs), notably osimertinib, constitute the global standard of care for resected and advanced</w:t>
      </w:r>
      <w:r>
        <w:t xml:space="preserve"> </w:t>
      </w:r>
      <w:r>
        <w:rPr>
          <w:i/>
          <w:iCs/>
        </w:rPr>
        <w:t xml:space="preserve">EGFR</w:t>
      </w:r>
      <w:r>
        <w:t xml:space="preserve">-mutated non-small cell lung cancer (NSCLC). However, clinical outcomes are marked by substantial heterogeneity: in exploratory molecular residual disease (MRD) analyses of the adjuvant ADAURA trial, up to 68% of disease-free survival or circulating tumor DNA (ctDNA) detection events manifested</w:t>
      </w:r>
      <w:r>
        <w:t xml:space="preserve"> </w:t>
      </w:r>
      <w:r>
        <w:rPr>
          <w:i/>
          <w:iCs/>
        </w:rPr>
        <w:t xml:space="preserve">after</w:t>
      </w:r>
      <w:r>
        <w:t xml:space="preserve"> </w:t>
      </w:r>
      <w:r>
        <w:t xml:space="preserve">treatment discontinuation (months 36 to 60), frequently without acquiring canonical secondary resistance mutations (e.g.,</w:t>
      </w:r>
      <w:r>
        <w:t xml:space="preserve"> </w:t>
      </w:r>
      <w:r>
        <w:rPr>
          <w:i/>
          <w:iCs/>
        </w:rPr>
        <w:t xml:space="preserve">EGFR</w:t>
      </w:r>
      <w:r>
        <w:t xml:space="preserve"> </w:t>
      </w:r>
      <w:r>
        <w:t xml:space="preserve">C797S or</w:t>
      </w:r>
      <w:r>
        <w:t xml:space="preserve"> </w:t>
      </w:r>
      <w:r>
        <w:rPr>
          <w:i/>
          <w:iCs/>
        </w:rPr>
        <w:t xml:space="preserve">MET</w:t>
      </w:r>
      <w:r>
        <w:t xml:space="preserve"> </w:t>
      </w:r>
      <w:r>
        <w:t xml:space="preserve">amplification). While systemic pharmacokinetics indicate extensive organ distribution (volume of distribution</w:t>
      </w:r>
      <w:r>
        <w:t xml:space="preserve"> </w:t>
      </w:r>
      <m:oMath>
        <m:sSub>
          <m:e>
            <m:r>
              <m:t>V</m:t>
            </m:r>
          </m:e>
          <m:sub>
            <m:r>
              <m:t>d</m:t>
            </m:r>
          </m:sub>
        </m:sSub>
        <m:r>
          <m:rPr>
            <m:sty m:val="p"/>
          </m:rPr>
          <m:t>≈</m:t>
        </m:r>
        <m:r>
          <m:t>918</m:t>
        </m:r>
        <m:r>
          <m:t> </m:t>
        </m:r>
        <m:r>
          <m:rPr>
            <m:nor/>
            <m:sty m:val="p"/>
          </m:rPr>
          <m:t>L</m:t>
        </m:r>
      </m:oMath>
      <w:r>
        <w:t xml:space="preserve">), bulk tissue assays conceal microscopic transport barriers created by neoplastic tissue compaction.</w:t>
      </w:r>
    </w:p>
    <w:p>
      <w:pPr>
        <w:pStyle w:val="BodyText"/>
      </w:pPr>
      <w:r>
        <w:rPr>
          <w:b/>
          <w:bCs/>
        </w:rPr>
        <w:t xml:space="preserve">Methods:</w:t>
      </w:r>
      <w:r>
        <w:t xml:space="preserve"> </w:t>
      </w:r>
      <w:r>
        <w:t xml:space="preserve">We established a multi-scale biophysical framework integrating: (1) exact cylindrical reaction-diffusion transport physics using the modified Bessel equation of order zero (</w:t>
      </w:r>
      <m:oMath>
        <m:sSub>
          <m:e>
            <m:r>
              <m:t>K</m:t>
            </m:r>
          </m:e>
          <m:sub>
            <m:r>
              <m:t>0</m:t>
            </m:r>
          </m:sub>
        </m:sSub>
      </m:oMath>
      <w:r>
        <w:t xml:space="preserve">) across both Krogh perivascular cords and avascular solid nests; (2) an evolutionary replicator dynamic modeling subclonal frequency-dependent competition between proliferating sensitive and drug-tolerant persister (DTP) cells, coupled to a calibrated post-cessation regrowth simulation; and (3) an independent clinical cohort audit of 604 surgically resected lung adenocarcinoma patients from Memorial Sloan Kettering Cancer Center (MSKCC 2020) with pathologically classified IASLC architectural growth patterns.</w:t>
      </w:r>
    </w:p>
    <w:p>
      <w:pPr>
        <w:pStyle w:val="BodyText"/>
      </w:pPr>
      <w:r>
        <w:rPr>
          <w:b/>
          <w:bCs/>
        </w:rPr>
        <w:t xml:space="preserve">Results:</w:t>
      </w:r>
      <w:r>
        <w:t xml:space="preserve"> </w:t>
      </w:r>
      <w:r>
        <w:t xml:space="preserve">Exact Bessel solutions demonstrate that small-molecule osimertinib (500 Da, tissue diffusivity</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metabolic clearance</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penetration length scale</w:t>
      </w:r>
      <w:r>
        <w:t xml:space="preserve"> </w:t>
      </w:r>
      <m:oMath>
        <m:r>
          <m:t>λ</m:t>
        </m:r>
        <m:r>
          <m:rPr>
            <m:sty m:val="p"/>
          </m:rPr>
          <m:t>=</m:t>
        </m:r>
        <m:r>
          <m:t>627.7</m:t>
        </m:r>
        <m:r>
          <m:t> </m:t>
        </m:r>
        <m:r>
          <m:t>μ</m:t>
        </m:r>
        <m:r>
          <m:rPr>
            <m:nor/>
            <m:sty m:val="p"/>
          </m:rPr>
          <m:t>m</m:t>
        </m:r>
      </m:oMath>
      <w:r>
        <w:t xml:space="preserve">) falls below the cellular</w:t>
      </w:r>
      <w:r>
        <w:t xml:space="preserve"> </w:t>
      </w:r>
      <m:oMath>
        <m:r>
          <m:t>I</m:t>
        </m:r>
        <m:sSub>
          <m:e>
            <m:r>
              <m:t>C</m:t>
            </m:r>
          </m:e>
          <m:sub>
            <m:r>
              <m:t>50</m:t>
            </m:r>
          </m:sub>
        </m:sSub>
      </m:oMath>
      <w:r>
        <w:t xml:space="preserve"> </w:t>
      </w:r>
      <w:r>
        <w:t xml:space="preserve">threshold (</w:t>
      </w:r>
      <m:oMath>
        <m:r>
          <m:t>8.8</m:t>
        </m:r>
        <m:r>
          <m:t> </m:t>
        </m:r>
        <m:r>
          <m:rPr>
            <m:nor/>
            <m:sty m:val="p"/>
          </m:rPr>
          <m:t>nM</m:t>
        </m:r>
        <m:r>
          <m:rPr>
            <m:sty m:val="p"/>
          </m:rPr>
          <m:t>≈</m:t>
        </m:r>
        <m:r>
          <m:t>0.35</m:t>
        </m:r>
        <m:sSub>
          <m:e>
            <m:r>
              <m:t>C</m:t>
            </m:r>
          </m:e>
          <m:sub>
            <m:r>
              <m:t>0</m:t>
            </m:r>
          </m:sub>
        </m:sSub>
      </m:oMath>
      <w:r>
        <w:t xml:space="preserve">) at an exact radial depth of</w:t>
      </w:r>
      <w:r>
        <w:t xml:space="preserve"> </w:t>
      </w:r>
      <m:oMath>
        <m:sSub>
          <m:e>
            <m:r>
              <m:t>r</m:t>
            </m:r>
          </m:e>
          <m:sub>
            <m:r>
              <m:rPr>
                <m:nor/>
                <m:sty m:val="p"/>
              </m:rPr>
              <m:t>crit</m:t>
            </m:r>
          </m:sub>
        </m:sSub>
        <m:r>
          <m:rPr>
            <m:sty m:val="p"/>
          </m:rPr>
          <m:t>=</m:t>
        </m:r>
        <m:r>
          <m:t>165.9</m:t>
        </m:r>
        <m:r>
          <m:t> </m:t>
        </m:r>
        <m:r>
          <m:t>μ</m:t>
        </m:r>
        <m:r>
          <m:rPr>
            <m:nor/>
            <m:sty m:val="p"/>
          </m:rPr>
          <m:t>m</m:t>
        </m:r>
      </m:oMath>
      <w:r>
        <w:t xml:space="preserve">. Because neoplastic cords remain metabolically viable within Krogh’s physiological oxygen diffusion boundary (</w:t>
      </w:r>
      <m:oMath>
        <m:sSub>
          <m:e>
            <m:r>
              <m:t>r</m:t>
            </m:r>
          </m:e>
          <m:sub>
            <m:r>
              <m:rPr>
                <m:nor/>
                <m:sty m:val="p"/>
              </m:rPr>
              <m:t>ox</m:t>
            </m:r>
          </m:sub>
        </m:sSub>
        <m:r>
          <m:rPr>
            <m:sty m:val="p"/>
          </m:rPr>
          <m:t>≈</m:t>
        </m:r>
        <m:r>
          <m:t>200</m:t>
        </m:r>
        <m:r>
          <m:t> </m:t>
        </m:r>
        <m:r>
          <m:t>μ</m:t>
        </m:r>
        <m:r>
          <m:rPr>
            <m:nor/>
            <m:sty m:val="p"/>
          </m:rPr>
          <m:t>m</m:t>
        </m:r>
      </m:oMath>
      <w:r>
        <w:t xml:space="preserve">), avascular solid and micropapillary nests form a continuous</w:t>
      </w:r>
      <w:r>
        <w:t xml:space="preserve"> </w:t>
      </w:r>
      <w:r>
        <w:rPr>
          <w:b/>
          <w:bCs/>
        </w:rPr>
        <w:t xml:space="preserve">viable pharmacological sanctuary shell (</w:t>
      </w:r>
      <m:oMath>
        <m:r>
          <m:t>Δ</m:t>
        </m:r>
        <m:r>
          <m:t>r</m:t>
        </m:r>
        <m:r>
          <m:rPr>
            <m:sty m:val="p"/>
          </m:rPr>
          <m:t>=</m:t>
        </m:r>
        <m:r>
          <m:t>34.1</m:t>
        </m:r>
        <m:r>
          <m:t> </m:t>
        </m:r>
        <m:r>
          <m:t>μ</m:t>
        </m:r>
        <m:r>
          <m:rPr>
            <m:nor/>
            <m:sty m:val="p"/>
          </m:rPr>
          <m:t>m</m:t>
        </m:r>
      </m:oMath>
      <w:r>
        <w:rPr>
          <w:b/>
          <w:bCs/>
        </w:rPr>
        <w:t xml:space="preserve">)</w:t>
      </w:r>
      <w:r>
        <w:t xml:space="preserve">. Macromolecular therapeutics (ADCs/bispecifics, 150 kDa) suffer severe transport restriction (</w:t>
      </w:r>
      <m:oMath>
        <m:sSub>
          <m:e>
            <m:r>
              <m:t>r</m:t>
            </m:r>
          </m:e>
          <m:sub>
            <m:r>
              <m:rPr>
                <m:nor/>
                <m:sty m:val="p"/>
              </m:rPr>
              <m:t>crit</m:t>
            </m:r>
          </m:sub>
        </m:sSub>
        <m:r>
          <m:rPr>
            <m:sty m:val="p"/>
          </m:rPr>
          <m:t>=</m:t>
        </m:r>
        <m:r>
          <m:t>47.4</m:t>
        </m:r>
        <m:r>
          <m:t> </m:t>
        </m:r>
        <m:r>
          <m:t>μ</m:t>
        </m:r>
        <m:r>
          <m:rPr>
            <m:nor/>
            <m:sty m:val="p"/>
          </m:rPr>
          <m:t>m</m:t>
        </m:r>
      </m:oMath>
      <w:r>
        <w:t xml:space="preserve">), leaving</w:t>
      </w:r>
      <w:r>
        <w:t xml:space="preserve"> </w:t>
      </w:r>
      <m:oMath>
        <m:r>
          <m:rPr>
            <m:sty m:val="p"/>
          </m:rPr>
          <m:t>&gt;</m:t>
        </m:r>
        <m:r>
          <m:t>76</m:t>
        </m:r>
        <m:r>
          <m:rPr>
            <m:sty m:val="p"/>
          </m:rPr>
          <m:t>%</m:t>
        </m:r>
      </m:oMath>
      <w:r>
        <w:t xml:space="preserve"> </w:t>
      </w:r>
      <w:r>
        <w:t xml:space="preserve">of the viable tumor cord uninhibited. Replicator game dynamics confirm that the sanctuary niche stabilizes an internal polymorphic Nash equilibrium (</w:t>
      </w:r>
      <m:oMath>
        <m:sSup>
          <m:e>
            <m:r>
              <m:t>x</m:t>
            </m:r>
          </m:e>
          <m:sup>
            <m:r>
              <m:rPr>
                <m:sty m:val="p"/>
              </m:rPr>
              <m:t>*</m:t>
            </m:r>
          </m:sup>
        </m:sSup>
        <m:r>
          <m:rPr>
            <m:sty m:val="p"/>
          </m:rPr>
          <m:t>=</m:t>
        </m:r>
        <m:r>
          <m:t>0.6133</m:t>
        </m:r>
      </m:oMath>
      <w:r>
        <w:t xml:space="preserve">, Lyapunov eigenvalue</w:t>
      </w:r>
      <w:r>
        <w:t xml:space="preserve"> </w:t>
      </w:r>
      <m:oMath>
        <m:sSub>
          <m:e>
            <m:r>
              <m:t>λ</m:t>
            </m:r>
          </m:e>
          <m:sub>
            <m:r>
              <m:rPr>
                <m:nor/>
                <m:sty m:val="p"/>
              </m:rPr>
              <m:t>eig</m:t>
            </m:r>
          </m:sub>
        </m:sSub>
        <m:r>
          <m:rPr>
            <m:sty m:val="p"/>
          </m:rPr>
          <m:t>=</m:t>
        </m:r>
        <m:r>
          <m:rPr>
            <m:sty m:val="p"/>
          </m:rPr>
          <m:t>−</m:t>
        </m:r>
        <m:r>
          <m:t>1.7934</m:t>
        </m:r>
        <m:r>
          <m:rPr>
            <m:sty m:val="p"/>
          </m:rPr>
          <m:t>&lt;</m:t>
        </m:r>
        <m:r>
          <m:t>0</m:t>
        </m:r>
      </m:oMath>
      <w:r>
        <w:t xml:space="preserve">). Calibrated population dynamic simulations (</w:t>
      </w:r>
      <m:oMath>
        <m:sSub>
          <m:e>
            <m:r>
              <m:t>N</m:t>
            </m:r>
          </m:e>
          <m:sub>
            <m:r>
              <m:t>0</m:t>
            </m:r>
          </m:sub>
        </m:sSub>
        <m:r>
          <m:rPr>
            <m:sty m:val="p"/>
          </m:rPr>
          <m:t>=</m:t>
        </m:r>
        <m:r>
          <m:t>2000</m:t>
        </m:r>
      </m:oMath>
      <w:r>
        <w:t xml:space="preserve"> </w:t>
      </w:r>
      <w:r>
        <w:t xml:space="preserve">cells,</w:t>
      </w:r>
      <w:r>
        <w:t xml:space="preserve"> </w:t>
      </w:r>
      <m:oMath>
        <m:sSub>
          <m:e>
            <m:r>
              <m:t>T</m:t>
            </m:r>
          </m:e>
          <m:sub>
            <m:r>
              <m:rPr>
                <m:nor/>
                <m:sty m:val="p"/>
              </m:rPr>
              <m:t>double</m:t>
            </m:r>
          </m:sub>
        </m:sSub>
        <m:r>
          <m:rPr>
            <m:sty m:val="p"/>
          </m:rPr>
          <m:t>=</m:t>
        </m:r>
        <m:r>
          <m:t>25</m:t>
        </m:r>
      </m:oMath>
      <w:r>
        <w:t xml:space="preserve"> </w:t>
      </w:r>
      <w:r>
        <w:t xml:space="preserve">days sensitive,</w:t>
      </w:r>
      <w:r>
        <w:t xml:space="preserve"> </w:t>
      </w:r>
      <m:oMath>
        <m:r>
          <m:t>120</m:t>
        </m:r>
      </m:oMath>
      <w:r>
        <w:t xml:space="preserve"> </w:t>
      </w:r>
      <w:r>
        <w:t xml:space="preserve">days persister) project molecular ctDNA detection at 10.7 months and radiographic CT relapse at 16.1 months post-cessation (lead time</w:t>
      </w:r>
      <w:r>
        <w:t xml:space="preserve"> </w:t>
      </w:r>
      <m:oMath>
        <m:r>
          <m:t>Δ</m:t>
        </m:r>
        <m:r>
          <m:t>t</m:t>
        </m:r>
        <m:r>
          <m:rPr>
            <m:sty m:val="p"/>
          </m:rPr>
          <m:t>=</m:t>
        </m:r>
        <m:r>
          <m:t>5.4</m:t>
        </m:r>
      </m:oMath>
      <w:r>
        <w:t xml:space="preserve"> </w:t>
      </w:r>
      <w:r>
        <w:t xml:space="preserve">months), consistent with clinical timescales documented in the prospective ADAURA ctDNA study (median lead time 4.7 months, 95% CI: 2.2–5.6). In the authentic MSKCC cohort (</w:t>
      </w:r>
      <m:oMath>
        <m:r>
          <m:t>N</m:t>
        </m:r>
        <m:r>
          <m:rPr>
            <m:sty m:val="p"/>
          </m:rPr>
          <m:t>=</m:t>
        </m:r>
        <m:r>
          <m:t>604</m:t>
        </m:r>
      </m:oMath>
      <w:r>
        <w:t xml:space="preserve">), observed recurrence rates varied across histological patterns: Lepidic (4.55%)</w:t>
      </w:r>
      <w:r>
        <w:t xml:space="preserve"> </w:t>
      </w:r>
      <m:oMath>
        <m:r>
          <m:rPr>
            <m:sty m:val="p"/>
          </m:rPr>
          <m:t>→</m:t>
        </m:r>
      </m:oMath>
      <w:r>
        <w:t xml:space="preserve"> </w:t>
      </w:r>
      <w:r>
        <w:t xml:space="preserve">Acinar (14.67%)</w:t>
      </w:r>
      <w:r>
        <w:t xml:space="preserve"> </w:t>
      </w:r>
      <m:oMath>
        <m:r>
          <m:rPr>
            <m:sty m:val="p"/>
          </m:rPr>
          <m:t>→</m:t>
        </m:r>
      </m:oMath>
      <w:r>
        <w:t xml:space="preserve"> </w:t>
      </w:r>
      <w:r>
        <w:t xml:space="preserve">Micropapillary (21.62%)</w:t>
      </w:r>
      <w:r>
        <w:t xml:space="preserve"> </w:t>
      </w:r>
      <m:oMath>
        <m:r>
          <m:rPr>
            <m:sty m:val="p"/>
          </m:rPr>
          <m:t>→</m:t>
        </m:r>
      </m:oMath>
      <w:r>
        <w:t xml:space="preserve"> </w:t>
      </w:r>
      <w:r>
        <w:t xml:space="preserve">Papillary (25.58%)</w:t>
      </w:r>
      <w:r>
        <w:t xml:space="preserve"> </w:t>
      </w:r>
      <m:oMath>
        <m:r>
          <m:rPr>
            <m:sty m:val="p"/>
          </m:rPr>
          <m:t>→</m:t>
        </m:r>
      </m:oMath>
      <w:r>
        <w:t xml:space="preserve"> </w:t>
      </w:r>
      <w:r>
        <w:t xml:space="preserve">Solid (30.88%). In multivariable Cox modeling adjusting for pathologic stage, an a priori extreme biophysical contrast comparing high-sanctuary solid/micropapillary architecture directly against lepidic baseline (</w:t>
      </w:r>
      <m:oMath>
        <m:r>
          <m:t>N</m:t>
        </m:r>
        <m:r>
          <m:rPr>
            <m:sty m:val="p"/>
          </m:rPr>
          <m:t>=</m:t>
        </m:r>
        <m:r>
          <m:t>193</m:t>
        </m:r>
      </m:oMath>
      <w:r>
        <w:t xml:space="preserve">) showed marked separation (</w:t>
      </w:r>
      <m:oMath>
        <m:r>
          <m:t>H</m:t>
        </m:r>
        <m:r>
          <m:t>R</m:t>
        </m:r>
        <m:r>
          <m:rPr>
            <m:sty m:val="p"/>
          </m:rPr>
          <m:t>=</m:t>
        </m:r>
        <m:r>
          <m:t>6.75</m:t>
        </m:r>
      </m:oMath>
      <w:r>
        <w:t xml:space="preserve">, 95% CI:</w:t>
      </w:r>
      <w:r>
        <w:t xml:space="preserve"> </w:t>
      </w:r>
      <m:oMath>
        <m:r>
          <m:t>2.28</m:t>
        </m:r>
        <m:r>
          <m:rPr>
            <m:sty m:val="p"/>
          </m:rPr>
          <m:t>−</m:t>
        </m:r>
        <m:r>
          <m:t>19.97</m:t>
        </m:r>
        <m:r>
          <m:rPr>
            <m:sty m:val="p"/>
          </m:rPr>
          <m:t>,</m:t>
        </m:r>
        <m:r>
          <m:t>p</m:t>
        </m:r>
        <m:r>
          <m:rPr>
            <m:sty m:val="p"/>
          </m:rPr>
          <m:t>=</m:t>
        </m:r>
        <m:r>
          <m:t>5.52</m:t>
        </m:r>
        <m:r>
          <m:rPr>
            <m:sty m:val="p"/>
          </m:rPr>
          <m:t>×</m:t>
        </m:r>
        <m:sSup>
          <m:e>
            <m:r>
              <m:t>10</m:t>
            </m:r>
          </m:e>
          <m:sup>
            <m:r>
              <m:rPr>
                <m:sty m:val="p"/>
              </m:rPr>
              <m:t>−</m:t>
            </m:r>
            <m:r>
              <m:t>4</m:t>
            </m:r>
          </m:sup>
        </m:sSup>
      </m:oMath>
      <w:r>
        <w:t xml:space="preserve">). In the full cohort (</w:t>
      </w:r>
      <m:oMath>
        <m:r>
          <m:t>N</m:t>
        </m:r>
        <m:r>
          <m:rPr>
            <m:sty m:val="p"/>
          </m:rPr>
          <m:t>=</m:t>
        </m:r>
        <m:r>
          <m:t>604</m:t>
        </m:r>
      </m:oMath>
      <w:r>
        <w:t xml:space="preserve">), stage-adjusted risk yielded</w:t>
      </w:r>
      <w:r>
        <w:t xml:space="preserve"> </w:t>
      </w:r>
      <m:oMath>
        <m:r>
          <m:t>H</m:t>
        </m:r>
        <m:r>
          <m:t>R</m:t>
        </m:r>
        <m:r>
          <m:rPr>
            <m:sty m:val="p"/>
          </m:rPr>
          <m:t>=</m:t>
        </m:r>
        <m:r>
          <m:t>1.32</m:t>
        </m:r>
      </m:oMath>
      <w:r>
        <w:t xml:space="preserve"> </w:t>
      </w:r>
      <w:r>
        <w:t xml:space="preserve">(95% CI:</w:t>
      </w:r>
      <w:r>
        <w:t xml:space="preserve"> </w:t>
      </w:r>
      <m:oMath>
        <m:r>
          <m:t>0.83</m:t>
        </m:r>
        <m:r>
          <m:rPr>
            <m:sty m:val="p"/>
          </m:rPr>
          <m:t>−</m:t>
        </m:r>
        <m:r>
          <m:t>2.08</m:t>
        </m:r>
        <m:r>
          <m:rPr>
            <m:sty m:val="p"/>
          </m:rPr>
          <m:t>,</m:t>
        </m:r>
        <m:r>
          <m:t>p</m:t>
        </m:r>
        <m:r>
          <m:rPr>
            <m:sty m:val="p"/>
          </m:rPr>
          <m:t>=</m:t>
        </m:r>
        <m:r>
          <m:t>0.238</m:t>
        </m:r>
      </m:oMath>
      <w:r>
        <w:t xml:space="preserve">;</w:t>
      </w:r>
      <w:r>
        <w:t xml:space="preserve"> </w:t>
      </w:r>
      <m:oMath>
        <m:r>
          <m:t>H</m:t>
        </m:r>
        <m:r>
          <m:t>R</m:t>
        </m:r>
        <m:r>
          <m:rPr>
            <m:sty m:val="p"/>
          </m:rPr>
          <m:t>=</m:t>
        </m:r>
        <m:r>
          <m:t>1.30</m:t>
        </m:r>
        <m:r>
          <m:rPr>
            <m:sty m:val="p"/>
          </m:rPr>
          <m:t>,</m:t>
        </m:r>
        <m:r>
          <m:t>p</m:t>
        </m:r>
        <m:r>
          <m:rPr>
            <m:sty m:val="p"/>
          </m:rPr>
          <m:t>=</m:t>
        </m:r>
        <m:r>
          <m:t>0.258</m:t>
        </m:r>
      </m:oMath>
      <w:r>
        <w:t xml:space="preserve"> </w:t>
      </w:r>
      <w:r>
        <w:t xml:space="preserve">including</w:t>
      </w:r>
      <w:r>
        <w:t xml:space="preserve"> </w:t>
      </w:r>
      <w:r>
        <w:rPr>
          <w:i/>
          <w:iCs/>
        </w:rPr>
        <w:t xml:space="preserve">EGFR</w:t>
      </w:r>
      <w:r>
        <w:t xml:space="preserve"> </w:t>
      </w:r>
      <w:r>
        <w:t xml:space="preserve">status), with 5-subtype multivariable analysis demonstrating that separation is predominantly driven by the protective effect of lepidic histology (</w:t>
      </w:r>
      <m:oMath>
        <m:r>
          <m:t>H</m:t>
        </m:r>
        <m:r>
          <m:t>R</m:t>
        </m:r>
        <m:r>
          <m:rPr>
            <m:sty m:val="p"/>
          </m:rPr>
          <m:t>=</m:t>
        </m:r>
        <m:r>
          <m:t>0.25</m:t>
        </m:r>
        <m:r>
          <m:rPr>
            <m:sty m:val="p"/>
          </m:rPr>
          <m:t>,</m:t>
        </m:r>
        <m:r>
          <m:t>95</m:t>
        </m:r>
        <m:r>
          <m:rPr>
            <m:sty m:val="p"/>
          </m:rPr>
          <m:t>%</m:t>
        </m:r>
        <m:r>
          <m:rPr>
            <m:nor/>
            <m:sty m:val="p"/>
          </m:rPr>
          <m:t> CI: </m:t>
        </m:r>
        <m:r>
          <m:t>0.09</m:t>
        </m:r>
        <m:r>
          <m:rPr>
            <m:sty m:val="p"/>
          </m:rPr>
          <m:t>−</m:t>
        </m:r>
        <m:r>
          <m:t>0.70</m:t>
        </m:r>
        <m:r>
          <m:rPr>
            <m:sty m:val="p"/>
          </m:rPr>
          <m:t>,</m:t>
        </m:r>
        <m:r>
          <m:t>p</m:t>
        </m:r>
        <m:r>
          <m:rPr>
            <m:sty m:val="p"/>
          </m:rPr>
          <m:t>=</m:t>
        </m:r>
        <m:r>
          <m:t>0.008</m:t>
        </m:r>
      </m:oMath>
      <w:r>
        <w:t xml:space="preserve"> </w:t>
      </w:r>
      <w:r>
        <w:t xml:space="preserve">relative to acinar).</w:t>
      </w:r>
    </w:p>
    <w:p>
      <w:pPr>
        <w:pStyle w:val="BodyText"/>
      </w:pPr>
      <w:r>
        <w:rPr>
          <w:b/>
          <w:bCs/>
        </w:rPr>
        <w:t xml:space="preserve">Conclusions:</w:t>
      </w:r>
      <w:r>
        <w:t xml:space="preserve"> </w:t>
      </w:r>
      <w:r>
        <w:t xml:space="preserve">Spatial architectural compaction establishes a biophysical sanctuary that fosters non-mutational persister niches. These findings provide a biophysical rationale for post-ADAURA recurrence kinetics, highlight the strong prognostic protection of uncompacted lepidic histology, and offer a quantitative framework for risk-stratified post-cessation ctDNA surveillance and rational sequence combinations with macromolecular modalities.</w:t>
      </w:r>
    </w:p>
    <w:p>
      <w:r>
        <w:pict>
          <v:rect style="width:0;height:1.5pt" o:hralign="center" o:hrstd="t" o:hr="t"/>
        </w:pict>
      </w:r>
    </w:p>
    <w:bookmarkEnd w:id="22"/>
    <w:bookmarkStart w:id="23" w:name="Xe9895314b15bd23ce84f408413e91c3c9704af7"/>
    <w:p>
      <w:pPr>
        <w:pStyle w:val="Heading2"/>
      </w:pPr>
      <w:r>
        <w:t xml:space="preserve">1. Introduction: The Spatial Paradigm in Targeted Therapy Relapse</w:t>
      </w:r>
    </w:p>
    <w:p>
      <w:pPr>
        <w:pStyle w:val="FirstParagraph"/>
      </w:pPr>
      <w:r>
        <w:t xml:space="preserve">Targeted inhibition of oncogenic driver kinases has transformed therapeutic paradigms across medical oncology. In advanced non-small cell lung cancer (NSCLC) harboring sensitizing</w:t>
      </w:r>
      <w:r>
        <w:t xml:space="preserve"> </w:t>
      </w:r>
      <w:r>
        <w:rPr>
          <w:i/>
          <w:iCs/>
        </w:rPr>
        <w:t xml:space="preserve">EGFR</w:t>
      </w:r>
      <w:r>
        <w:t xml:space="preserve"> </w:t>
      </w:r>
      <w:r>
        <w:t xml:space="preserve">mutations (exon 19 in-frame deletions or exon 21 L858R substitutions), third-generation EGFR tyrosine kinase inhibitors (TKIs), notably osimertinib, have established definitive superiority. In the adjuvant setting, the Phase III ADAURA trial demonstrated unprecedented disease-free and overall survival benefit for 3 years of daily osimertinib following complete surgical resection (R0) in stage IB–IIIA disease (Wu et al.,</w:t>
      </w:r>
      <w:r>
        <w:t xml:space="preserve"> </w:t>
      </w:r>
      <w:r>
        <w:rPr>
          <w:i/>
          <w:iCs/>
        </w:rPr>
        <w:t xml:space="preserve">NEJM</w:t>
      </w:r>
      <w:r>
        <w:t xml:space="preserve"> </w:t>
      </w:r>
      <w:r>
        <w:t xml:space="preserve">2020 [1]; Tsuboi et al.,</w:t>
      </w:r>
      <w:r>
        <w:t xml:space="preserve"> </w:t>
      </w:r>
      <w:r>
        <w:rPr>
          <w:i/>
          <w:iCs/>
        </w:rPr>
        <w:t xml:space="preserve">NEJM</w:t>
      </w:r>
      <w:r>
        <w:t xml:space="preserve"> </w:t>
      </w:r>
      <w:r>
        <w:t xml:space="preserve">2023 [2]).</w:t>
      </w:r>
    </w:p>
    <w:p>
      <w:pPr>
        <w:pStyle w:val="BodyText"/>
      </w:pPr>
      <w:r>
        <w:t xml:space="preserve">However, clinical outcomes following the completion of adjuvant treatment exhibit substantial heterogeneity: upon completing the 3-year treatment course, disease-free survival curves begin to drop. In prospective ctDNA monitoring within the ADAURA trial, 19 of 28 (67.9%</w:t>
      </w:r>
      <w:r>
        <w:t xml:space="preserve"> </w:t>
      </w:r>
      <m:oMath>
        <m:r>
          <m:rPr>
            <m:sty m:val="p"/>
          </m:rPr>
          <m:t>≈</m:t>
        </m:r>
        <m:r>
          <m:t>68</m:t>
        </m:r>
        <m:r>
          <m:rPr>
            <m:sty m:val="p"/>
          </m:rPr>
          <m:t>%</m:t>
        </m:r>
      </m:oMath>
      <w:r>
        <w:t xml:space="preserve">) disease-free survival or molecular residual disease (MRD) events occurred</w:t>
      </w:r>
      <w:r>
        <w:t xml:space="preserve"> </w:t>
      </w:r>
      <w:r>
        <w:rPr>
          <w:i/>
          <w:iCs/>
        </w:rPr>
        <w:t xml:space="preserve">after</w:t>
      </w:r>
      <w:r>
        <w:t xml:space="preserve"> </w:t>
      </w:r>
      <w:r>
        <w:t xml:space="preserve">treatment discontinuation (months 36 to 60), peaking between 12 and 18 months post-cessation (Herbst et al.,</w:t>
      </w:r>
      <w:r>
        <w:t xml:space="preserve"> </w:t>
      </w:r>
      <w:r>
        <w:rPr>
          <w:i/>
          <w:iCs/>
        </w:rPr>
        <w:t xml:space="preserve">Nature Medicine</w:t>
      </w:r>
      <w:r>
        <w:t xml:space="preserve"> </w:t>
      </w:r>
      <w:r>
        <w:t xml:space="preserve">2025 [12]).</w:t>
      </w:r>
    </w:p>
    <w:p>
      <w:pPr>
        <w:pStyle w:val="BodyText"/>
      </w:pPr>
      <w:r>
        <w:t xml:space="preserve">Crucially, re-biopsy and liquid biopsy analyses reveal that late recurrences following adjuvant discontinuation frequently lack canonical on-target genomic resistance mutations (such as</w:t>
      </w:r>
      <w:r>
        <w:t xml:space="preserve"> </w:t>
      </w:r>
      <w:r>
        <w:rPr>
          <w:i/>
          <w:iCs/>
        </w:rPr>
        <w:t xml:space="preserve">EGFR</w:t>
      </w:r>
      <w:r>
        <w:t xml:space="preserve"> </w:t>
      </w:r>
      <w:r>
        <w:t xml:space="preserve">C797S) or off-target bypass activations (such as</w:t>
      </w:r>
      <w:r>
        <w:t xml:space="preserve"> </w:t>
      </w:r>
      <w:r>
        <w:rPr>
          <w:i/>
          <w:iCs/>
        </w:rPr>
        <w:t xml:space="preserve">MET</w:t>
      </w:r>
      <w:r>
        <w:t xml:space="preserve"> </w:t>
      </w:r>
      <w:r>
        <w:t xml:space="preserve">amplification). Instead, these relapses frequently preserve clonal sensitivity to EGFR inhibition, demonstrating marked objective responses to osimertinib rechallenge. This phenomenon indicates that post-discontinuation relapses do not primarily emerge from de novo genetic mutations selected under high drug exposure, but rather from persistent, non-mutational subclonal populations that survive three years of therapy in an uninhibited or sub-therapeutic spatial state.</w:t>
      </w:r>
    </w:p>
    <w:p>
      <w:pPr>
        <w:pStyle w:val="BodyText"/>
      </w:pPr>
      <w:r>
        <w:t xml:space="preserve">While bulk pharmacokinetic assays demonstrate extensive systemic distribution of osimertinib (apparent volume of distribution</w:t>
      </w:r>
      <w:r>
        <w:t xml:space="preserve"> </w:t>
      </w:r>
      <m:oMath>
        <m:sSub>
          <m:e>
            <m:r>
              <m:t>V</m:t>
            </m:r>
          </m:e>
          <m:sub>
            <m:r>
              <m:t>d</m:t>
            </m:r>
          </m:sub>
        </m:sSub>
        <m:r>
          <m:rPr>
            <m:sty m:val="p"/>
          </m:rPr>
          <m:t>/</m:t>
        </m:r>
        <m:r>
          <m:t>F</m:t>
        </m:r>
        <m:r>
          <m:rPr>
            <m:sty m:val="p"/>
          </m:rPr>
          <m:t>≈</m:t>
        </m:r>
        <m:r>
          <m:t>918</m:t>
        </m:r>
        <m:r>
          <m:t> </m:t>
        </m:r>
        <m:r>
          <m:rPr>
            <m:nor/>
            <m:sty m:val="p"/>
          </m:rPr>
          <m:t>L</m:t>
        </m:r>
      </m:oMath>
      <w:r>
        <w:t xml:space="preserve">, human plasma protein binding 94.7%, steady-state free vascular concentration</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bulk assays assume spatial homogeneity. Inside solid and micropapillary lung adenocarcinoma nests, the loss of alveolar architecture and elevated interstitial fluid pressure shut down microvascular perfusion, forcing drugs to penetrate exclusively via passive interstitial diffusion. Here, we present a unified biophysical, evolutionary, and clinical investigation examining the spatial sanctuary mechanism underlying non-mutational persistence and post-cessation recurrence in human lung adenocarcinoma.</w:t>
      </w:r>
    </w:p>
    <w:p>
      <w:r>
        <w:pict>
          <v:rect style="width:0;height:1.5pt" o:hralign="center" o:hrstd="t" o:hr="t"/>
        </w:pict>
      </w:r>
    </w:p>
    <w:bookmarkEnd w:id="23"/>
    <w:bookmarkStart w:id="29" w:name="X0a3a49fed44830414685c7528e7c804b312a6e2"/>
    <w:p>
      <w:pPr>
        <w:pStyle w:val="Heading2"/>
      </w:pPr>
      <w:r>
        <w:t xml:space="preserve">2. Exact Biophysical Reaction-Diffusion Transport &amp; Sanctuary Architecture</w:t>
      </w:r>
    </w:p>
    <w:p>
      <w:pPr>
        <w:pStyle w:val="FirstParagraph"/>
      </w:pPr>
      <w:r>
        <w:t xml:space="preserve">Neoplastic drug delivery in avascular cellular aggregates is governed by the competition between passive Fickian diffusion through the extracellular matrix and first-order metabolic uptake or intracellular sequestration. In cylindrical coordinates centered on a microvascular source (capillary radius</w:t>
      </w:r>
      <w:r>
        <w:t xml:space="preserve"> </w:t>
      </w:r>
      <m:oMath>
        <m:sSub>
          <m:e>
            <m:r>
              <m:t>r</m:t>
            </m:r>
          </m:e>
          <m:sub>
            <m:r>
              <m:t>0</m:t>
            </m:r>
          </m:sub>
        </m:sSub>
        <m:r>
          <m:rPr>
            <m:sty m:val="p"/>
          </m:rPr>
          <m:t>=</m:t>
        </m:r>
        <m:r>
          <m:t>10.0</m:t>
        </m:r>
        <m:r>
          <m:t> </m:t>
        </m:r>
        <m:r>
          <m:t>μ</m:t>
        </m:r>
        <m:r>
          <m:rPr>
            <m:nor/>
            <m:sty m:val="p"/>
          </m:rPr>
          <m:t>m</m:t>
        </m:r>
      </m:oMath>
      <w:r>
        <w:t xml:space="preserve">), the steady-state Helmholtz reaction-diffusion equation is: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r>
                    <m:t>C</m:t>
                  </m:r>
                </m:num>
                <m:den>
                  <m:r>
                    <m:t>d</m:t>
                  </m:r>
                  <m:r>
                    <m:t>r</m:t>
                  </m:r>
                </m:den>
              </m:f>
            </m:e>
          </m:d>
          <m:r>
            <m:rPr>
              <m:sty m:val="p"/>
            </m:rPr>
            <m:t>−</m:t>
          </m:r>
          <m:f>
            <m:fPr>
              <m:type m:val="bar"/>
            </m:fPr>
            <m:num>
              <m:r>
                <m:t>k</m:t>
              </m:r>
            </m:num>
            <m:den>
              <m:r>
                <m:t>D</m:t>
              </m:r>
            </m:den>
          </m:f>
          <m:r>
            <m:t>C</m:t>
          </m:r>
          <m:r>
            <m:rPr>
              <m:sty m:val="p"/>
            </m:rPr>
            <m:t>=</m:t>
          </m:r>
          <m:r>
            <m:t>0</m:t>
          </m:r>
        </m:oMath>
      </m:oMathPara>
    </w:p>
    <w:p>
      <w:pPr>
        <w:pStyle w:val="FirstParagraph"/>
      </w:pPr>
      <w:r>
        <w:t xml:space="preserve">where</w:t>
      </w:r>
      <w:r>
        <w:t xml:space="preserve"> </w:t>
      </w:r>
      <m:oMath>
        <m:r>
          <m:t>D</m:t>
        </m:r>
      </m:oMath>
      <w:r>
        <w:t xml:space="preserve"> </w:t>
      </w:r>
      <w:r>
        <w:t xml:space="preserve">is the effective tissue diffusion coefficient (</w:t>
      </w:r>
      <m:oMath>
        <m:sSup>
          <m:e>
            <m:r>
              <m:rPr>
                <m:nor/>
                <m:sty m:val="p"/>
              </m:rPr>
              <m:t>cm</m:t>
            </m:r>
          </m:e>
          <m:sup>
            <m:r>
              <m:t>2</m:t>
            </m:r>
          </m:sup>
        </m:sSup>
        <m:r>
          <m:rPr>
            <m:sty m:val="p"/>
          </m:rPr>
          <m:t>/</m:t>
        </m:r>
        <m:r>
          <m:rPr>
            <m:nor/>
            <m:sty m:val="p"/>
          </m:rPr>
          <m:t>s</m:t>
        </m:r>
      </m:oMath>
      <w:r>
        <w:t xml:space="preserve">),</w:t>
      </w:r>
      <w:r>
        <w:t xml:space="preserve"> </w:t>
      </w:r>
      <m:oMath>
        <m:r>
          <m:t>k</m:t>
        </m:r>
      </m:oMath>
      <w:r>
        <w:t xml:space="preserve"> </w:t>
      </w:r>
      <w:r>
        <w:t xml:space="preserve">is the volumetric cellular clearance/uptake rate (</w:t>
      </w:r>
      <m:oMath>
        <m:sSup>
          <m:e>
            <m:r>
              <m:rPr>
                <m:nor/>
                <m:sty m:val="p"/>
              </m:rPr>
              <m:t>s</m:t>
            </m:r>
          </m:e>
          <m:sup>
            <m:r>
              <m:rPr>
                <m:sty m:val="p"/>
              </m:rPr>
              <m:t>−</m:t>
            </m:r>
            <m:r>
              <m:t>1</m:t>
            </m:r>
          </m:sup>
        </m:sSup>
      </m:oMath>
      <w:r>
        <w:t xml:space="preserve">), and</w:t>
      </w:r>
      <w:r>
        <w:t xml:space="preserve"> </w:t>
      </w:r>
      <m:oMath>
        <m:r>
          <m:t>λ</m:t>
        </m:r>
        <m:r>
          <m:rPr>
            <m:sty m:val="p"/>
          </m:rPr>
          <m:t>=</m:t>
        </m:r>
        <m:rad>
          <m:radPr>
            <m:degHide m:val="on"/>
          </m:radPr>
          <m:deg/>
          <m:e>
            <m:r>
              <m:t>D</m:t>
            </m:r>
            <m:r>
              <m:rPr>
                <m:sty m:val="p"/>
              </m:rPr>
              <m:t>/</m:t>
            </m:r>
            <m:r>
              <m:t>k</m:t>
            </m:r>
          </m:e>
        </m:rad>
      </m:oMath>
      <w:r>
        <w:t xml:space="preserve"> </w:t>
      </w:r>
      <w:r>
        <w:t xml:space="preserve">defines the characteristic penetration length scale.</w:t>
      </w:r>
    </w:p>
    <w:bookmarkStart w:id="24" w:name="X36ce45e4a609f709912a67b524288816e54f230"/>
    <w:p>
      <w:pPr>
        <w:pStyle w:val="Heading3"/>
      </w:pPr>
      <w:r>
        <w:t xml:space="preserve">2.1 Closed-Form Solution via Modified Bessel Functions</w:t>
      </w:r>
    </w:p>
    <w:p>
      <w:pPr>
        <w:pStyle w:val="FirstParagraph"/>
      </w:pPr>
      <w:r>
        <w:t xml:space="preserve">Substituting</w:t>
      </w:r>
      <w:r>
        <w:t xml:space="preserve"> </w:t>
      </w:r>
      <m:oMath>
        <m:r>
          <m:t>x</m:t>
        </m:r>
        <m:r>
          <m:rPr>
            <m:sty m:val="p"/>
          </m:rPr>
          <m:t>=</m:t>
        </m:r>
        <m:r>
          <m:t>r</m:t>
        </m:r>
        <m:r>
          <m:rPr>
            <m:sty m:val="p"/>
          </m:rPr>
          <m:t>/</m:t>
        </m:r>
        <m:r>
          <m:t>λ</m:t>
        </m:r>
      </m:oMath>
      <w:r>
        <w:t xml:space="preserve">, the equation transforms into the canonical modified Bessel differential equation of order zero (</w:t>
      </w:r>
      <m:oMath>
        <m:r>
          <m:t>n</m:t>
        </m:r>
        <m:r>
          <m:rPr>
            <m:sty m:val="p"/>
          </m:rPr>
          <m:t>=</m:t>
        </m:r>
        <m:r>
          <m:t>0</m:t>
        </m:r>
      </m:oMath>
      <w:r>
        <w:t xml:space="preserve">):</w:t>
      </w:r>
      <w:r>
        <w:t xml:space="preserve"> </w:t>
      </w:r>
      <m:oMath>
        <m:f>
          <m:fPr>
            <m:type m:val="bar"/>
          </m:fPr>
          <m:num>
            <m:sSup>
              <m:e>
                <m:r>
                  <m:t>d</m:t>
                </m:r>
              </m:e>
              <m:sup>
                <m:r>
                  <m:t>2</m:t>
                </m:r>
              </m:sup>
            </m:sSup>
            <m:r>
              <m:t>C</m:t>
            </m:r>
          </m:num>
          <m:den>
            <m:r>
              <m:t>d</m:t>
            </m:r>
            <m:sSup>
              <m:e>
                <m:r>
                  <m:t>x</m:t>
                </m:r>
              </m:e>
              <m:sup>
                <m:r>
                  <m:t>2</m:t>
                </m:r>
              </m:sup>
            </m:sSup>
          </m:den>
        </m:f>
        <m:r>
          <m:rPr>
            <m:sty m:val="p"/>
          </m:rPr>
          <m:t>+</m:t>
        </m:r>
        <m:f>
          <m:fPr>
            <m:type m:val="bar"/>
          </m:fPr>
          <m:num>
            <m:r>
              <m:t>1</m:t>
            </m:r>
          </m:num>
          <m:den>
            <m:r>
              <m:t>x</m:t>
            </m:r>
          </m:den>
        </m:f>
        <m:f>
          <m:fPr>
            <m:type m:val="bar"/>
          </m:fPr>
          <m:num>
            <m:r>
              <m:t>d</m:t>
            </m:r>
            <m:r>
              <m:t>C</m:t>
            </m:r>
          </m:num>
          <m:den>
            <m:r>
              <m:t>d</m:t>
            </m:r>
            <m:r>
              <m:t>x</m:t>
            </m:r>
          </m:den>
        </m:f>
        <m:r>
          <m:rPr>
            <m:sty m:val="p"/>
          </m:rPr>
          <m:t>−</m:t>
        </m:r>
        <m:r>
          <m:t>C</m:t>
        </m:r>
        <m:r>
          <m:rPr>
            <m:sty m:val="p"/>
          </m:rPr>
          <m:t>=</m:t>
        </m:r>
        <m:r>
          <m:t>0</m:t>
        </m:r>
      </m:oMath>
      <w:r>
        <w:t xml:space="preserve">. The general solution is:</w:t>
      </w:r>
    </w:p>
    <w:p>
      <w:pPr>
        <w:pStyle w:val="BodyText"/>
      </w:pPr>
      <m:oMathPara>
        <m:oMathParaPr>
          <m:jc m:val="center"/>
        </m:oMathParaPr>
        <m:oMath>
          <m:r>
            <m:t>C</m:t>
          </m:r>
          <m:d>
            <m:dPr>
              <m:begChr m:val="("/>
              <m:endChr m:val=")"/>
              <m:sepChr m:val=""/>
              <m:grow/>
            </m:dPr>
            <m:e>
              <m:r>
                <m:t>r</m:t>
              </m:r>
            </m:e>
          </m:d>
          <m:r>
            <m:rPr>
              <m:sty m:val="p"/>
            </m:rPr>
            <m:t>=</m:t>
          </m:r>
          <m:r>
            <m:t>A</m:t>
          </m:r>
          <m:r>
            <m:rPr>
              <m:sty m:val="p"/>
            </m:rPr>
            <m:t>⋅</m:t>
          </m:r>
          <m:sSub>
            <m:e>
              <m:r>
                <m:t>I</m:t>
              </m:r>
            </m:e>
            <m:sub>
              <m:r>
                <m:t>0</m:t>
              </m:r>
            </m:sub>
          </m:sSub>
          <m:d>
            <m:dPr>
              <m:begChr m:val="("/>
              <m:endChr m:val=")"/>
              <m:sepChr m:val=""/>
              <m:grow/>
            </m:dPr>
            <m:e>
              <m:r>
                <m:t>r</m:t>
              </m:r>
              <m:r>
                <m:rPr>
                  <m:sty m:val="p"/>
                </m:rPr>
                <m:t>/</m:t>
              </m:r>
              <m:r>
                <m:t>λ</m:t>
              </m:r>
            </m:e>
          </m:d>
          <m:r>
            <m:rPr>
              <m:sty m:val="p"/>
            </m:rPr>
            <m:t>+</m:t>
          </m:r>
          <m:r>
            <m:t>B</m:t>
          </m:r>
          <m:r>
            <m:rPr>
              <m:sty m:val="p"/>
            </m:rPr>
            <m:t>⋅</m:t>
          </m:r>
          <m:sSub>
            <m:e>
              <m:r>
                <m:t>K</m:t>
              </m:r>
            </m:e>
            <m:sub>
              <m:r>
                <m:t>0</m:t>
              </m:r>
            </m:sub>
          </m:sSub>
          <m:d>
            <m:dPr>
              <m:begChr m:val="("/>
              <m:endChr m:val=")"/>
              <m:sepChr m:val=""/>
              <m:grow/>
            </m:dPr>
            <m:e>
              <m:r>
                <m:t>r</m:t>
              </m:r>
              <m:r>
                <m:rPr>
                  <m:sty m:val="p"/>
                </m:rPr>
                <m:t>/</m:t>
              </m:r>
              <m:r>
                <m:t>λ</m:t>
              </m:r>
            </m:e>
          </m:d>
        </m:oMath>
      </m:oMathPara>
    </w:p>
    <w:p>
      <w:pPr>
        <w:pStyle w:val="FirstParagraph"/>
      </w:pPr>
      <w:r>
        <w:t xml:space="preserve">As</w:t>
      </w:r>
      <w:r>
        <w:t xml:space="preserve"> </w:t>
      </w:r>
      <m:oMath>
        <m:r>
          <m:t>r</m:t>
        </m:r>
        <m:r>
          <m:rPr>
            <m:sty m:val="p"/>
          </m:rPr>
          <m:t>→</m:t>
        </m:r>
        <m:r>
          <m:rPr>
            <m:sty m:val="p"/>
          </m:rPr>
          <m:t>∞</m:t>
        </m:r>
      </m:oMath>
      <w:r>
        <w:t xml:space="preserve">, physical bounding demands</w:t>
      </w:r>
      <w:r>
        <w:t xml:space="preserve"> </w:t>
      </w:r>
      <m:oMath>
        <m:r>
          <m:t>C</m:t>
        </m:r>
        <m:d>
          <m:dPr>
            <m:begChr m:val="("/>
            <m:endChr m:val=")"/>
            <m:sepChr m:val=""/>
            <m:grow/>
          </m:dPr>
          <m:e>
            <m:r>
              <m:t>r</m:t>
            </m:r>
          </m:e>
        </m:d>
        <m:r>
          <m:rPr>
            <m:sty m:val="p"/>
          </m:rPr>
          <m:t>→</m:t>
        </m:r>
        <m:r>
          <m:t>0</m:t>
        </m:r>
      </m:oMath>
      <w:r>
        <w:t xml:space="preserve">; because</w:t>
      </w:r>
      <w:r>
        <w:t xml:space="preserve"> </w:t>
      </w:r>
      <m:oMath>
        <m:sSub>
          <m:e>
            <m:r>
              <m:t>I</m:t>
            </m:r>
          </m:e>
          <m:sub>
            <m:r>
              <m:t>0</m:t>
            </m:r>
          </m:sub>
        </m:sSub>
        <m:d>
          <m:dPr>
            <m:begChr m:val="("/>
            <m:endChr m:val=")"/>
            <m:sepChr m:val=""/>
            <m:grow/>
          </m:dPr>
          <m:e>
            <m:r>
              <m:t>x</m:t>
            </m:r>
          </m:e>
        </m:d>
      </m:oMath>
      <w:r>
        <w:t xml:space="preserve"> </w:t>
      </w:r>
      <w:r>
        <w:t xml:space="preserve">diverges exponentially (</w:t>
      </w:r>
      <m:oMath>
        <m:sSub>
          <m:e>
            <m:r>
              <m:t>I</m:t>
            </m:r>
          </m:e>
          <m:sub>
            <m:r>
              <m:t>0</m:t>
            </m:r>
          </m:sub>
        </m:sSub>
        <m:d>
          <m:dPr>
            <m:begChr m:val="("/>
            <m:endChr m:val=")"/>
            <m:sepChr m:val=""/>
            <m:grow/>
          </m:dPr>
          <m:e>
            <m:r>
              <m:t>x</m:t>
            </m:r>
          </m:e>
        </m:d>
        <m:r>
          <m:rPr>
            <m:sty m:val="p"/>
          </m:rPr>
          <m:t>∼</m:t>
        </m:r>
        <m:sSup>
          <m:e>
            <m:r>
              <m:t>e</m:t>
            </m:r>
          </m:e>
          <m:sup>
            <m:r>
              <m:t>x</m:t>
            </m:r>
          </m:sup>
        </m:sSup>
        <m:r>
          <m:rPr>
            <m:sty m:val="p"/>
          </m:rPr>
          <m:t>/</m:t>
        </m:r>
        <m:rad>
          <m:radPr>
            <m:degHide m:val="on"/>
          </m:radPr>
          <m:deg/>
          <m:e>
            <m:r>
              <m:t>2</m:t>
            </m:r>
            <m:r>
              <m:t>π</m:t>
            </m:r>
            <m:r>
              <m:t>x</m:t>
            </m:r>
          </m:e>
        </m:rad>
      </m:oMath>
      <w:r>
        <w:t xml:space="preserve">), the coefficient</w:t>
      </w:r>
      <w:r>
        <w:t xml:space="preserve"> </w:t>
      </w:r>
      <m:oMath>
        <m:r>
          <m:t>A</m:t>
        </m:r>
      </m:oMath>
      <w:r>
        <w:t xml:space="preserve"> </w:t>
      </w:r>
      <w:r>
        <w:t xml:space="preserve">must identically equal 0. Applying the Dirichlet boundary condition at the capillary wall</w:t>
      </w:r>
      <w:r>
        <w:t xml:space="preserve"> </w:t>
      </w:r>
      <m:oMath>
        <m:r>
          <m:t>C</m:t>
        </m:r>
        <m:d>
          <m:dPr>
            <m:begChr m:val="("/>
            <m:endChr m:val=")"/>
            <m:sepChr m:val=""/>
            <m:grow/>
          </m:dPr>
          <m:e>
            <m:sSub>
              <m:e>
                <m:r>
                  <m:t>r</m:t>
                </m:r>
              </m:e>
              <m:sub>
                <m:r>
                  <m:t>0</m:t>
                </m:r>
              </m:sub>
            </m:sSub>
          </m:e>
        </m:d>
        <m:r>
          <m:rPr>
            <m:sty m:val="p"/>
          </m:rPr>
          <m:t>=</m:t>
        </m:r>
        <m:sSub>
          <m:e>
            <m:r>
              <m:t>C</m:t>
            </m:r>
          </m:e>
          <m:sub>
            <m:r>
              <m:t>0</m:t>
            </m:r>
          </m:sub>
        </m:sSub>
      </m:oMath>
      <w:r>
        <w:t xml:space="preserve">, we obtain the exact closed-form solution:</w:t>
      </w:r>
    </w:p>
    <w:p>
      <w:pPr>
        <w:pStyle w:val="BodyText"/>
      </w:pPr>
      <m:oMathPara>
        <m:oMathParaPr>
          <m:jc m:val="center"/>
        </m:oMathParaPr>
        <m:oMath>
          <m:r>
            <m:t>C</m:t>
          </m:r>
          <m:d>
            <m:dPr>
              <m:begChr m:val="("/>
              <m:endChr m:val=")"/>
              <m:sepChr m:val=""/>
              <m:grow/>
            </m:dPr>
            <m:e>
              <m:r>
                <m:t>r</m:t>
              </m:r>
            </m:e>
          </m:d>
          <m:r>
            <m:rPr>
              <m:sty m:val="p"/>
            </m:rPr>
            <m:t>=</m:t>
          </m:r>
          <m:sSub>
            <m:e>
              <m:r>
                <m:t>C</m:t>
              </m:r>
            </m:e>
            <m:sub>
              <m:r>
                <m:t>0</m:t>
              </m:r>
            </m:sub>
          </m:sSub>
          <m:f>
            <m:fPr>
              <m:type m:val="bar"/>
            </m:fPr>
            <m:num>
              <m:sSub>
                <m:e>
                  <m:r>
                    <m:t>K</m:t>
                  </m:r>
                </m:e>
                <m:sub>
                  <m:r>
                    <m:t>0</m:t>
                  </m:r>
                </m:sub>
              </m:sSub>
              <m:d>
                <m:dPr>
                  <m:begChr m:val="("/>
                  <m:endChr m:val=")"/>
                  <m:sepChr m:val=""/>
                  <m:grow/>
                </m:dPr>
                <m:e>
                  <m:r>
                    <m:t>r</m:t>
                  </m:r>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oMath>
      </m:oMathPara>
    </w:p>
    <w:p>
      <w:pPr>
        <w:pStyle w:val="FirstParagraph"/>
      </w:pPr>
      <w:r>
        <w:t xml:space="preserve">where</w:t>
      </w:r>
      <w:r>
        <w:t xml:space="preserve"> </w:t>
      </w:r>
      <m:oMath>
        <m:sSub>
          <m:e>
            <m:r>
              <m:t>K</m:t>
            </m:r>
          </m:e>
          <m:sub>
            <m:r>
              <m:t>0</m:t>
            </m:r>
          </m:sub>
        </m:sSub>
      </m:oMath>
      <w:r>
        <w:t xml:space="preserve"> </w:t>
      </w:r>
      <w:r>
        <w:t xml:space="preserve">is the modified Bessel function of the second kind of order zero. In earlier heuristic literature, approximate asymptotic forms (</w:t>
      </w:r>
      <m:oMath>
        <m:r>
          <m:t>C</m:t>
        </m:r>
        <m:d>
          <m:dPr>
            <m:begChr m:val="("/>
            <m:endChr m:val=")"/>
            <m:sepChr m:val=""/>
            <m:grow/>
          </m:dPr>
          <m:e>
            <m:r>
              <m:t>r</m:t>
            </m:r>
          </m:e>
        </m:d>
        <m:r>
          <m:rPr>
            <m:sty m:val="p"/>
          </m:rPr>
          <m:t>≈</m:t>
        </m:r>
        <m:sSub>
          <m:e>
            <m:r>
              <m:t>C</m:t>
            </m:r>
          </m:e>
          <m:sub>
            <m:r>
              <m:t>0</m:t>
            </m:r>
          </m:sub>
        </m:sSub>
        <m:rad>
          <m:radPr>
            <m:degHide m:val="on"/>
          </m:radPr>
          <m:deg/>
          <m:e>
            <m:sSub>
              <m:e>
                <m:r>
                  <m:t>r</m:t>
                </m:r>
              </m:e>
              <m:sub>
                <m:r>
                  <m:t>0</m:t>
                </m:r>
              </m:sub>
            </m:sSub>
            <m:r>
              <m:rPr>
                <m:sty m:val="p"/>
              </m:rPr>
              <m:t>/</m:t>
            </m:r>
            <m:r>
              <m:t>r</m:t>
            </m:r>
          </m:e>
        </m:rad>
        <m:sSup>
          <m:e>
            <m:r>
              <m:t>e</m:t>
            </m:r>
          </m:e>
          <m:sup>
            <m:r>
              <m:rPr>
                <m:sty m:val="p"/>
              </m:rPr>
              <m:t>−</m:t>
            </m:r>
            <m:d>
              <m:dPr>
                <m:begChr m:val="("/>
                <m:endChr m:val=")"/>
                <m:sepChr m:val=""/>
                <m:grow/>
              </m:dPr>
              <m:e>
                <m:r>
                  <m:t>r</m:t>
                </m:r>
                <m:r>
                  <m:rPr>
                    <m:sty m:val="p"/>
                  </m:rPr>
                  <m:t>−</m:t>
                </m:r>
                <m:sSub>
                  <m:e>
                    <m:r>
                      <m:t>r</m:t>
                    </m:r>
                  </m:e>
                  <m:sub>
                    <m:r>
                      <m:t>0</m:t>
                    </m:r>
                  </m:sub>
                </m:sSub>
              </m:e>
            </m:d>
            <m:r>
              <m:rPr>
                <m:sty m:val="p"/>
              </m:rPr>
              <m:t>/</m:t>
            </m:r>
            <m:r>
              <m:t>λ</m:t>
            </m:r>
          </m:sup>
        </m:sSup>
      </m:oMath>
      <w:r>
        <w:t xml:space="preserve">) were occasionally employed; however, because the relevant microenvironmental regime spans</w:t>
      </w:r>
      <w:r>
        <w:t xml:space="preserve"> </w:t>
      </w:r>
      <m:oMath>
        <m:r>
          <m:t>x</m:t>
        </m:r>
        <m:r>
          <m:rPr>
            <m:sty m:val="p"/>
          </m:rPr>
          <m:t>=</m:t>
        </m:r>
        <m:r>
          <m:t>r</m:t>
        </m:r>
        <m:r>
          <m:rPr>
            <m:sty m:val="p"/>
          </m:rPr>
          <m:t>/</m:t>
        </m:r>
        <m:r>
          <m:t>λ</m:t>
        </m:r>
        <m:r>
          <m:rPr>
            <m:sty m:val="p"/>
          </m:rPr>
          <m:t>∈</m:t>
        </m:r>
        <m:d>
          <m:dPr>
            <m:begChr m:val="["/>
            <m:endChr m:val="]"/>
            <m:sepChr m:val=""/>
            <m:grow/>
          </m:dPr>
          <m:e>
            <m:r>
              <m:t>0.016</m:t>
            </m:r>
            <m:r>
              <m:rPr>
                <m:sty m:val="p"/>
              </m:rPr>
              <m:t>,</m:t>
            </m:r>
            <m:r>
              <m:t>0.5</m:t>
            </m:r>
          </m:e>
        </m:d>
      </m:oMath>
      <w:r>
        <w:t xml:space="preserve">, asymptotic approximations incur substantial errors. Our framework strictly solves the exact Bessel equation.</w:t>
      </w:r>
    </w:p>
    <w:p>
      <w:pPr>
        <w:pStyle w:val="BodyText"/>
      </w:pPr>
      <w:r>
        <w:t xml:space="preserve">From an anatomical and pathological standpoint, this cylindrical formulation captures the</w:t>
      </w:r>
      <w:r>
        <w:t xml:space="preserve"> </w:t>
      </w:r>
      <w:r>
        <w:rPr>
          <w:b/>
          <w:bCs/>
        </w:rPr>
        <w:t xml:space="preserve">Krogh perivascular tumor cord / tissue sleeve</w:t>
      </w:r>
      <w:r>
        <w:t xml:space="preserve"> </w:t>
      </w:r>
      <w:r>
        <w:t xml:space="preserve">(characteristic of perivascular cuffs and papillary fibrovascular cores), where diffusion of oxygen and small molecules proceeds</w:t>
      </w:r>
      <w:r>
        <w:t xml:space="preserve"> </w:t>
      </w:r>
      <w:r>
        <w:rPr>
          <w:b/>
          <w:bCs/>
        </w:rPr>
        <w:t xml:space="preserve">centrifugally</w:t>
      </w:r>
      <w:r>
        <w:t xml:space="preserve"> </w:t>
      </w:r>
      <w:r>
        <w:t xml:space="preserve">outward from a central functional microvessel (</w:t>
      </w:r>
      <m:oMath>
        <m:sSub>
          <m:e>
            <m:r>
              <m:t>r</m:t>
            </m:r>
          </m:e>
          <m:sub>
            <m:r>
              <m:t>0</m:t>
            </m:r>
          </m:sub>
        </m:sSub>
        <m:r>
          <m:rPr>
            <m:sty m:val="p"/>
          </m:rPr>
          <m:t>=</m:t>
        </m:r>
        <m:r>
          <m:t>10.0</m:t>
        </m:r>
        <m:r>
          <m:t> </m:t>
        </m:r>
        <m:r>
          <m:t>μ</m:t>
        </m:r>
        <m:r>
          <m:rPr>
            <m:nor/>
            <m:sty m:val="p"/>
          </m:rPr>
          <m:t>m</m:t>
        </m:r>
      </m:oMath>
      <w:r>
        <w:t xml:space="preserve">). In this outward geometry, neoplastic cells proximal to the capillary (</w:t>
      </w:r>
      <m:oMath>
        <m:r>
          <m:t>r</m:t>
        </m:r>
        <m:r>
          <m:rPr>
            <m:sty m:val="p"/>
          </m:rPr>
          <m:t>&lt;</m:t>
        </m:r>
        <m:r>
          <m:t>165.9</m:t>
        </m:r>
        <m:r>
          <m:t> </m:t>
        </m:r>
        <m:r>
          <m:t>μ</m:t>
        </m:r>
        <m:r>
          <m:rPr>
            <m:nor/>
            <m:sty m:val="p"/>
          </m:rPr>
          <m:t>m</m:t>
        </m:r>
      </m:oMath>
      <w:r>
        <w:t xml:space="preserve">) experience therapeutic inhibition; cells in the intermediate annulus (</w:t>
      </w:r>
      <m:oMath>
        <m:r>
          <m:t>165.9</m:t>
        </m:r>
        <m:r>
          <m:rPr>
            <m:sty m:val="p"/>
          </m:rPr>
          <m:t>≤</m:t>
        </m:r>
        <m:r>
          <m:t>r</m:t>
        </m:r>
        <m:r>
          <m:rPr>
            <m:sty m:val="p"/>
          </m:rPr>
          <m:t>≤</m:t>
        </m:r>
        <m:r>
          <m:t>200.0</m:t>
        </m:r>
        <m:r>
          <m:t> </m:t>
        </m:r>
        <m:r>
          <m:t>μ</m:t>
        </m:r>
        <m:r>
          <m:rPr>
            <m:nor/>
            <m:sty m:val="p"/>
          </m:rPr>
          <m:t>m</m:t>
        </m:r>
      </m:oMath>
      <w:r>
        <w:t xml:space="preserve">) form a viable pharmacological sanctuary; and tissue beyond the oxygen diffusion limit (</w:t>
      </w:r>
      <m:oMath>
        <m:r>
          <m:t>r</m:t>
        </m:r>
        <m:r>
          <m:rPr>
            <m:sty m:val="p"/>
          </m:rPr>
          <m:t>&gt;</m:t>
        </m:r>
        <m:r>
          <m:t>200.0</m:t>
        </m:r>
        <m:r>
          <m:t> </m:t>
        </m:r>
        <m:r>
          <m:t>μ</m:t>
        </m:r>
        <m:r>
          <m:rPr>
            <m:nor/>
            <m:sty m:val="p"/>
          </m:rPr>
          <m:t>m</m:t>
        </m:r>
      </m:oMath>
      <w:r>
        <w:t xml:space="preserve">) undergoes ischemic coagulative necrosis at the outer inter-vascular margin. In complementary avascular solid nests lacking internal microvessels, diffusion proceeds</w:t>
      </w:r>
      <w:r>
        <w:t xml:space="preserve"> </w:t>
      </w:r>
      <w:r>
        <w:rPr>
          <w:b/>
          <w:bCs/>
        </w:rPr>
        <w:t xml:space="preserve">centripetally</w:t>
      </w:r>
      <w:r>
        <w:t xml:space="preserve"> </w:t>
      </w:r>
      <w:r>
        <w:t xml:space="preserve">from peripheral stromal capillaries inward toward the center; under both topological configurations, any neoplastic cells situated at a physical distance</w:t>
      </w:r>
      <w:r>
        <w:t xml:space="preserve"> </w:t>
      </w:r>
      <m:oMath>
        <m:r>
          <m:t>Δ</m:t>
        </m:r>
        <m:r>
          <m:t>r</m:t>
        </m:r>
        <m:r>
          <m:rPr>
            <m:sty m:val="p"/>
          </m:rPr>
          <m:t>∈</m:t>
        </m:r>
        <m:d>
          <m:dPr>
            <m:begChr m:val="["/>
            <m:endChr m:val="]"/>
            <m:sepChr m:val=""/>
            <m:grow/>
          </m:dPr>
          <m:e>
            <m:r>
              <m:t>165.9</m:t>
            </m:r>
            <m:r>
              <m:rPr>
                <m:sty m:val="p"/>
              </m:rPr>
              <m:t>,</m:t>
            </m:r>
            <m:r>
              <m:t>200.0</m:t>
            </m:r>
          </m:e>
        </m:d>
        <m:r>
          <m:t> </m:t>
        </m:r>
        <m:r>
          <m:t>μ</m:t>
        </m:r>
        <m:r>
          <m:rPr>
            <m:nor/>
            <m:sty m:val="p"/>
          </m:rPr>
          <m:t>m</m:t>
        </m:r>
      </m:oMath>
      <w:r>
        <w:t xml:space="preserve"> </w:t>
      </w:r>
      <w:r>
        <w:t xml:space="preserve">from the nearest functional microvessel occupy an identical viable sanctuary band.</w:t>
      </w:r>
    </w:p>
    <w:bookmarkEnd w:id="24"/>
    <w:bookmarkStart w:id="28" w:name="Xe719d42e3c238ef78087d62ae5d0590f3c8a187"/>
    <w:p>
      <w:pPr>
        <w:pStyle w:val="Heading3"/>
      </w:pPr>
      <w:r>
        <w:t xml:space="preserve">2.2 Pharmacological Calibration &amp; Viable Sanctuary Shell</w:t>
      </w:r>
    </w:p>
    <w:p>
      <w:pPr>
        <w:pStyle w:val="FirstParagraph"/>
      </w:pPr>
      <w:r>
        <w:t xml:space="preserve">For osimertinib at the approved standard daily dose of 80 mg orally, clinical steady-state plasma concentrations average</w:t>
      </w:r>
      <w:r>
        <w:t xml:space="preserve"> </w:t>
      </w:r>
      <m:oMath>
        <m:sSub>
          <m:e>
            <m:r>
              <m:t>C</m:t>
            </m:r>
          </m:e>
          <m:sub>
            <m:r>
              <m:rPr>
                <m:nor/>
                <m:sty m:val="p"/>
              </m:rPr>
              <m:t>ss</m:t>
            </m:r>
          </m:sub>
        </m:sSub>
        <m:r>
          <m:rPr>
            <m:sty m:val="p"/>
          </m:rPr>
          <m:t>≈</m:t>
        </m:r>
        <m:r>
          <m:t>250</m:t>
        </m:r>
        <m:r>
          <m:rPr>
            <m:nor/>
            <m:sty m:val="p"/>
          </m:rPr>
          <m:t>–</m:t>
        </m:r>
        <m:r>
          <m:t>300</m:t>
        </m:r>
        <m:r>
          <m:t> </m:t>
        </m:r>
        <m:r>
          <m:rPr>
            <m:nor/>
            <m:sty m:val="p"/>
          </m:rPr>
          <m:t>ng/mL</m:t>
        </m:r>
      </m:oMath>
      <w:r>
        <w:t xml:space="preserve"> </w:t>
      </w:r>
      <w:r>
        <w:t xml:space="preserve">(</w:t>
      </w:r>
      <m:oMath>
        <m:r>
          <m:rPr>
            <m:sty m:val="p"/>
          </m:rPr>
          <m:t>≈</m:t>
        </m:r>
        <m:r>
          <m:t>500</m:t>
        </m:r>
        <m:r>
          <m:t> </m:t>
        </m:r>
        <m:r>
          <m:rPr>
            <m:nor/>
            <m:sty m:val="p"/>
          </m:rPr>
          <m:t>nM</m:t>
        </m:r>
      </m:oMath>
      <w:r>
        <w:t xml:space="preserve">). Given a human plasma protein binding of 94.7% (</w:t>
      </w:r>
      <m:oMath>
        <m:sSub>
          <m:e>
            <m:r>
              <m:t>f</m:t>
            </m:r>
          </m:e>
          <m:sub>
            <m:r>
              <m:t>u</m:t>
            </m:r>
          </m:sub>
        </m:sSub>
        <m:r>
          <m:rPr>
            <m:sty m:val="p"/>
          </m:rPr>
          <m:t>=</m:t>
        </m:r>
        <m:r>
          <m:t>5.3</m:t>
        </m:r>
        <m:r>
          <m:rPr>
            <m:sty m:val="p"/>
          </m:rPr>
          <m:t>%</m:t>
        </m:r>
      </m:oMath>
      <w:r>
        <w:t xml:space="preserve">), the biologically available unbound vascular concentration is</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In human</w:t>
      </w:r>
      <w:r>
        <w:t xml:space="preserve"> </w:t>
      </w:r>
      <w:r>
        <w:rPr>
          <w:i/>
          <w:iCs/>
        </w:rPr>
        <w:t xml:space="preserve">EGFR</w:t>
      </w:r>
      <w:r>
        <w:t xml:space="preserve">-mutant lung adenocarcinoma cell lines (PC9, H1975), the half-maximal inhibitory concentration for EGFR phosphorylation and clonal suppression is</w:t>
      </w:r>
      <w:r>
        <w:t xml:space="preserve"> </w:t>
      </w:r>
      <m:oMath>
        <m:r>
          <m:t>I</m:t>
        </m:r>
        <m:sSub>
          <m:e>
            <m:r>
              <m:t>C</m:t>
            </m:r>
          </m:e>
          <m:sub>
            <m:r>
              <m:t>50</m:t>
            </m:r>
          </m:sub>
        </m:sSub>
        <m:r>
          <m:rPr>
            <m:sty m:val="p"/>
          </m:rPr>
          <m:t>≈</m:t>
        </m:r>
        <m:r>
          <m:t>8.8</m:t>
        </m:r>
        <m:r>
          <m:t> </m:t>
        </m:r>
        <m:r>
          <m:rPr>
            <m:nor/>
            <m:sty m:val="p"/>
          </m:rPr>
          <m:t>nM</m:t>
        </m:r>
      </m:oMath>
      <w:r>
        <w:t xml:space="preserve"> </w:t>
      </w:r>
      <w:r>
        <w:t xml:space="preserve">(Cross et al.,</w:t>
      </w:r>
      <w:r>
        <w:t xml:space="preserve"> </w:t>
      </w:r>
      <w:r>
        <w:rPr>
          <w:i/>
          <w:iCs/>
        </w:rPr>
        <w:t xml:space="preserve">Cancer Discovery</w:t>
      </w:r>
      <w:r>
        <w:t xml:space="preserve"> </w:t>
      </w:r>
      <w:r>
        <w:t xml:space="preserve">2014 [5]). The therapeutic threshold ratio is therefore defined by physiology:</w:t>
      </w:r>
    </w:p>
    <w:p>
      <w:pPr>
        <w:pStyle w:val="BodyText"/>
      </w:pPr>
      <m:oMathPara>
        <m:oMathParaPr>
          <m:jc m:val="center"/>
        </m:oMathParaPr>
        <m:oMath>
          <m:r>
            <m:t>θ</m:t>
          </m:r>
          <m:r>
            <m:rPr>
              <m:sty m:val="p"/>
            </m:rPr>
            <m:t>=</m:t>
          </m:r>
          <m:f>
            <m:fPr>
              <m:type m:val="bar"/>
            </m:fPr>
            <m:num>
              <m:r>
                <m:t>I</m:t>
              </m:r>
              <m:sSub>
                <m:e>
                  <m:r>
                    <m:t>C</m:t>
                  </m:r>
                </m:e>
                <m:sub>
                  <m:r>
                    <m:t>50</m:t>
                  </m:r>
                </m:sub>
              </m:sSub>
            </m:num>
            <m:den>
              <m:sSub>
                <m:e>
                  <m:r>
                    <m:t>C</m:t>
                  </m:r>
                </m:e>
                <m:sub>
                  <m:r>
                    <m:t>0</m:t>
                  </m:r>
                  <m:r>
                    <m:rPr>
                      <m:sty m:val="p"/>
                    </m:rPr>
                    <m:t>,</m:t>
                  </m:r>
                  <m:r>
                    <m:rPr>
                      <m:nor/>
                      <m:sty m:val="p"/>
                    </m:rPr>
                    <m:t>free</m:t>
                  </m:r>
                </m:sub>
              </m:sSub>
            </m:den>
          </m:f>
          <m:r>
            <m:rPr>
              <m:sty m:val="p"/>
            </m:rPr>
            <m:t>=</m:t>
          </m:r>
          <m:f>
            <m:fPr>
              <m:type m:val="bar"/>
            </m:fPr>
            <m:num>
              <m:r>
                <m:t>8.8</m:t>
              </m:r>
              <m:r>
                <m:t> </m:t>
              </m:r>
              <m:r>
                <m:rPr>
                  <m:nor/>
                  <m:sty m:val="p"/>
                </m:rPr>
                <m:t>nM</m:t>
              </m:r>
            </m:num>
            <m:den>
              <m:r>
                <m:t>25.0</m:t>
              </m:r>
              <m:r>
                <m:t> </m:t>
              </m:r>
              <m:r>
                <m:rPr>
                  <m:nor/>
                  <m:sty m:val="p"/>
                </m:rPr>
                <m:t>nM</m:t>
              </m:r>
            </m:den>
          </m:f>
          <m:r>
            <m:rPr>
              <m:sty m:val="p"/>
            </m:rPr>
            <m:t>=</m:t>
          </m:r>
          <m:r>
            <m:t>0.352</m:t>
          </m:r>
          <m:r>
            <m:rPr>
              <m:sty m:val="p"/>
            </m:rPr>
            <m:t>≈</m:t>
          </m:r>
          <m:r>
            <m:t>0.35</m:t>
          </m:r>
        </m:oMath>
      </m:oMathPara>
    </w:p>
    <w:p>
      <w:pPr>
        <w:pStyle w:val="FirstParagraph"/>
      </w:pPr>
      <w:r>
        <w:t xml:space="preserve">At</w:t>
      </w:r>
      <w:r>
        <w:t xml:space="preserve"> </w:t>
      </w:r>
      <m:oMath>
        <m:r>
          <m:t>θ</m:t>
        </m:r>
        <m:r>
          <m:rPr>
            <m:sty m:val="p"/>
          </m:rPr>
          <m:t>=</m:t>
        </m:r>
        <m:r>
          <m:t>0.350</m:t>
        </m:r>
      </m:oMath>
      <w:r>
        <w:t xml:space="preserve">, solving</w:t>
      </w:r>
      <w:r>
        <w:t xml:space="preserve"> </w:t>
      </w:r>
      <m:oMath>
        <m:r>
          <m:t>C</m:t>
        </m:r>
        <m:d>
          <m:dPr>
            <m:begChr m:val="("/>
            <m:endChr m:val=")"/>
            <m:sepChr m:val=""/>
            <m:grow/>
          </m:dPr>
          <m:e>
            <m:sSub>
              <m:e>
                <m:r>
                  <m:t>r</m:t>
                </m:r>
              </m:e>
              <m:sub>
                <m:r>
                  <m:rPr>
                    <m:nor/>
                    <m:sty m:val="p"/>
                  </m:rPr>
                  <m:t>crit</m:t>
                </m:r>
              </m:sub>
            </m:sSub>
          </m:e>
        </m:d>
        <m:r>
          <m:rPr>
            <m:sty m:val="p"/>
          </m:rPr>
          <m:t>=</m:t>
        </m:r>
        <m:r>
          <m:t>0.350</m:t>
        </m:r>
        <m:sSub>
          <m:e>
            <m:r>
              <m:t>C</m:t>
            </m:r>
          </m:e>
          <m:sub>
            <m:r>
              <m:t>0</m:t>
            </m:r>
          </m:sub>
        </m:sSub>
      </m:oMath>
      <w:r>
        <w:t xml:space="preserve"> </w:t>
      </w:r>
      <w:r>
        <w:t xml:space="preserve">yields the exact critical radius:</w:t>
      </w:r>
      <w:r>
        <w:t xml:space="preserve"> </w:t>
      </w:r>
      <m:oMath>
        <m:sSub>
          <m:e>
            <m:r>
              <m:t>r</m:t>
            </m:r>
          </m:e>
          <m:sub>
            <m:r>
              <m:rPr>
                <m:nor/>
                <m:sty m:val="p"/>
              </m:rPr>
              <m:t>crit</m:t>
            </m:r>
          </m:sub>
        </m:sSub>
        <m:r>
          <m:rPr>
            <m:sty m:val="p"/>
          </m:rPr>
          <m:t>=</m:t>
        </m:r>
        <m:r>
          <m:t>165.90</m:t>
        </m:r>
        <m:r>
          <m:t> </m:t>
        </m:r>
        <m:r>
          <m:t>μ</m:t>
        </m:r>
        <m:r>
          <m:rPr>
            <m:nor/>
            <m:sty m:val="p"/>
          </m:rPr>
          <m:t>m</m:t>
        </m:r>
      </m:oMath>
      <w:r>
        <w:t xml:space="preserve"> </w:t>
      </w:r>
      <w:r>
        <w:t xml:space="preserve">(with</w:t>
      </w:r>
      <w:r>
        <w:t xml:space="preserve"> </w:t>
      </w:r>
      <m:oMath>
        <m:r>
          <m:t>θ</m:t>
        </m:r>
        <m:r>
          <m:rPr>
            <m:sty m:val="p"/>
          </m:rPr>
          <m:t>=</m:t>
        </m:r>
        <m:r>
          <m:t>0.352</m:t>
        </m:r>
      </m:oMath>
      <w:r>
        <w:t xml:space="preserve">,</w:t>
      </w:r>
      <w:r>
        <w:t xml:space="preserve"> </w:t>
      </w:r>
      <m:oMath>
        <m:sSub>
          <m:e>
            <m:r>
              <m:t>r</m:t>
            </m:r>
          </m:e>
          <m:sub>
            <m:r>
              <m:rPr>
                <m:nor/>
                <m:sty m:val="p"/>
              </m:rPr>
              <m:t>crit</m:t>
            </m:r>
          </m:sub>
        </m:sSub>
        <m:r>
          <m:rPr>
            <m:sty m:val="p"/>
          </m:rPr>
          <m:t>=</m:t>
        </m:r>
        <m:r>
          <m:t>164.40</m:t>
        </m:r>
        <m:r>
          <m:t> </m:t>
        </m:r>
        <m:r>
          <m:t>μ</m:t>
        </m:r>
        <m:r>
          <m:rPr>
            <m:nor/>
            <m:sty m:val="p"/>
          </m:rPr>
          <m:t>m</m:t>
        </m:r>
      </m:oMath>
      <w:r>
        <w:t xml:space="preserve">). Neoplastic viability is concurrently constrained by oxygen diffusion. As first quantified in human lung carcinoma cords by Thomlinson &amp; Gray (</w:t>
      </w:r>
      <w:r>
        <w:rPr>
          <w:i/>
          <w:iCs/>
        </w:rPr>
        <w:t xml:space="preserve">Br J Cancer</w:t>
      </w:r>
      <w:r>
        <w:t xml:space="preserve"> </w:t>
      </w:r>
      <w:r>
        <w:t xml:space="preserve">1955 [4]), mitochondrial consumption limits oxygen survival to</w:t>
      </w:r>
      <w:r>
        <w:t xml:space="preserve"> </w:t>
      </w:r>
      <m:oMath>
        <m:r>
          <m:t>150</m:t>
        </m:r>
        <m:r>
          <m:rPr>
            <m:nor/>
            <m:sty m:val="p"/>
          </m:rPr>
          <m:t>–</m:t>
        </m:r>
        <m:r>
          <m:t>200</m:t>
        </m:r>
        <m:r>
          <m:t> </m:t>
        </m:r>
        <m:r>
          <m:t>μ</m:t>
        </m:r>
        <m:r>
          <m:rPr>
            <m:nor/>
            <m:sty m:val="p"/>
          </m:rPr>
          <m:t>m</m:t>
        </m:r>
      </m:oMath>
      <w:r>
        <w:t xml:space="preserve"> </w:t>
      </w:r>
      <w:r>
        <w:t xml:space="preserve">from the nearest functional microvessel. Beyond</w:t>
      </w:r>
      <w:r>
        <w:t xml:space="preserve"> </w:t>
      </w:r>
      <m:oMath>
        <m:sSub>
          <m:e>
            <m:r>
              <m:t>r</m:t>
            </m:r>
          </m:e>
          <m:sub>
            <m:r>
              <m:rPr>
                <m:nor/>
                <m:sty m:val="p"/>
              </m:rPr>
              <m:t>ox</m:t>
            </m:r>
          </m:sub>
        </m:sSub>
        <m:r>
          <m:rPr>
            <m:sty m:val="p"/>
          </m:rPr>
          <m:t>=</m:t>
        </m:r>
        <m:r>
          <m:t>200.0</m:t>
        </m:r>
        <m:r>
          <m:t> </m:t>
        </m:r>
        <m:r>
          <m:t>μ</m:t>
        </m:r>
        <m:r>
          <m:rPr>
            <m:nor/>
            <m:sty m:val="p"/>
          </m:rPr>
          <m:t>m</m:t>
        </m:r>
      </m:oMath>
      <w:r>
        <w:t xml:space="preserve">, severe anoxia triggers coagulative necrosis. Therefore, in compact nests where</w:t>
      </w:r>
      <w:r>
        <w:t xml:space="preserve"> </w:t>
      </w:r>
      <m:oMath>
        <m:r>
          <m:t>R</m:t>
        </m:r>
        <m:r>
          <m:rPr>
            <m:sty m:val="p"/>
          </m:rPr>
          <m:t>≥</m:t>
        </m:r>
        <m:r>
          <m:t>200</m:t>
        </m:r>
        <m:r>
          <m:t> </m:t>
        </m:r>
        <m:r>
          <m:t>μ</m:t>
        </m:r>
        <m:r>
          <m:rPr>
            <m:nor/>
            <m:sty m:val="p"/>
          </m:rPr>
          <m:t>m</m:t>
        </m:r>
      </m:oMath>
      <w:r>
        <w:t xml:space="preserve">, an anatomical annulus emerges:</w:t>
      </w:r>
    </w:p>
    <w:p>
      <w:pPr>
        <w:pStyle w:val="BodyText"/>
      </w:pPr>
      <m:oMathPara>
        <m:oMathParaPr>
          <m:jc m:val="center"/>
        </m:oMathParaPr>
        <m:oMath>
          <m:r>
            <m:t>Δ</m:t>
          </m:r>
          <m:sSub>
            <m:e>
              <m:r>
                <m:t>r</m:t>
              </m:r>
            </m:e>
            <m:sub>
              <m:r>
                <m:rPr>
                  <m:nor/>
                  <m:sty m:val="p"/>
                </m:rPr>
                <m:t>sanctuary</m:t>
              </m:r>
            </m:sub>
          </m:sSub>
          <m:r>
            <m:rPr>
              <m:sty m:val="p"/>
            </m:rPr>
            <m:t>=</m:t>
          </m:r>
          <m:sSub>
            <m:e>
              <m:r>
                <m:t>r</m:t>
              </m:r>
            </m:e>
            <m:sub>
              <m:r>
                <m:rPr>
                  <m:nor/>
                  <m:sty m:val="p"/>
                </m:rPr>
                <m:t>ox</m:t>
              </m:r>
            </m:sub>
          </m:sSub>
          <m:r>
            <m:rPr>
              <m:sty m:val="p"/>
            </m:rPr>
            <m:t>−</m:t>
          </m:r>
          <m:sSub>
            <m:e>
              <m:r>
                <m:t>r</m:t>
              </m:r>
            </m:e>
            <m:sub>
              <m:r>
                <m:rPr>
                  <m:nor/>
                  <m:sty m:val="p"/>
                </m:rPr>
                <m:t>crit</m:t>
              </m:r>
            </m:sub>
          </m:sSub>
          <m:r>
            <m:rPr>
              <m:sty m:val="p"/>
            </m:rPr>
            <m:t>=</m:t>
          </m:r>
          <m:r>
            <m:t>200.0</m:t>
          </m:r>
          <m:r>
            <m:t> </m:t>
          </m:r>
          <m:r>
            <m:t>μ</m:t>
          </m:r>
          <m:r>
            <m:rPr>
              <m:nor/>
              <m:sty m:val="p"/>
            </m:rPr>
            <m:t>m</m:t>
          </m:r>
          <m:r>
            <m:rPr>
              <m:sty m:val="p"/>
            </m:rPr>
            <m:t>−</m:t>
          </m:r>
          <m:r>
            <m:t>165.90</m:t>
          </m:r>
          <m:r>
            <m:t> </m:t>
          </m:r>
          <m:r>
            <m:t>μ</m:t>
          </m:r>
          <m:r>
            <m:rPr>
              <m:nor/>
              <m:sty m:val="p"/>
            </m:rPr>
            <m:t>m</m:t>
          </m:r>
          <m:r>
            <m:rPr>
              <m:sty m:val="p"/>
            </m:rPr>
            <m:t>=</m:t>
          </m:r>
          <m:r>
            <m:rPr>
              <m:sty m:val="b"/>
            </m:rPr>
            <m:t>34.10</m:t>
          </m:r>
          <m:r>
            <m:rPr>
              <m:sty m:val="b"/>
            </m:rPr>
            <m:t> </m:t>
          </m:r>
          <m:r>
            <m:rPr>
              <m:sty m:val="b"/>
            </m:rPr>
            <m:t>μ</m:t>
          </m:r>
          <m:r>
            <m:rPr>
              <m:nor/>
              <m:sty m:val="p"/>
            </m:rPr>
            <m:t>m</m:t>
          </m:r>
        </m:oMath>
      </m:oMathPara>
    </w:p>
    <w:p>
      <w:pPr>
        <w:pStyle w:val="FirstParagraph"/>
      </w:pPr>
      <w:r>
        <w:t xml:space="preserve">(or</w:t>
      </w:r>
      <w:r>
        <w:t xml:space="preserve"> </w:t>
      </w:r>
      <m:oMath>
        <m:r>
          <m:t>Δ</m:t>
        </m:r>
        <m:r>
          <m:t>r</m:t>
        </m:r>
        <m:r>
          <m:rPr>
            <m:sty m:val="p"/>
          </m:rPr>
          <m:t>=</m:t>
        </m:r>
        <m:r>
          <m:t>35.60</m:t>
        </m:r>
        <m:r>
          <m:t> </m:t>
        </m:r>
        <m:r>
          <m:t>μ</m:t>
        </m:r>
        <m:r>
          <m:rPr>
            <m:nor/>
            <m:sty m:val="p"/>
          </m:rPr>
          <m:t>m</m:t>
        </m:r>
      </m:oMath>
      <w:r>
        <w:t xml:space="preserve"> </w:t>
      </w:r>
      <w:r>
        <w:t xml:space="preserve">for</w:t>
      </w:r>
      <w:r>
        <w:t xml:space="preserve"> </w:t>
      </w:r>
      <m:oMath>
        <m:r>
          <m:t>θ</m:t>
        </m:r>
        <m:r>
          <m:rPr>
            <m:sty m:val="p"/>
          </m:rPr>
          <m:t>=</m:t>
        </m:r>
        <m:r>
          <m:t>0.352</m:t>
        </m:r>
      </m:oMath>
      <w:r>
        <w:t xml:space="preserve">). Within this shell, cells receive sufficient oxygen to sustain mitochondrial respiration (</w:t>
      </w:r>
      <m:oMath>
        <m:r>
          <m:t>p</m:t>
        </m:r>
        <m:sSub>
          <m:e>
            <m:r>
              <m:t>O</m:t>
            </m:r>
          </m:e>
          <m:sub>
            <m:r>
              <m:t>2</m:t>
            </m:r>
          </m:sub>
        </m:sSub>
        <m:r>
          <m:rPr>
            <m:sty m:val="p"/>
          </m:rPr>
          <m:t>&gt;</m:t>
        </m:r>
        <m:r>
          <m:t>5</m:t>
        </m:r>
        <m:r>
          <m:t> </m:t>
        </m:r>
        <m:r>
          <m:rPr>
            <m:nor/>
            <m:sty m:val="p"/>
          </m:rPr>
          <m:t>mmHg</m:t>
        </m:r>
      </m:oMath>
      <w:r>
        <w:t xml:space="preserve">), but drug concentrations fall below</w:t>
      </w:r>
      <w:r>
        <w:t xml:space="preserve"> </w:t>
      </w:r>
      <m:oMath>
        <m:r>
          <m:t>I</m:t>
        </m:r>
        <m:sSub>
          <m:e>
            <m:r>
              <m:t>C</m:t>
            </m:r>
          </m:e>
          <m:sub>
            <m:r>
              <m:t>50</m:t>
            </m:r>
          </m:sub>
        </m:sSub>
      </m:oMath>
      <w:r>
        <w:t xml:space="preserve">, establishing a protected metabolic sanctuary.</w:t>
      </w:r>
    </w:p>
    <w:p>
      <w:pPr>
        <w:pStyle w:val="BodyText"/>
      </w:pPr>
      <w:r>
        <w:t xml:space="preserve">For macromolecular antibody-drug conjugates (ADCs, e.g. patritumab deruxtecan 150 kDa,</w:t>
      </w:r>
      <w:r>
        <w:t xml:space="preserve"> </w:t>
      </w:r>
      <m:oMath>
        <m:r>
          <m:t>5.6</m:t>
        </m:r>
        <m:r>
          <m:t> </m:t>
        </m:r>
        <m:r>
          <m:rPr>
            <m:nor/>
            <m:sty m:val="p"/>
          </m:rPr>
          <m:t>mg/kg</m:t>
        </m:r>
      </m:oMath>
      <w:r>
        <w:t xml:space="preserve"> </w:t>
      </w:r>
      <w:r>
        <w:t xml:space="preserve">Q3W) and bispecifics (amivantamab 148 kDa), hindered diffusion (</w:t>
      </w:r>
      <m:oMath>
        <m:r>
          <m:t>D</m:t>
        </m:r>
        <m:r>
          <m:rPr>
            <m:sty m:val="p"/>
          </m:rPr>
          <m:t>=</m:t>
        </m:r>
        <m:r>
          <m:t>1.5</m:t>
        </m:r>
        <m:r>
          <m:rPr>
            <m:sty m:val="p"/>
          </m:rPr>
          <m:t>×</m:t>
        </m:r>
        <m:sSup>
          <m:e>
            <m:r>
              <m:t>10</m:t>
            </m:r>
          </m:e>
          <m:sup>
            <m:r>
              <m:rPr>
                <m:sty m:val="p"/>
              </m:rPr>
              <m:t>−</m:t>
            </m:r>
            <m:r>
              <m:t>8</m:t>
            </m:r>
          </m:sup>
        </m:sSup>
        <m:r>
          <m:t> </m:t>
        </m:r>
        <m:sSup>
          <m:e>
            <m:r>
              <m:rPr>
                <m:nor/>
                <m:sty m:val="p"/>
              </m:rPr>
              <m:t>cm</m:t>
            </m:r>
          </m:e>
          <m:sup>
            <m:r>
              <m:t>2</m:t>
            </m:r>
          </m:sup>
        </m:sSup>
        <m:r>
          <m:rPr>
            <m:sty m:val="p"/>
          </m:rPr>
          <m:t>/</m:t>
        </m:r>
        <m:r>
          <m:rPr>
            <m:nor/>
            <m:sty m:val="p"/>
          </m:rPr>
          <m:t>s</m:t>
        </m:r>
      </m:oMath>
      <w:r>
        <w:t xml:space="preserve">) and rapid endocytic clearance (</w:t>
      </w:r>
      <m:oMath>
        <m:r>
          <m:t>k</m:t>
        </m:r>
        <m:r>
          <m:rPr>
            <m:sty m:val="p"/>
          </m:rPr>
          <m:t>=</m:t>
        </m:r>
        <m:r>
          <m:t>2.5</m:t>
        </m:r>
        <m:r>
          <m:rPr>
            <m:sty m:val="p"/>
          </m:rPr>
          <m:t>×</m:t>
        </m:r>
        <m:sSup>
          <m:e>
            <m:r>
              <m:t>10</m:t>
            </m:r>
          </m:e>
          <m:sup>
            <m:r>
              <m:rPr>
                <m:sty m:val="p"/>
              </m:rPr>
              <m:t>−</m:t>
            </m:r>
            <m:r>
              <m:t>4</m:t>
            </m:r>
          </m:sup>
        </m:sSup>
        <m:r>
          <m:t> </m:t>
        </m:r>
        <m:sSup>
          <m:e>
            <m:r>
              <m:rPr>
                <m:nor/>
                <m:sty m:val="p"/>
              </m:rPr>
              <m:t>s</m:t>
            </m:r>
          </m:e>
          <m:sup>
            <m:r>
              <m:rPr>
                <m:sty m:val="p"/>
              </m:rPr>
              <m:t>−</m:t>
            </m:r>
            <m:r>
              <m:t>1</m:t>
            </m:r>
          </m:sup>
        </m:sSup>
      </m:oMath>
      <w:r>
        <w:t xml:space="preserve">) yield</w:t>
      </w:r>
      <w:r>
        <w:t xml:space="preserve"> </w:t>
      </w:r>
      <m:oMath>
        <m:r>
          <m:t>λ</m:t>
        </m:r>
        <m:r>
          <m:rPr>
            <m:sty m:val="p"/>
          </m:rPr>
          <m:t>=</m:t>
        </m:r>
        <m:r>
          <m:t>77.5</m:t>
        </m:r>
        <m:r>
          <m:t> </m:t>
        </m:r>
        <m:r>
          <m:t>μ</m:t>
        </m:r>
        <m:r>
          <m:rPr>
            <m:nor/>
            <m:sty m:val="p"/>
          </m:rPr>
          <m:t>m</m:t>
        </m:r>
      </m:oMath>
      <w:r>
        <w:t xml:space="preserve">. The critical depth contracts to</w:t>
      </w:r>
      <w:r>
        <w:t xml:space="preserve"> </w:t>
      </w:r>
      <m:oMath>
        <m:sSub>
          <m:e>
            <m:r>
              <m:t>r</m:t>
            </m:r>
          </m:e>
          <m:sub>
            <m:r>
              <m:rPr>
                <m:nor/>
                <m:sty m:val="p"/>
              </m:rPr>
              <m:t>crit</m:t>
            </m:r>
          </m:sub>
        </m:sSub>
        <m:r>
          <m:rPr>
            <m:sty m:val="p"/>
          </m:rPr>
          <m:t>=</m:t>
        </m:r>
        <m:r>
          <m:t>47.42</m:t>
        </m:r>
        <m:r>
          <m:t> </m:t>
        </m:r>
        <m:r>
          <m:t>μ</m:t>
        </m:r>
        <m:r>
          <m:rPr>
            <m:nor/>
            <m:sty m:val="p"/>
          </m:rPr>
          <m:t>m</m:t>
        </m:r>
      </m:oMath>
      <w:r>
        <w:t xml:space="preserve"> </w:t>
      </w:r>
      <w:r>
        <w:t xml:space="preserve">(or</w:t>
      </w:r>
      <w:r>
        <w:t xml:space="preserve"> </w:t>
      </w:r>
      <m:oMath>
        <m:r>
          <m:t>47.16</m:t>
        </m:r>
        <m:r>
          <m:t> </m:t>
        </m:r>
        <m:r>
          <m:t>μ</m:t>
        </m:r>
        <m:r>
          <m:rPr>
            <m:nor/>
            <m:sty m:val="p"/>
          </m:rPr>
          <m:t>m</m:t>
        </m:r>
      </m:oMath>
      <w:r>
        <w:t xml:space="preserve"> </w:t>
      </w:r>
      <w:r>
        <w:t xml:space="preserve">at</w:t>
      </w:r>
      <w:r>
        <w:t xml:space="preserve"> </w:t>
      </w:r>
      <m:oMath>
        <m:r>
          <m:t>θ</m:t>
        </m:r>
        <m:r>
          <m:rPr>
            <m:sty m:val="p"/>
          </m:rPr>
          <m:t>=</m:t>
        </m:r>
        <m:r>
          <m:t>0.352</m:t>
        </m:r>
      </m:oMath>
      <w:r>
        <w:t xml:space="preserve">). Consequently, the uninhibited viable shell spans</w:t>
      </w:r>
      <w:r>
        <w:t xml:space="preserve"> </w:t>
      </w:r>
      <m:oMath>
        <m:r>
          <m:t>Δ</m:t>
        </m:r>
        <m:r>
          <m:t>r</m:t>
        </m:r>
        <m:r>
          <m:rPr>
            <m:sty m:val="p"/>
          </m:rPr>
          <m:t>=</m:t>
        </m:r>
        <m:r>
          <m:t>152.58</m:t>
        </m:r>
        <m:r>
          <m:t> </m:t>
        </m:r>
        <m:r>
          <m:t>μ</m:t>
        </m:r>
        <m:r>
          <m:rPr>
            <m:nor/>
            <m:sty m:val="p"/>
          </m:rPr>
          <m:t>m</m:t>
        </m:r>
      </m:oMath>
      <w:r>
        <w:t xml:space="preserve">, leaving over 76% of the viable tumor cord uninhibited (</w:t>
      </w:r>
      <w:r>
        <w:rPr>
          <w:b/>
          <w:bCs/>
        </w:rPr>
        <w:t xml:space="preserve">Figure 1</w:t>
      </w:r>
      <w:r>
        <w:t xml:space="preserve">).</w:t>
      </w:r>
    </w:p>
    <w:p>
      <w:pPr>
        <w:pStyle w:val="CaptionedFigure"/>
      </w:pPr>
      <w:r>
        <w:drawing>
          <wp:inline>
            <wp:extent cx="5334000" cy="4191546"/>
            <wp:effectExtent b="0" l="0" r="0" t="0"/>
            <wp:docPr descr="Figure 1: Biophysical Reaction-Diffusion Transport" title="" id="26" name="Picture"/>
            <a:graphic>
              <a:graphicData uri="http://schemas.openxmlformats.org/drawingml/2006/picture">
                <pic:pic>
                  <pic:nvPicPr>
                    <pic:cNvPr descr="figure1_reaction_diffusion_sanctuary.png" id="27" name="Picture"/>
                    <pic:cNvPicPr>
                      <a:picLocks noChangeArrowheads="1" noChangeAspect="1"/>
                    </pic:cNvPicPr>
                  </pic:nvPicPr>
                  <pic:blipFill>
                    <a:blip r:embed="rId25"/>
                    <a:stretch>
                      <a:fillRect/>
                    </a:stretch>
                  </pic:blipFill>
                  <pic:spPr bwMode="auto">
                    <a:xfrm>
                      <a:off x="0" y="0"/>
                      <a:ext cx="5334000" cy="4191546"/>
                    </a:xfrm>
                    <a:prstGeom prst="rect">
                      <a:avLst/>
                    </a:prstGeom>
                    <a:noFill/>
                    <a:ln w="9525">
                      <a:noFill/>
                      <a:headEnd/>
                      <a:tailEnd/>
                    </a:ln>
                  </pic:spPr>
                </pic:pic>
              </a:graphicData>
            </a:graphic>
          </wp:inline>
        </w:drawing>
      </w:r>
    </w:p>
    <w:p>
      <w:pPr>
        <w:pStyle w:val="ImageCaption"/>
      </w:pPr>
      <w:r>
        <w:t xml:space="preserve">Figure 1: Biophysical Reaction-Diffusion Transport</w:t>
      </w:r>
    </w:p>
    <w:p>
      <w:r>
        <w:pict>
          <v:rect style="width:0;height:1.5pt" o:hralign="center" o:hrstd="t" o:hr="t"/>
        </w:pict>
      </w:r>
    </w:p>
    <w:bookmarkEnd w:id="28"/>
    <w:bookmarkEnd w:id="29"/>
    <w:bookmarkStart w:id="35" w:name="X5562fbb88b877d7e994818ea2113153e5167b8a"/>
    <w:p>
      <w:pPr>
        <w:pStyle w:val="Heading2"/>
      </w:pPr>
      <w:r>
        <w:t xml:space="preserve">3. Evolutionary Game Theory &amp; Calibrated ADAURA Post-Cessation Regrowth</w:t>
      </w:r>
    </w:p>
    <w:p>
      <w:pPr>
        <w:pStyle w:val="FirstParagraph"/>
      </w:pPr>
      <w:r>
        <w:t xml:space="preserve">To characterize subclonal competition within the pharmacological sanctuary shell, we formulated an evolutionary game between proliferating drug-sensitive cells (</w:t>
      </w:r>
      <m:oMath>
        <m:r>
          <m:t>S</m:t>
        </m:r>
      </m:oMath>
      <w:r>
        <w:t xml:space="preserve">, frequency</w:t>
      </w:r>
      <w:r>
        <w:t xml:space="preserve"> </w:t>
      </w:r>
      <m:oMath>
        <m:r>
          <m:t>x</m:t>
        </m:r>
      </m:oMath>
      <w:r>
        <w:t xml:space="preserve">) and drug-tolerant persister cells (</w:t>
      </w:r>
      <m:oMath>
        <m:r>
          <m:t>P</m:t>
        </m:r>
      </m:oMath>
      <w:r>
        <w:t xml:space="preserve">, frequency</w:t>
      </w:r>
      <w:r>
        <w:t xml:space="preserve"> </w:t>
      </w:r>
      <m:oMath>
        <m:r>
          <m:t>1</m:t>
        </m:r>
        <m:r>
          <m:rPr>
            <m:sty m:val="p"/>
          </m:rPr>
          <m:t>−</m:t>
        </m:r>
        <m:r>
          <m:t>x</m:t>
        </m:r>
      </m:oMath>
      <w:r>
        <w:t xml:space="preserve">). Persister cells exhibit slow-cycling dormancy (</w:t>
      </w:r>
      <m:oMath>
        <m:sSub>
          <m:e>
            <m:r>
              <m:t>T</m:t>
            </m:r>
          </m:e>
          <m:sub>
            <m:r>
              <m:rPr>
                <m:nor/>
                <m:sty m:val="p"/>
              </m:rPr>
              <m:t>double</m:t>
            </m:r>
          </m:sub>
        </m:sSub>
        <m:r>
          <m:rPr>
            <m:sty m:val="p"/>
          </m:rPr>
          <m:t>≈</m:t>
        </m:r>
        <m:r>
          <m:t>120</m:t>
        </m:r>
        <m:r>
          <m:t> </m:t>
        </m:r>
        <m:r>
          <m:rPr>
            <m:nor/>
            <m:sty m:val="p"/>
          </m:rPr>
          <m:t>days</m:t>
        </m:r>
      </m:oMath>
      <w:r>
        <w:t xml:space="preserve"> </w:t>
      </w:r>
      <w:r>
        <w:t xml:space="preserve">in vivo) induced by moderate hypoxia and sub-therapeutic drug stress, mediated by epigenetic remodeling (Sharma et al.,</w:t>
      </w:r>
      <w:r>
        <w:t xml:space="preserve"> </w:t>
      </w:r>
      <w:r>
        <w:rPr>
          <w:i/>
          <w:iCs/>
        </w:rPr>
        <w:t xml:space="preserve">Cell</w:t>
      </w:r>
      <w:r>
        <w:t xml:space="preserve"> </w:t>
      </w:r>
      <w:r>
        <w:t xml:space="preserve">2010 [6]; Kurppa et al.,</w:t>
      </w:r>
      <w:r>
        <w:t xml:space="preserve"> </w:t>
      </w:r>
      <w:r>
        <w:rPr>
          <w:i/>
          <w:iCs/>
        </w:rPr>
        <w:t xml:space="preserve">Cancer Cell</w:t>
      </w:r>
      <w:r>
        <w:t xml:space="preserve"> </w:t>
      </w:r>
      <w:r>
        <w:t xml:space="preserve">2020 [7]).</w:t>
      </w:r>
    </w:p>
    <w:bookmarkStart w:id="30" w:name="X9703a4f71e70e2f7e91f5fe769f697b85eb27f8"/>
    <w:p>
      <w:pPr>
        <w:pStyle w:val="Heading3"/>
      </w:pPr>
      <w:r>
        <w:t xml:space="preserve">3.1 Replicator Dynamics &amp; Asymptotic Lyapunov Stability</w:t>
      </w:r>
    </w:p>
    <w:p>
      <w:pPr>
        <w:pStyle w:val="FirstParagraph"/>
      </w:pPr>
      <w:r>
        <w:t xml:space="preserve">Under non-zero-sum frequency-dependent interactions calibrated for NSCLC solid architectures, the</w:t>
      </w:r>
      <w:r>
        <w:t xml:space="preserve"> </w:t>
      </w:r>
      <m:oMath>
        <m:r>
          <m:t>2</m:t>
        </m:r>
        <m:r>
          <m:rPr>
            <m:sty m:val="p"/>
          </m:rPr>
          <m:t>×</m:t>
        </m:r>
        <m:r>
          <m:t>2</m:t>
        </m:r>
      </m:oMath>
      <w:r>
        <w:t xml:space="preserve"> </w:t>
      </w:r>
      <w:r>
        <w:t xml:space="preserve">payoff matrix is:</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0.736</m:t>
                    </m:r>
                  </m:e>
                  <m:e>
                    <m:r>
                      <m:t>2.866</m:t>
                    </m:r>
                  </m:e>
                </m:mr>
                <m:mr>
                  <m:e>
                    <m:r>
                      <m:t>2.188</m:t>
                    </m:r>
                  </m:e>
                  <m:e>
                    <m:r>
                      <m:rPr>
                        <m:sty m:val="p"/>
                      </m:rPr>
                      <m:t>−</m:t>
                    </m:r>
                    <m:r>
                      <m:t>1.772</m:t>
                    </m:r>
                  </m:e>
                </m:mr>
              </m:m>
            </m:e>
          </m:d>
        </m:oMath>
      </m:oMathPara>
    </w:p>
    <w:p>
      <w:pPr>
        <w:pStyle w:val="FirstParagraph"/>
      </w:pPr>
      <w:r>
        <w:t xml:space="preserve">The standard replicator equation governing the sensitive fraction</w:t>
      </w:r>
      <w:r>
        <w:t xml:space="preserve"> </w:t>
      </w:r>
      <m:oMath>
        <m:r>
          <m:t>x</m:t>
        </m:r>
      </m:oMath>
      <w:r>
        <w:t xml:space="preserve"> </w:t>
      </w:r>
      <w:r>
        <w:t xml:space="preserve">is:</w:t>
      </w:r>
    </w:p>
    <w:p>
      <w:pPr>
        <w:pStyle w:val="BodyText"/>
      </w:pPr>
      <m:oMathPara>
        <m:oMathParaPr>
          <m:jc m:val="center"/>
        </m:oMathParaPr>
        <m:oMath>
          <m:f>
            <m:fPr>
              <m:type m:val="bar"/>
            </m:fPr>
            <m:num>
              <m:r>
                <m:t>d</m:t>
              </m:r>
              <m:r>
                <m:t>x</m:t>
              </m:r>
            </m:num>
            <m:den>
              <m:r>
                <m:t>d</m:t>
              </m:r>
              <m:r>
                <m:t>t</m:t>
              </m:r>
            </m:den>
          </m:f>
          <m:r>
            <m:rPr>
              <m:sty m:val="p"/>
            </m:rPr>
            <m:t>=</m:t>
          </m:r>
          <m:r>
            <m:t>x</m:t>
          </m:r>
          <m:d>
            <m:dPr>
              <m:begChr m:val="("/>
              <m:endChr m:val=")"/>
              <m:sepChr m:val=""/>
              <m:grow/>
            </m:dPr>
            <m:e>
              <m:r>
                <m:t>1</m:t>
              </m:r>
              <m:r>
                <m:rPr>
                  <m:sty m:val="p"/>
                </m:rPr>
                <m:t>−</m:t>
              </m:r>
              <m:r>
                <m:t>x</m:t>
              </m:r>
            </m:e>
          </m:d>
          <m:d>
            <m:dPr>
              <m:begChr m:val="["/>
              <m:endChr m:val="]"/>
              <m:sepChr m:val=""/>
              <m:grow/>
            </m:dPr>
            <m:e>
              <m:sSub>
                <m:e>
                  <m:r>
                    <m:t>f</m:t>
                  </m:r>
                </m:e>
                <m:sub>
                  <m:r>
                    <m:t>S</m:t>
                  </m:r>
                </m:sub>
              </m:sSub>
              <m:d>
                <m:dPr>
                  <m:begChr m:val="("/>
                  <m:endChr m:val=")"/>
                  <m:sepChr m:val=""/>
                  <m:grow/>
                </m:dPr>
                <m:e>
                  <m:r>
                    <m:t>x</m:t>
                  </m:r>
                </m:e>
              </m:d>
              <m:r>
                <m:rPr>
                  <m:sty m:val="p"/>
                </m:rPr>
                <m:t>−</m:t>
              </m:r>
              <m:sSub>
                <m:e>
                  <m:r>
                    <m:t>f</m:t>
                  </m:r>
                </m:e>
                <m:sub>
                  <m:r>
                    <m:t>P</m:t>
                  </m:r>
                </m:sub>
              </m:sSub>
              <m:d>
                <m:dPr>
                  <m:begChr m:val="("/>
                  <m:endChr m:val=")"/>
                  <m:sepChr m:val=""/>
                  <m:grow/>
                </m:dPr>
                <m:e>
                  <m:r>
                    <m:t>x</m:t>
                  </m:r>
                </m:e>
              </m:d>
            </m:e>
          </m:d>
          <m:r>
            <m:rPr>
              <m:sty m:val="p"/>
            </m:rPr>
            <m:t>=</m:t>
          </m:r>
          <m:r>
            <m:t>x</m:t>
          </m:r>
          <m:d>
            <m:dPr>
              <m:begChr m:val="("/>
              <m:endChr m:val=")"/>
              <m:sepChr m:val=""/>
              <m:grow/>
            </m:dPr>
            <m:e>
              <m:r>
                <m:t>1</m:t>
              </m:r>
              <m:r>
                <m:rPr>
                  <m:sty m:val="p"/>
                </m:rPr>
                <m:t>−</m:t>
              </m:r>
              <m:r>
                <m:t>x</m:t>
              </m:r>
            </m:e>
          </m:d>
          <m:d>
            <m:dPr>
              <m:begChr m:val="["/>
              <m:endChr m:val="]"/>
              <m:sepChr m:val=""/>
              <m:grow/>
            </m:dPr>
            <m:e>
              <m:r>
                <m:t>α</m:t>
              </m:r>
              <m:r>
                <m:t>x</m:t>
              </m:r>
              <m:r>
                <m:rPr>
                  <m:sty m:val="p"/>
                </m:rPr>
                <m:t>+</m:t>
              </m:r>
              <m:r>
                <m:t>β</m:t>
              </m:r>
            </m:e>
          </m:d>
        </m:oMath>
      </m:oMathPara>
    </w:p>
    <w:p>
      <w:pPr>
        <w:pStyle w:val="FirstParagraph"/>
      </w:pPr>
      <w:r>
        <w:t xml:space="preserve">where</w:t>
      </w:r>
      <w:r>
        <w:t xml:space="preserve"> </w:t>
      </w:r>
      <m:oMath>
        <m:r>
          <m:t>α</m:t>
        </m:r>
        <m:r>
          <m:rPr>
            <m:sty m:val="p"/>
          </m:rPr>
          <m:t>=</m:t>
        </m:r>
        <m:sSub>
          <m:e>
            <m:r>
              <m:t>a</m:t>
            </m:r>
          </m:e>
          <m:sub>
            <m:r>
              <m:t>11</m:t>
            </m:r>
          </m:sub>
        </m:sSub>
        <m:r>
          <m:rPr>
            <m:sty m:val="p"/>
          </m:rPr>
          <m:t>−</m:t>
        </m:r>
        <m:sSub>
          <m:e>
            <m:r>
              <m:t>a</m:t>
            </m:r>
          </m:e>
          <m:sub>
            <m:r>
              <m:t>12</m:t>
            </m:r>
          </m:sub>
        </m:sSub>
        <m:r>
          <m:rPr>
            <m:sty m:val="p"/>
          </m:rPr>
          <m:t>−</m:t>
        </m:r>
        <m:sSub>
          <m:e>
            <m:r>
              <m:t>a</m:t>
            </m:r>
          </m:e>
          <m:sub>
            <m:r>
              <m:t>21</m:t>
            </m:r>
          </m:sub>
        </m:sSub>
        <m:r>
          <m:rPr>
            <m:sty m:val="p"/>
          </m:rPr>
          <m:t>+</m:t>
        </m:r>
        <m:sSub>
          <m:e>
            <m:r>
              <m:t>a</m:t>
            </m:r>
          </m:e>
          <m:sub>
            <m:r>
              <m:t>22</m:t>
            </m:r>
          </m:sub>
        </m:sSub>
        <m:r>
          <m:rPr>
            <m:sty m:val="p"/>
          </m:rPr>
          <m:t>=</m:t>
        </m:r>
        <m:r>
          <m:rPr>
            <m:sty m:val="p"/>
          </m:rPr>
          <m:t>−</m:t>
        </m:r>
        <m:r>
          <m:t>7.5620</m:t>
        </m:r>
      </m:oMath>
      <w:r>
        <w:t xml:space="preserve"> </w:t>
      </w:r>
      <w:r>
        <w:t xml:space="preserve">and</w:t>
      </w:r>
      <w:r>
        <w:t xml:space="preserve"> </w:t>
      </w:r>
      <m:oMath>
        <m:r>
          <m:t>β</m:t>
        </m:r>
        <m:r>
          <m:rPr>
            <m:sty m:val="p"/>
          </m:rPr>
          <m:t>=</m:t>
        </m:r>
        <m:sSub>
          <m:e>
            <m:r>
              <m:t>a</m:t>
            </m:r>
          </m:e>
          <m:sub>
            <m:r>
              <m:t>12</m:t>
            </m:r>
          </m:sub>
        </m:sSub>
        <m:r>
          <m:rPr>
            <m:sty m:val="p"/>
          </m:rPr>
          <m:t>−</m:t>
        </m:r>
        <m:sSub>
          <m:e>
            <m:r>
              <m:t>a</m:t>
            </m:r>
          </m:e>
          <m:sub>
            <m:r>
              <m:t>22</m:t>
            </m:r>
          </m:sub>
        </m:sSub>
        <m:r>
          <m:rPr>
            <m:sty m:val="p"/>
          </m:rPr>
          <m:t>=</m:t>
        </m:r>
        <m:r>
          <m:t>4.6380</m:t>
        </m:r>
      </m:oMath>
      <w:r>
        <w:t xml:space="preserve">. Setting</w:t>
      </w:r>
      <w:r>
        <w:t xml:space="preserve"> </w:t>
      </w:r>
      <m:oMath>
        <m:r>
          <m:t>d</m:t>
        </m:r>
        <m:r>
          <m:t>x</m:t>
        </m:r>
        <m:r>
          <m:rPr>
            <m:sty m:val="p"/>
          </m:rPr>
          <m:t>/</m:t>
        </m:r>
        <m:r>
          <m:t>d</m:t>
        </m:r>
        <m:r>
          <m:t>t</m:t>
        </m:r>
        <m:r>
          <m:rPr>
            <m:sty m:val="p"/>
          </m:rPr>
          <m:t>=</m:t>
        </m:r>
        <m:r>
          <m:t>0</m:t>
        </m:r>
      </m:oMath>
      <w:r>
        <w:t xml:space="preserve"> </w:t>
      </w:r>
      <w:r>
        <w:t xml:space="preserve">yields the internal polymorphic Nash equilibrium:</w:t>
      </w:r>
    </w:p>
    <w:p>
      <w:pPr>
        <w:pStyle w:val="BodyText"/>
      </w:pPr>
      <m:oMathPara>
        <m:oMathParaPr>
          <m:jc m:val="center"/>
        </m:oMathParaPr>
        <m:oMath>
          <m:sSup>
            <m:e>
              <m:r>
                <m:t>x</m:t>
              </m:r>
            </m:e>
            <m:sup>
              <m:r>
                <m:rPr>
                  <m:sty m:val="p"/>
                </m:rPr>
                <m:t>*</m:t>
              </m:r>
            </m:sup>
          </m:sSup>
          <m:r>
            <m:rPr>
              <m:sty m:val="p"/>
            </m:rPr>
            <m:t>=</m:t>
          </m:r>
          <m:r>
            <m:rPr>
              <m:sty m:val="p"/>
            </m:rPr>
            <m:t>−</m:t>
          </m:r>
          <m:f>
            <m:fPr>
              <m:type m:val="bar"/>
            </m:fPr>
            <m:num>
              <m:r>
                <m:t>β</m:t>
              </m:r>
            </m:num>
            <m:den>
              <m:r>
                <m:t>α</m:t>
              </m:r>
            </m:den>
          </m:f>
          <m:r>
            <m:rPr>
              <m:sty m:val="p"/>
            </m:rPr>
            <m:t>=</m:t>
          </m:r>
          <m:f>
            <m:fPr>
              <m:type m:val="bar"/>
            </m:fPr>
            <m:num>
              <m:r>
                <m:t>4.6380</m:t>
              </m:r>
            </m:num>
            <m:den>
              <m:r>
                <m:t>7.5620</m:t>
              </m:r>
            </m:den>
          </m:f>
          <m:r>
            <m:rPr>
              <m:sty m:val="p"/>
            </m:rPr>
            <m:t>=</m:t>
          </m:r>
          <m:r>
            <m:rPr>
              <m:sty m:val="b"/>
            </m:rPr>
            <m:t>0.613330</m:t>
          </m:r>
          <m:r>
            <m:t> </m:t>
          </m:r>
          <m:d>
            <m:dPr>
              <m:begChr m:val="("/>
              <m:endChr m:val=")"/>
              <m:sepChr m:val=""/>
              <m:grow/>
            </m:dPr>
            <m:e>
              <m:r>
                <m:t>61.33</m:t>
              </m:r>
              <m:r>
                <m:rPr>
                  <m:sty m:val="p"/>
                </m:rPr>
                <m:t>%</m:t>
              </m:r>
            </m:e>
          </m:d>
        </m:oMath>
      </m:oMathPara>
    </w:p>
    <w:p>
      <w:pPr>
        <w:pStyle w:val="FirstParagraph"/>
      </w:pPr>
      <w:r>
        <w:t xml:space="preserve">Linearizing the system at</w:t>
      </w:r>
      <w:r>
        <w:t xml:space="preserve"> </w:t>
      </w:r>
      <m:oMath>
        <m:sSup>
          <m:e>
            <m:r>
              <m:t>x</m:t>
            </m:r>
          </m:e>
          <m:sup>
            <m:r>
              <m:rPr>
                <m:sty m:val="p"/>
              </m:rPr>
              <m:t>*</m:t>
            </m:r>
          </m:sup>
        </m:sSup>
      </m:oMath>
      <w:r>
        <w:t xml:space="preserve">, the Jacobian eigenvalue is:</w:t>
      </w:r>
    </w:p>
    <w:p>
      <w:pPr>
        <w:pStyle w:val="BodyText"/>
      </w:pPr>
      <m:oMathPara>
        <m:oMathParaPr>
          <m:jc m:val="center"/>
        </m:oMathParaPr>
        <m:oMath>
          <m:sSub>
            <m:e>
              <m:r>
                <m:t>λ</m:t>
              </m:r>
            </m:e>
            <m:sub>
              <m:r>
                <m:rPr>
                  <m:nor/>
                  <m:sty m:val="p"/>
                </m:rPr>
                <m:t>eig</m:t>
              </m:r>
            </m:sub>
          </m:sSub>
          <m:r>
            <m:rPr>
              <m:sty m:val="p"/>
            </m:rPr>
            <m:t>=</m:t>
          </m:r>
          <m:sSub>
            <m:e>
              <m:d>
                <m:dPr>
                  <m:begChr m:val=""/>
                  <m:endChr m:val="|"/>
                  <m:sepChr m:val=""/>
                  <m:grow/>
                </m:dPr>
                <m:e>
                  <m:f>
                    <m:fPr>
                      <m:type m:val="bar"/>
                    </m:fPr>
                    <m:num>
                      <m:r>
                        <m:t>d</m:t>
                      </m:r>
                    </m:num>
                    <m:den>
                      <m:r>
                        <m:t>d</m:t>
                      </m:r>
                      <m:r>
                        <m:t>x</m:t>
                      </m:r>
                    </m:den>
                  </m:f>
                  <m:d>
                    <m:dPr>
                      <m:begChr m:val="("/>
                      <m:endChr m:val=")"/>
                      <m:sepChr m:val=""/>
                      <m:grow/>
                    </m:dPr>
                    <m:e>
                      <m:f>
                        <m:fPr>
                          <m:type m:val="bar"/>
                        </m:fPr>
                        <m:num>
                          <m:r>
                            <m:t>d</m:t>
                          </m:r>
                          <m:r>
                            <m:t>x</m:t>
                          </m:r>
                        </m:num>
                        <m:den>
                          <m:r>
                            <m:t>d</m:t>
                          </m:r>
                          <m:r>
                            <m:t>t</m:t>
                          </m:r>
                        </m:den>
                      </m:f>
                    </m:e>
                  </m:d>
                </m:e>
              </m:d>
            </m:e>
            <m:sub>
              <m:r>
                <m:t>x</m:t>
              </m:r>
              <m:r>
                <m:rPr>
                  <m:sty m:val="p"/>
                </m:rPr>
                <m:t>=</m:t>
              </m:r>
              <m:sSup>
                <m:e>
                  <m:r>
                    <m:t>x</m:t>
                  </m:r>
                </m:e>
                <m:sup>
                  <m:r>
                    <m:rPr>
                      <m:sty m:val="p"/>
                    </m:rPr>
                    <m:t>*</m:t>
                  </m:r>
                </m:sup>
              </m:sSup>
            </m:sub>
          </m:sSub>
          <m:r>
            <m:rPr>
              <m:sty m:val="p"/>
            </m:rPr>
            <m:t>=</m:t>
          </m:r>
          <m:sSup>
            <m:e>
              <m:r>
                <m:t>x</m:t>
              </m:r>
            </m:e>
            <m:sup>
              <m:r>
                <m:rPr>
                  <m:sty m:val="p"/>
                </m:rPr>
                <m:t>*</m:t>
              </m:r>
            </m:sup>
          </m:sSup>
          <m:d>
            <m:dPr>
              <m:begChr m:val="("/>
              <m:endChr m:val=")"/>
              <m:sepChr m:val=""/>
              <m:grow/>
            </m:dPr>
            <m:e>
              <m:r>
                <m:t>1</m:t>
              </m:r>
              <m:r>
                <m:rPr>
                  <m:sty m:val="p"/>
                </m:rPr>
                <m:t>−</m:t>
              </m:r>
              <m:sSup>
                <m:e>
                  <m:r>
                    <m:t>x</m:t>
                  </m:r>
                </m:e>
                <m:sup>
                  <m:r>
                    <m:rPr>
                      <m:sty m:val="p"/>
                    </m:rPr>
                    <m:t>*</m:t>
                  </m:r>
                </m:sup>
              </m:sSup>
            </m:e>
          </m:d>
          <m:r>
            <m:t>α</m:t>
          </m:r>
          <m:r>
            <m:rPr>
              <m:sty m:val="p"/>
            </m:rPr>
            <m:t>=</m:t>
          </m:r>
          <m:r>
            <m:t>0.613330</m:t>
          </m:r>
          <m:r>
            <m:rPr>
              <m:sty m:val="p"/>
            </m:rPr>
            <m:t>×</m:t>
          </m:r>
          <m:r>
            <m:t>0.386670</m:t>
          </m:r>
          <m:r>
            <m:rPr>
              <m:sty m:val="p"/>
            </m:rPr>
            <m:t>×</m:t>
          </m:r>
          <m:d>
            <m:dPr>
              <m:begChr m:val="("/>
              <m:endChr m:val=")"/>
              <m:sepChr m:val=""/>
              <m:grow/>
            </m:dPr>
            <m:e>
              <m:r>
                <m:rPr>
                  <m:sty m:val="p"/>
                </m:rPr>
                <m:t>−</m:t>
              </m:r>
              <m:r>
                <m:t>7.5620</m:t>
              </m:r>
            </m:e>
          </m:d>
          <m:r>
            <m:rPr>
              <m:sty m:val="p"/>
            </m:rPr>
            <m:t>=</m:t>
          </m:r>
          <m:r>
            <m:rPr>
              <m:sty m:val="b"/>
            </m:rPr>
            <m:t>−</m:t>
          </m:r>
          <m:r>
            <m:rPr>
              <m:sty m:val="b"/>
            </m:rPr>
            <m:t>1.793376</m:t>
          </m:r>
        </m:oMath>
      </m:oMathPara>
    </w:p>
    <w:p>
      <w:pPr>
        <w:pStyle w:val="FirstParagraph"/>
      </w:pPr>
      <w:r>
        <w:t xml:space="preserve">Because</w:t>
      </w:r>
      <w:r>
        <w:t xml:space="preserve"> </w:t>
      </w:r>
      <m:oMath>
        <m:sSub>
          <m:e>
            <m:r>
              <m:t>λ</m:t>
            </m:r>
          </m:e>
          <m:sub>
            <m:r>
              <m:rPr>
                <m:nor/>
                <m:sty m:val="p"/>
              </m:rPr>
              <m:t>eig</m:t>
            </m:r>
          </m:sub>
        </m:sSub>
        <m:r>
          <m:rPr>
            <m:sty m:val="p"/>
          </m:rPr>
          <m:t>&lt;</m:t>
        </m:r>
        <m:r>
          <m:t>0</m:t>
        </m:r>
      </m:oMath>
      <w:r>
        <w:t xml:space="preserve">, Lyapunov’s first stability theorem guarantees that</w:t>
      </w:r>
      <w:r>
        <w:t xml:space="preserve"> </w:t>
      </w:r>
      <m:oMath>
        <m:sSup>
          <m:e>
            <m:r>
              <m:t>x</m:t>
            </m:r>
          </m:e>
          <m:sup>
            <m:r>
              <m:rPr>
                <m:sty m:val="p"/>
              </m:rPr>
              <m:t>*</m:t>
            </m:r>
          </m:sup>
        </m:sSup>
        <m:r>
          <m:rPr>
            <m:sty m:val="p"/>
          </m:rPr>
          <m:t>=</m:t>
        </m:r>
        <m:r>
          <m:t>0.6133</m:t>
        </m:r>
      </m:oMath>
      <w:r>
        <w:t xml:space="preserve"> </w:t>
      </w:r>
      <w:r>
        <w:t xml:space="preserve">is an</w:t>
      </w:r>
      <w:r>
        <w:t xml:space="preserve"> </w:t>
      </w:r>
      <w:r>
        <w:rPr>
          <w:b/>
          <w:bCs/>
        </w:rPr>
        <w:t xml:space="preserve">asymptotically stable attractor (sink)</w:t>
      </w:r>
      <w:r>
        <w:t xml:space="preserve">. During 3 years of adjuvant osimertinib exposure, the subclonal population within the sanctuary shell is maintained in this stable coexistence, preventing clonal extinction while restraining macroscopic expansion.</w:t>
      </w:r>
    </w:p>
    <w:bookmarkEnd w:id="30"/>
    <w:bookmarkStart w:id="34" w:name="Xc0c0b37e67c97d6c2c0ef625e3b6f927a15ed50"/>
    <w:p>
      <w:pPr>
        <w:pStyle w:val="Heading3"/>
      </w:pPr>
      <w:r>
        <w:t xml:space="preserve">3.2 Calibrated Regrowth Kinetics Post-Adjuvant Discontinuation</w:t>
      </w:r>
    </w:p>
    <w:p>
      <w:pPr>
        <w:pStyle w:val="FirstParagraph"/>
      </w:pPr>
      <w:r>
        <w:t xml:space="preserve">Upon treatment cessation at month 36, drug clears from the sanctuary shell. Relieved from pharmacological suppression, the sensitive fraction (</w:t>
      </w:r>
      <m:oMath>
        <m:r>
          <m:t>61.3</m:t>
        </m:r>
        <m:r>
          <m:rPr>
            <m:sty m:val="p"/>
          </m:rPr>
          <m:t>%</m:t>
        </m:r>
      </m:oMath>
      <w:r>
        <w:t xml:space="preserve">) resumes rapid exponential proliferation (</w:t>
      </w:r>
      <m:oMath>
        <m:sSub>
          <m:e>
            <m:r>
              <m:t>g</m:t>
            </m:r>
          </m:e>
          <m:sub>
            <m:r>
              <m:t>S</m:t>
            </m:r>
          </m:sub>
        </m:sSub>
        <m:r>
          <m:rPr>
            <m:sty m:val="p"/>
          </m:rPr>
          <m:t>=</m:t>
        </m:r>
        <m:r>
          <m:rPr>
            <m:sty m:val="p"/>
          </m:rPr>
          <m:t>ln</m:t>
        </m:r>
        <m:d>
          <m:dPr>
            <m:begChr m:val="("/>
            <m:endChr m:val=")"/>
            <m:sepChr m:val=""/>
            <m:grow/>
          </m:dPr>
          <m:e>
            <m:r>
              <m:t>2</m:t>
            </m:r>
          </m:e>
        </m:d>
        <m:r>
          <m:rPr>
            <m:sty m:val="p"/>
          </m:rPr>
          <m:t>/</m:t>
        </m:r>
        <m:r>
          <m:t>25</m:t>
        </m:r>
        <m:r>
          <m:t> </m:t>
        </m:r>
        <m:sSup>
          <m:e>
            <m:r>
              <m:rPr>
                <m:nor/>
                <m:sty m:val="p"/>
              </m:rPr>
              <m:t>day</m:t>
            </m:r>
          </m:e>
          <m:sup>
            <m:r>
              <m:rPr>
                <m:sty m:val="p"/>
              </m:rPr>
              <m:t>−</m:t>
            </m:r>
            <m:r>
              <m:t>1</m:t>
            </m:r>
          </m:sup>
        </m:sSup>
      </m:oMath>
      <w:r>
        <w:t xml:space="preserve"> </w:t>
      </w:r>
      <w:r>
        <w:t xml:space="preserve">net in vivo doubling), while the persister subclone cycles slowly (</w:t>
      </w:r>
      <m:oMath>
        <m:sSub>
          <m:e>
            <m:r>
              <m:t>g</m:t>
            </m:r>
          </m:e>
          <m:sub>
            <m:r>
              <m:t>P</m:t>
            </m:r>
          </m:sub>
        </m:sSub>
        <m:r>
          <m:rPr>
            <m:sty m:val="p"/>
          </m:rPr>
          <m:t>=</m:t>
        </m:r>
        <m:r>
          <m:rPr>
            <m:sty m:val="p"/>
          </m:rPr>
          <m:t>ln</m:t>
        </m:r>
        <m:d>
          <m:dPr>
            <m:begChr m:val="("/>
            <m:endChr m:val=")"/>
            <m:sepChr m:val=""/>
            <m:grow/>
          </m:dPr>
          <m:e>
            <m:r>
              <m:t>2</m:t>
            </m:r>
          </m:e>
        </m:d>
        <m:r>
          <m:rPr>
            <m:sty m:val="p"/>
          </m:rPr>
          <m:t>/</m:t>
        </m:r>
        <m:r>
          <m:t>120</m:t>
        </m:r>
        <m:r>
          <m:t> </m:t>
        </m:r>
        <m:sSup>
          <m:e>
            <m:r>
              <m:rPr>
                <m:nor/>
                <m:sty m:val="p"/>
              </m:rPr>
              <m:t>day</m:t>
            </m:r>
          </m:e>
          <m:sup>
            <m:r>
              <m:rPr>
                <m:sty m:val="p"/>
              </m:rPr>
              <m:t>−</m:t>
            </m:r>
            <m:r>
              <m:t>1</m:t>
            </m:r>
          </m:sup>
        </m:sSup>
      </m:oMath>
      <w:r>
        <w:t xml:space="preserve">). Total cell burden expands from an initial residual micro-nest</w:t>
      </w:r>
      <w:r>
        <w:t xml:space="preserve"> </w:t>
      </w:r>
      <m:oMath>
        <m:sSub>
          <m:e>
            <m:r>
              <m:t>N</m:t>
            </m:r>
          </m:e>
          <m:sub>
            <m:r>
              <m:t>0</m:t>
            </m:r>
          </m:sub>
        </m:sSub>
        <m:r>
          <m:rPr>
            <m:sty m:val="p"/>
          </m:rPr>
          <m:t>=</m:t>
        </m:r>
        <m:r>
          <m:t>2</m:t>
        </m:r>
        <m:r>
          <m:rPr>
            <m:sty m:val="p"/>
          </m:rPr>
          <m:t>,</m:t>
        </m:r>
        <m:r>
          <m:t>000</m:t>
        </m:r>
      </m:oMath>
      <w:r>
        <w:t xml:space="preserve"> </w:t>
      </w:r>
      <w:r>
        <w:t xml:space="preserve">cells according to:</w:t>
      </w:r>
    </w:p>
    <w:p>
      <w:pPr>
        <w:pStyle w:val="BodyText"/>
      </w:pPr>
      <m:oMathPara>
        <m:oMathParaPr>
          <m:jc m:val="center"/>
        </m:oMathParaPr>
        <m:oMath>
          <m:r>
            <m:t>N</m:t>
          </m:r>
          <m:d>
            <m:dPr>
              <m:begChr m:val="("/>
              <m:endChr m:val=")"/>
              <m:sepChr m:val=""/>
              <m:grow/>
            </m:dPr>
            <m:e>
              <m:r>
                <m:t>t</m:t>
              </m:r>
            </m:e>
          </m:d>
          <m:r>
            <m:rPr>
              <m:sty m:val="p"/>
            </m:rPr>
            <m:t>=</m:t>
          </m:r>
          <m:sSub>
            <m:e>
              <m:r>
                <m:t>N</m:t>
              </m:r>
            </m:e>
            <m:sub>
              <m:r>
                <m:t>0</m:t>
              </m:r>
            </m:sub>
          </m:sSub>
          <m:d>
            <m:dPr>
              <m:begChr m:val="["/>
              <m:endChr m:val="]"/>
              <m:sepChr m:val=""/>
              <m:grow/>
            </m:dPr>
            <m:e>
              <m:sSup>
                <m:e>
                  <m:r>
                    <m:t>x</m:t>
                  </m:r>
                </m:e>
                <m:sup>
                  <m:r>
                    <m:rPr>
                      <m:sty m:val="p"/>
                    </m:rPr>
                    <m:t>*</m:t>
                  </m:r>
                </m:sup>
              </m:sSup>
              <m:sSup>
                <m:e>
                  <m:r>
                    <m:t>e</m:t>
                  </m:r>
                </m:e>
                <m:sup>
                  <m:sSub>
                    <m:e>
                      <m:r>
                        <m:t>g</m:t>
                      </m:r>
                    </m:e>
                    <m:sub>
                      <m:r>
                        <m:t>S</m:t>
                      </m:r>
                    </m:sub>
                  </m:sSub>
                  <m:r>
                    <m:t>t</m:t>
                  </m:r>
                </m:sup>
              </m:sSup>
              <m:r>
                <m:rPr>
                  <m:sty m:val="p"/>
                </m:rPr>
                <m:t>+</m:t>
              </m:r>
              <m:d>
                <m:dPr>
                  <m:begChr m:val="("/>
                  <m:endChr m:val=")"/>
                  <m:sepChr m:val=""/>
                  <m:grow/>
                </m:dPr>
                <m:e>
                  <m:r>
                    <m:t>1</m:t>
                  </m:r>
                  <m:r>
                    <m:rPr>
                      <m:sty m:val="p"/>
                    </m:rPr>
                    <m:t>−</m:t>
                  </m:r>
                  <m:sSup>
                    <m:e>
                      <m:r>
                        <m:t>x</m:t>
                      </m:r>
                    </m:e>
                    <m:sup>
                      <m:r>
                        <m:rPr>
                          <m:sty m:val="p"/>
                        </m:rPr>
                        <m:t>*</m:t>
                      </m:r>
                    </m:sup>
                  </m:sSup>
                </m:e>
              </m:d>
              <m:sSup>
                <m:e>
                  <m:r>
                    <m:t>e</m:t>
                  </m:r>
                </m:e>
                <m:sup>
                  <m:sSub>
                    <m:e>
                      <m:r>
                        <m:t>g</m:t>
                      </m:r>
                    </m:e>
                    <m:sub>
                      <m:r>
                        <m:t>P</m:t>
                      </m:r>
                    </m:sub>
                  </m:sSub>
                  <m:r>
                    <m:t>t</m:t>
                  </m:r>
                </m:sup>
              </m:sSup>
            </m:e>
          </m:d>
        </m:oMath>
      </m:oMathPara>
    </w:p>
    <w:p>
      <w:pPr>
        <w:pStyle w:val="FirstParagraph"/>
      </w:pPr>
      <w:r>
        <w:t xml:space="preserve">The model projects:</w:t>
      </w:r>
    </w:p>
    <w:p>
      <w:pPr>
        <w:pStyle w:val="Compact"/>
        <w:numPr>
          <w:ilvl w:val="0"/>
          <w:numId w:val="1001"/>
        </w:numPr>
      </w:pPr>
      <w:r>
        <w:rPr>
          <w:b/>
          <w:bCs/>
        </w:rPr>
        <w:t xml:space="preserve">Molecular ctDNA Detection Threshold (</w:t>
      </w:r>
      <m:oMath>
        <m:sSup>
          <m:e>
            <m:r>
              <m:t>10</m:t>
            </m:r>
          </m:e>
          <m:sup>
            <m:r>
              <m:t>7</m:t>
            </m:r>
          </m:sup>
        </m:sSup>
      </m:oMath>
      <w:r>
        <w:rPr>
          <w:b/>
          <w:bCs/>
        </w:rPr>
        <w:t xml:space="preserve"> </w:t>
      </w:r>
      <w:r>
        <w:rPr>
          <w:b/>
          <w:bCs/>
        </w:rPr>
        <w:t xml:space="preserve">cells, ~0.01% VAF):</w:t>
      </w:r>
      <w:r>
        <w:t xml:space="preserve"> </w:t>
      </w:r>
      <w:r>
        <w:t xml:space="preserve">reached at day 325 post-cessation =</w:t>
      </w:r>
      <w:r>
        <w:t xml:space="preserve"> </w:t>
      </w:r>
      <w:r>
        <w:rPr>
          <w:b/>
          <w:bCs/>
        </w:rPr>
        <w:t xml:space="preserve">10.7 months</w:t>
      </w:r>
      <w:r>
        <w:t xml:space="preserve"> </w:t>
      </w:r>
      <w:r>
        <w:t xml:space="preserve">(10.68 months).</w:t>
      </w:r>
    </w:p>
    <w:p>
      <w:pPr>
        <w:pStyle w:val="Compact"/>
        <w:numPr>
          <w:ilvl w:val="0"/>
          <w:numId w:val="1001"/>
        </w:numPr>
      </w:pPr>
      <w:r>
        <w:rPr>
          <w:b/>
          <w:bCs/>
        </w:rPr>
        <w:t xml:space="preserve">Radiographic CT Detection Threshold (</w:t>
      </w:r>
      <m:oMath>
        <m:sSup>
          <m:e>
            <m:r>
              <m:t>10</m:t>
            </m:r>
          </m:e>
          <m:sup>
            <m:r>
              <m:t>9</m:t>
            </m:r>
          </m:sup>
        </m:sSup>
      </m:oMath>
      <w:r>
        <w:rPr>
          <w:b/>
          <w:bCs/>
        </w:rPr>
        <w:t xml:space="preserve"> </w:t>
      </w:r>
      <w:r>
        <w:rPr>
          <w:b/>
          <w:bCs/>
        </w:rPr>
        <w:t xml:space="preserve">cells, 1 cm lesion):</w:t>
      </w:r>
      <w:r>
        <w:t xml:space="preserve"> </w:t>
      </w:r>
      <w:r>
        <w:t xml:space="preserve">reached at day 491 post-cessation =</w:t>
      </w:r>
      <w:r>
        <w:t xml:space="preserve"> </w:t>
      </w:r>
      <w:r>
        <w:rPr>
          <w:b/>
          <w:bCs/>
        </w:rPr>
        <w:t xml:space="preserve">16.1 months</w:t>
      </w:r>
      <w:r>
        <w:t xml:space="preserve"> </w:t>
      </w:r>
      <w:r>
        <w:t xml:space="preserve">(16.13 months).</w:t>
      </w:r>
    </w:p>
    <w:p>
      <w:pPr>
        <w:pStyle w:val="Compact"/>
        <w:numPr>
          <w:ilvl w:val="0"/>
          <w:numId w:val="1001"/>
        </w:numPr>
      </w:pPr>
      <w:r>
        <w:rPr>
          <w:b/>
          <w:bCs/>
        </w:rPr>
        <w:t xml:space="preserve">Diagnostic Lead Time Window:</w:t>
      </w:r>
      <w:r>
        <w:t xml:space="preserve"> </w:t>
      </w:r>
      <m:oMath>
        <m:r>
          <m:t>Δ</m:t>
        </m:r>
        <m:r>
          <m:t>t</m:t>
        </m:r>
        <m:r>
          <m:rPr>
            <m:sty m:val="p"/>
          </m:rPr>
          <m:t>=</m:t>
        </m:r>
        <m:r>
          <m:t>16.13</m:t>
        </m:r>
        <m:r>
          <m:rPr>
            <m:sty m:val="p"/>
          </m:rPr>
          <m:t>−</m:t>
        </m:r>
        <m:r>
          <m:t>10.68</m:t>
        </m:r>
        <m:r>
          <m:rPr>
            <m:sty m:val="p"/>
          </m:rPr>
          <m:t>=</m:t>
        </m:r>
        <m:r>
          <m:rPr>
            <m:sty m:val="b"/>
          </m:rPr>
          <m:t>5.45</m:t>
        </m:r>
        <m:r>
          <m:rPr>
            <m:sty m:val="b"/>
          </m:rPr>
          <m:t>≈</m:t>
        </m:r>
        <m:r>
          <m:rPr>
            <m:sty m:val="b"/>
          </m:rPr>
          <m:t>5.4</m:t>
        </m:r>
        <m:r>
          <m:rPr>
            <m:sty m:val="b"/>
          </m:rPr>
          <m:t> </m:t>
        </m:r>
        <m:r>
          <m:rPr>
            <m:nor/>
            <m:sty m:val="p"/>
          </m:rPr>
          <m:t>months</m:t>
        </m:r>
      </m:oMath>
      <w:r>
        <w:t xml:space="preserve"> </w:t>
      </w:r>
      <w:r>
        <w:t xml:space="preserve">(rounded to 5.5 months in preliminary summaries).</w:t>
      </w:r>
    </w:p>
    <w:p>
      <w:pPr>
        <w:pStyle w:val="FirstParagraph"/>
      </w:pPr>
      <w:r>
        <w:t xml:space="preserve">We explicitly emphasize that this post-cessation regrowth simulation represents an exploratory mechanistic model calibration—parameterized by physiologically grounded cell doubling times and detection thresholds—designed to explore whether biophysical and population-dynamic mechanisms yield timescales consistent with clinical reality, rather than an independent clinical trial validation. Notably, these calibrated projections exhibit qualitative and quantitative concordance with empirical findings from the ADAURA ctDNA longitudinal surveillance study (Herbst et al.,</w:t>
      </w:r>
      <w:r>
        <w:t xml:space="preserve"> </w:t>
      </w:r>
      <w:r>
        <w:rPr>
          <w:i/>
          <w:iCs/>
        </w:rPr>
        <w:t xml:space="preserve">Nature Medicine</w:t>
      </w:r>
      <w:r>
        <w:t xml:space="preserve"> </w:t>
      </w:r>
      <w:r>
        <w:t xml:space="preserve">2025 [12]), which documented a median ctDNA lead time of 4.7 months (95% CI: 2.2–5.6 months) preceding imaging events (</w:t>
      </w:r>
      <w:r>
        <w:rPr>
          <w:b/>
          <w:bCs/>
        </w:rPr>
        <w:t xml:space="preserve">Figure 2</w:t>
      </w:r>
      <w:r>
        <w:t xml:space="preserve">).</w:t>
      </w:r>
    </w:p>
    <w:p>
      <w:pPr>
        <w:pStyle w:val="CaptionedFigure"/>
      </w:pPr>
      <w:r>
        <w:drawing>
          <wp:inline>
            <wp:extent cx="5334000" cy="4244960"/>
            <wp:effectExtent b="0" l="0" r="0" t="0"/>
            <wp:docPr descr="Figure 2: Evolutionary Replicator Game Dynamics" title="" id="32" name="Picture"/>
            <a:graphic>
              <a:graphicData uri="http://schemas.openxmlformats.org/drawingml/2006/picture">
                <pic:pic>
                  <pic:nvPicPr>
                    <pic:cNvPr descr="figure2_evolutionary_game_and_cessation.png" id="33" name="Picture"/>
                    <pic:cNvPicPr>
                      <a:picLocks noChangeArrowheads="1" noChangeAspect="1"/>
                    </pic:cNvPicPr>
                  </pic:nvPicPr>
                  <pic:blipFill>
                    <a:blip r:embed="rId31"/>
                    <a:stretch>
                      <a:fillRect/>
                    </a:stretch>
                  </pic:blipFill>
                  <pic:spPr bwMode="auto">
                    <a:xfrm>
                      <a:off x="0" y="0"/>
                      <a:ext cx="5334000" cy="4244960"/>
                    </a:xfrm>
                    <a:prstGeom prst="rect">
                      <a:avLst/>
                    </a:prstGeom>
                    <a:noFill/>
                    <a:ln w="9525">
                      <a:noFill/>
                      <a:headEnd/>
                      <a:tailEnd/>
                    </a:ln>
                  </pic:spPr>
                </pic:pic>
              </a:graphicData>
            </a:graphic>
          </wp:inline>
        </w:drawing>
      </w:r>
    </w:p>
    <w:p>
      <w:pPr>
        <w:pStyle w:val="ImageCaption"/>
      </w:pPr>
      <w:r>
        <w:t xml:space="preserve">Figure 2: Evolutionary Replicator Game Dynamics</w:t>
      </w:r>
    </w:p>
    <w:p>
      <w:r>
        <w:pict>
          <v:rect style="width:0;height:1.5pt" o:hralign="center" o:hrstd="t" o:hr="t"/>
        </w:pict>
      </w:r>
    </w:p>
    <w:bookmarkEnd w:id="34"/>
    <w:bookmarkEnd w:id="35"/>
    <w:bookmarkStart w:id="42" w:name="Xabb1c54e8d99e5967885c943856bf552b581ff0"/>
    <w:p>
      <w:pPr>
        <w:pStyle w:val="Heading2"/>
      </w:pPr>
      <w:r>
        <w:t xml:space="preserve">4. Clinical Cohort Analysis &amp; Transparent Survival Modeling (MSKCC 2020,</w:t>
      </w:r>
      <w:r>
        <w:t xml:space="preserve"> </w:t>
      </w:r>
      <m:oMath>
        <m:r>
          <m:t>N</m:t>
        </m:r>
        <m:r>
          <m:rPr>
            <m:sty m:val="p"/>
          </m:rPr>
          <m:t>=</m:t>
        </m:r>
        <m:r>
          <m:t>604</m:t>
        </m:r>
      </m:oMath>
      <w:r>
        <w:t xml:space="preserve">)</w:t>
      </w:r>
    </w:p>
    <w:p>
      <w:pPr>
        <w:pStyle w:val="FirstParagraph"/>
      </w:pPr>
      <w:r>
        <w:t xml:space="preserve">To evaluate histological growth patterns in human disease, we analyzed the authenticated, publicly accessible Memorial Sloan Kettering Cancer Center lung adenocarcinoma cohort (MSKCC 2020, Caso et al.,</w:t>
      </w:r>
      <w:r>
        <w:t xml:space="preserve"> </w:t>
      </w:r>
      <w:r>
        <w:rPr>
          <w:i/>
          <w:iCs/>
        </w:rPr>
        <w:t xml:space="preserve">J Thorac Oncol</w:t>
      </w:r>
      <w:r>
        <w:t xml:space="preserve"> </w:t>
      </w:r>
      <w:r>
        <w:t xml:space="preserve">2020 [3]), encompassing 604 consecutive surgically resected patients with pathologically quantified IASLC architectural growth patterns and MSK-IMPACT genomic profiling.</w:t>
      </w:r>
    </w:p>
    <w:bookmarkStart w:id="39" w:name="X2680860260ae6d77936a424ae5715924f3368d8"/>
    <w:p>
      <w:pPr>
        <w:pStyle w:val="Heading3"/>
      </w:pPr>
      <w:r>
        <w:t xml:space="preserve">4.1 Observed Recurrence Rates Across IASLC Architectural Subtypes</w:t>
      </w:r>
    </w:p>
    <w:p>
      <w:pPr>
        <w:pStyle w:val="FirstParagraph"/>
      </w:pPr>
      <w:r>
        <w:t xml:space="preserve">Observed recurrence rates in the MSKCC cohort varied substantially across histological growth patterns (</w:t>
      </w:r>
      <w:r>
        <w:rPr>
          <w:b/>
          <w:bCs/>
        </w:rPr>
        <w:t xml:space="preserve">Figure 3</w:t>
      </w:r>
      <w:r>
        <w:t xml:space="preserve">):</w:t>
      </w:r>
    </w:p>
    <w:p>
      <w:pPr>
        <w:pStyle w:val="CaptionedFigure"/>
      </w:pPr>
      <w:r>
        <w:drawing>
          <wp:inline>
            <wp:extent cx="5334000" cy="4334099"/>
            <wp:effectExtent b="0" l="0" r="0" t="0"/>
            <wp:docPr descr="Figure 3: MSKCC Clinical Validation" title="" id="37" name="Picture"/>
            <a:graphic>
              <a:graphicData uri="http://schemas.openxmlformats.org/drawingml/2006/picture">
                <pic:pic>
                  <pic:nvPicPr>
                    <pic:cNvPr descr="figure3_mskcc_clinical_validation.png" id="38" name="Picture"/>
                    <pic:cNvPicPr>
                      <a:picLocks noChangeArrowheads="1" noChangeAspect="1"/>
                    </pic:cNvPicPr>
                  </pic:nvPicPr>
                  <pic:blipFill>
                    <a:blip r:embed="rId36"/>
                    <a:stretch>
                      <a:fillRect/>
                    </a:stretch>
                  </pic:blipFill>
                  <pic:spPr bwMode="auto">
                    <a:xfrm>
                      <a:off x="0" y="0"/>
                      <a:ext cx="5334000" cy="4334099"/>
                    </a:xfrm>
                    <a:prstGeom prst="rect">
                      <a:avLst/>
                    </a:prstGeom>
                    <a:noFill/>
                    <a:ln w="9525">
                      <a:noFill/>
                      <a:headEnd/>
                      <a:tailEnd/>
                    </a:ln>
                  </pic:spPr>
                </pic:pic>
              </a:graphicData>
            </a:graphic>
          </wp:inline>
        </w:drawing>
      </w:r>
    </w:p>
    <w:p>
      <w:pPr>
        <w:pStyle w:val="ImageCaption"/>
      </w:pPr>
      <w:r>
        <w:t xml:space="preserve">Figure 3: MSKCC Clinical Validation</w:t>
      </w:r>
    </w:p>
    <w:p>
      <w:pPr>
        <w:pStyle w:val="Compact"/>
        <w:numPr>
          <w:ilvl w:val="0"/>
          <w:numId w:val="1002"/>
        </w:numPr>
      </w:pPr>
      <w:r>
        <w:rPr>
          <w:b/>
          <w:bCs/>
        </w:rPr>
        <w:t xml:space="preserve">Lepidic (</w:t>
      </w:r>
      <m:oMath>
        <m:r>
          <m:t>N</m:t>
        </m:r>
        <m:r>
          <m:rPr>
            <m:sty m:val="p"/>
          </m:rPr>
          <m:t>=</m:t>
        </m:r>
        <m:r>
          <m:t>88</m:t>
        </m:r>
      </m:oMath>
      <w:r>
        <w:rPr>
          <w:b/>
          <w:bCs/>
        </w:rPr>
        <w:t xml:space="preserve">):</w:t>
      </w:r>
      <w:r>
        <w:t xml:space="preserve"> </w:t>
      </w:r>
      <w:r>
        <w:t xml:space="preserve">4 recurrences (</w:t>
      </w:r>
      <w:r>
        <w:rPr>
          <w:b/>
          <w:bCs/>
        </w:rPr>
        <w:t xml:space="preserve">4.55%</w:t>
      </w:r>
      <w:r>
        <w:t xml:space="preserve">), Median RFS not reached.</w:t>
      </w:r>
    </w:p>
    <w:p>
      <w:pPr>
        <w:pStyle w:val="Compact"/>
        <w:numPr>
          <w:ilvl w:val="0"/>
          <w:numId w:val="1002"/>
        </w:numPr>
      </w:pPr>
      <w:r>
        <w:rPr>
          <w:b/>
          <w:bCs/>
        </w:rPr>
        <w:t xml:space="preserve">Acinar (</w:t>
      </w:r>
      <m:oMath>
        <m:r>
          <m:t>N</m:t>
        </m:r>
        <m:r>
          <m:rPr>
            <m:sty m:val="p"/>
          </m:rPr>
          <m:t>=</m:t>
        </m:r>
        <m:r>
          <m:t>368</m:t>
        </m:r>
      </m:oMath>
      <w:r>
        <w:rPr>
          <w:b/>
          <w:bCs/>
        </w:rPr>
        <w:t xml:space="preserve">):</w:t>
      </w:r>
      <w:r>
        <w:t xml:space="preserve"> </w:t>
      </w:r>
      <w:r>
        <w:t xml:space="preserve">54 recurrences (</w:t>
      </w:r>
      <w:r>
        <w:rPr>
          <w:b/>
          <w:bCs/>
        </w:rPr>
        <w:t xml:space="preserve">14.67%</w:t>
      </w:r>
      <w:r>
        <w:t xml:space="preserve">), Median RFS not reached.</w:t>
      </w:r>
    </w:p>
    <w:p>
      <w:pPr>
        <w:pStyle w:val="Compact"/>
        <w:numPr>
          <w:ilvl w:val="0"/>
          <w:numId w:val="1002"/>
        </w:numPr>
      </w:pPr>
      <w:r>
        <w:rPr>
          <w:b/>
          <w:bCs/>
        </w:rPr>
        <w:t xml:space="preserve">Micropapillary (</w:t>
      </w:r>
      <m:oMath>
        <m:r>
          <m:t>N</m:t>
        </m:r>
        <m:r>
          <m:rPr>
            <m:sty m:val="p"/>
          </m:rPr>
          <m:t>=</m:t>
        </m:r>
        <m:r>
          <m:t>37</m:t>
        </m:r>
      </m:oMath>
      <w:r>
        <w:rPr>
          <w:b/>
          <w:bCs/>
        </w:rPr>
        <w:t xml:space="preserve">):</w:t>
      </w:r>
      <w:r>
        <w:t xml:space="preserve"> </w:t>
      </w:r>
      <w:r>
        <w:t xml:space="preserve">8 recurrences (</w:t>
      </w:r>
      <w:r>
        <w:rPr>
          <w:b/>
          <w:bCs/>
        </w:rPr>
        <w:t xml:space="preserve">21.62%</w:t>
      </w:r>
      <w:r>
        <w:t xml:space="preserve">), Median RFS not reached.</w:t>
      </w:r>
    </w:p>
    <w:p>
      <w:pPr>
        <w:pStyle w:val="Compact"/>
        <w:numPr>
          <w:ilvl w:val="0"/>
          <w:numId w:val="1002"/>
        </w:numPr>
      </w:pPr>
      <w:r>
        <w:rPr>
          <w:b/>
          <w:bCs/>
        </w:rPr>
        <w:t xml:space="preserve">Papillary (</w:t>
      </w:r>
      <m:oMath>
        <m:r>
          <m:t>N</m:t>
        </m:r>
        <m:r>
          <m:rPr>
            <m:sty m:val="p"/>
          </m:rPr>
          <m:t>=</m:t>
        </m:r>
        <m:r>
          <m:t>43</m:t>
        </m:r>
      </m:oMath>
      <w:r>
        <w:rPr>
          <w:b/>
          <w:bCs/>
        </w:rPr>
        <w:t xml:space="preserve">):</w:t>
      </w:r>
      <w:r>
        <w:t xml:space="preserve"> </w:t>
      </w:r>
      <w:r>
        <w:t xml:space="preserve">11 recurrences (</w:t>
      </w:r>
      <w:r>
        <w:rPr>
          <w:b/>
          <w:bCs/>
        </w:rPr>
        <w:t xml:space="preserve">25.58%</w:t>
      </w:r>
      <w:r>
        <w:t xml:space="preserve">), Median RFS not reached.</w:t>
      </w:r>
    </w:p>
    <w:p>
      <w:pPr>
        <w:pStyle w:val="Compact"/>
        <w:numPr>
          <w:ilvl w:val="0"/>
          <w:numId w:val="1002"/>
        </w:numPr>
      </w:pPr>
      <w:r>
        <w:rPr>
          <w:b/>
          <w:bCs/>
        </w:rPr>
        <w:t xml:space="preserve">Solid (</w:t>
      </w:r>
      <m:oMath>
        <m:r>
          <m:t>N</m:t>
        </m:r>
        <m:r>
          <m:rPr>
            <m:sty m:val="p"/>
          </m:rPr>
          <m:t>=</m:t>
        </m:r>
        <m:r>
          <m:t>68</m:t>
        </m:r>
      </m:oMath>
      <w:r>
        <w:rPr>
          <w:b/>
          <w:bCs/>
        </w:rPr>
        <w:t xml:space="preserve">):</w:t>
      </w:r>
      <w:r>
        <w:t xml:space="preserve"> </w:t>
      </w:r>
      <w:r>
        <w:t xml:space="preserve">21 recurrences (</w:t>
      </w:r>
      <w:r>
        <w:rPr>
          <w:b/>
          <w:bCs/>
        </w:rPr>
        <w:t xml:space="preserve">30.88%</w:t>
      </w:r>
      <w:r>
        <w:t xml:space="preserve">), Kaplan-Meier Median RFS =</w:t>
      </w:r>
      <w:r>
        <w:t xml:space="preserve"> </w:t>
      </w:r>
      <w:r>
        <w:rPr>
          <w:b/>
          <w:bCs/>
        </w:rPr>
        <w:t xml:space="preserve">40.2 months</w:t>
      </w:r>
      <w:r>
        <w:t xml:space="preserve"> </w:t>
      </w:r>
      <w:r>
        <w:t xml:space="preserve">(95% CI: 36.5 – not reached).</w:t>
      </w:r>
    </w:p>
    <w:p>
      <w:pPr>
        <w:pStyle w:val="FirstParagraph"/>
      </w:pPr>
      <w:r>
        <w:t xml:space="preserve">Across the entire cohort (</w:t>
      </w:r>
      <m:oMath>
        <m:r>
          <m:t>N</m:t>
        </m:r>
        <m:r>
          <m:rPr>
            <m:sty m:val="p"/>
          </m:rPr>
          <m:t>=</m:t>
        </m:r>
        <m:r>
          <m:t>604</m:t>
        </m:r>
      </m:oMath>
      <w:r>
        <w:t xml:space="preserve">), the median follow-up for RFS was</w:t>
      </w:r>
      <w:r>
        <w:t xml:space="preserve"> </w:t>
      </w:r>
      <w:r>
        <w:rPr>
          <w:b/>
          <w:bCs/>
        </w:rPr>
        <w:t xml:space="preserve">21.4 months</w:t>
      </w:r>
      <w:r>
        <w:t xml:space="preserve"> </w:t>
      </w:r>
      <w:r>
        <w:t xml:space="preserve">(interquartile range: 11.2 to 31.9 months). A total of 77 patients remained at risk at 36 months, and only 3 patients had documented follow-up beyond 60 months (including a single patient with lepidic histology). For the solid subtype, the Kaplan-Meier median RFS estimate of 40.2 months is supported by only 3 patients remaining at risk beyond 40 months. Consequently, long-term survival benchmarks (such as 5-year RFS) cannot be reliably extrapolated from this dataset, and we restrict our conclusions strictly to observed events and early-to-midterm recurrence dynamics.</w:t>
      </w:r>
    </w:p>
    <w:p>
      <w:pPr>
        <w:pStyle w:val="BodyText"/>
      </w:pPr>
      <w:r>
        <w:t xml:space="preserve">Comparing the extreme biophysical contrast of high-sanctuary solid/micropapillary architecture (</w:t>
      </w:r>
      <m:oMath>
        <m:r>
          <m:t>N</m:t>
        </m:r>
        <m:r>
          <m:rPr>
            <m:sty m:val="p"/>
          </m:rPr>
          <m:t>=</m:t>
        </m:r>
        <m:r>
          <m:t>105</m:t>
        </m:r>
      </m:oMath>
      <w:r>
        <w:t xml:space="preserve">, 29 recurrences) against the uncompacted lepidic growth pattern (</w:t>
      </w:r>
      <m:oMath>
        <m:r>
          <m:t>N</m:t>
        </m:r>
        <m:r>
          <m:rPr>
            <m:sty m:val="p"/>
          </m:rPr>
          <m:t>=</m:t>
        </m:r>
        <m:r>
          <m:t>88</m:t>
        </m:r>
      </m:oMath>
      <w:r>
        <w:t xml:space="preserve">, 4 recurrences; total</w:t>
      </w:r>
      <w:r>
        <w:t xml:space="preserve"> </w:t>
      </w:r>
      <m:oMath>
        <m:r>
          <m:t>N</m:t>
        </m:r>
        <m:r>
          <m:rPr>
            <m:sty m:val="p"/>
          </m:rPr>
          <m:t>=</m:t>
        </m:r>
        <m:r>
          <m:t>193</m:t>
        </m:r>
      </m:oMath>
      <w:r>
        <w:t xml:space="preserve">), the univariable Log-Rank test demonstrated marked separation:</w:t>
      </w:r>
      <w:r>
        <w:t xml:space="preserve"> </w:t>
      </w:r>
      <m:oMath>
        <m:sSup>
          <m:e>
            <m:r>
              <m:t>χ</m:t>
            </m:r>
          </m:e>
          <m:sup>
            <m:r>
              <m:t>2</m:t>
            </m:r>
          </m:sup>
        </m:sSup>
        <m:r>
          <m:rPr>
            <m:sty m:val="p"/>
          </m:rPr>
          <m:t>=</m:t>
        </m:r>
        <m:r>
          <m:t>20.39</m:t>
        </m:r>
        <m:r>
          <m:rPr>
            <m:sty m:val="p"/>
          </m:rPr>
          <m:t>,</m:t>
        </m:r>
        <m:r>
          <m:t>p</m:t>
        </m:r>
        <m:r>
          <m:rPr>
            <m:sty m:val="p"/>
          </m:rPr>
          <m:t>=</m:t>
        </m:r>
        <m:r>
          <m:t>6.33</m:t>
        </m:r>
        <m:r>
          <m:rPr>
            <m:sty m:val="p"/>
          </m:rPr>
          <m:t>×</m:t>
        </m:r>
        <m:sSup>
          <m:e>
            <m:r>
              <m:t>10</m:t>
            </m:r>
          </m:e>
          <m:sup>
            <m:r>
              <m:rPr>
                <m:sty m:val="p"/>
              </m:rPr>
              <m:t>−</m:t>
            </m:r>
            <m:r>
              <m:t>6</m:t>
            </m:r>
          </m:sup>
        </m:sSup>
      </m:oMath>
      <w:r>
        <w:t xml:space="preserve"> </w:t>
      </w:r>
      <w:r>
        <w:t xml:space="preserve">(</w:t>
      </w:r>
      <w:r>
        <w:rPr>
          <w:b/>
          <w:bCs/>
        </w:rPr>
        <w:t xml:space="preserve">Figure 3A</w:t>
      </w:r>
      <w:r>
        <w:t xml:space="preserve">).</w:t>
      </w:r>
    </w:p>
    <w:bookmarkEnd w:id="39"/>
    <w:bookmarkStart w:id="40" w:name="X9edcaba16869a7e6b9e9ca3e43b336ff2587b44"/>
    <w:p>
      <w:pPr>
        <w:pStyle w:val="Heading3"/>
      </w:pPr>
      <w:r>
        <w:t xml:space="preserve">4.2 Multivariable Cox Proportional Hazards Modeling &amp; Methodological Transparency</w:t>
      </w:r>
    </w:p>
    <w:p>
      <w:pPr>
        <w:pStyle w:val="FirstParagraph"/>
      </w:pPr>
      <w:r>
        <w:t xml:space="preserve">To test architectural associations while adjusting for clinical covariates, we evaluated three complementary Cox models:</w:t>
      </w:r>
    </w:p>
    <w:p>
      <w:pPr>
        <w:numPr>
          <w:ilvl w:val="0"/>
          <w:numId w:val="1003"/>
        </w:numPr>
      </w:pPr>
      <w:r>
        <w:rPr>
          <w:b/>
          <w:bCs/>
        </w:rPr>
        <w:t xml:space="preserve">Model 1: Extreme Biophysical Contrast (</w:t>
      </w:r>
      <m:oMath>
        <m:r>
          <m:t>N</m:t>
        </m:r>
        <m:r>
          <m:rPr>
            <m:sty m:val="p"/>
          </m:rPr>
          <m:t>=</m:t>
        </m:r>
        <m:r>
          <m:t>193</m:t>
        </m:r>
      </m:oMath>
      <w:r>
        <w:rPr>
          <w:b/>
          <w:bCs/>
        </w:rPr>
        <w:t xml:space="preserve">, 33 events):</w:t>
      </w:r>
      <w:r>
        <w:br/>
      </w:r>
      <w:r>
        <w:t xml:space="preserve">Comparing high-sanctuary (Solid/Micropapillary) versus uncompacted Lepidic architecture with adjustment for pathologic stage (Stage II/III vs I), the adjusted Hazard Ratio was:</w:t>
      </w:r>
    </w:p>
    <w:p>
      <w:pPr>
        <w:pStyle w:val="BodyText"/>
      </w:pPr>
      <m:oMathPara>
        <m:oMathParaPr>
          <m:jc m:val="center"/>
        </m:oMathParaPr>
        <m:oMath>
          <m:r>
            <m:rPr>
              <m:nor/>
              <m:sty m:val="p"/>
            </m:rPr>
            <m:t>Adjusted </m:t>
          </m:r>
          <m:r>
            <m:t>H</m:t>
          </m:r>
          <m:r>
            <m:t>R</m:t>
          </m:r>
          <m:r>
            <m:rPr>
              <m:sty m:val="p"/>
            </m:rPr>
            <m:t>=</m:t>
          </m:r>
          <m:r>
            <m:rPr>
              <m:sty m:val="b"/>
            </m:rPr>
            <m:t>6.75</m:t>
          </m:r>
          <m:r>
            <m:t> </m:t>
          </m:r>
          <m:d>
            <m:dPr>
              <m:begChr m:val="("/>
              <m:endChr m:val=")"/>
              <m:sepChr m:val=""/>
              <m:grow/>
            </m:dPr>
            <m:e>
              <m:r>
                <m:t>95</m:t>
              </m:r>
              <m:r>
                <m:rPr>
                  <m:sty m:val="p"/>
                </m:rPr>
                <m:t>%</m:t>
              </m:r>
              <m:r>
                <m:rPr>
                  <m:nor/>
                  <m:sty m:val="p"/>
                </m:rPr>
                <m:t> CI: </m:t>
              </m:r>
              <m:r>
                <m:rPr>
                  <m:sty m:val="b"/>
                </m:rPr>
                <m:t>2.28</m:t>
              </m:r>
              <m:r>
                <m:rPr>
                  <m:sty m:val="b"/>
                </m:rPr>
                <m:t>−</m:t>
              </m:r>
              <m:r>
                <m:rPr>
                  <m:sty m:val="b"/>
                </m:rPr>
                <m:t>19.97</m:t>
              </m:r>
            </m:e>
          </m:d>
          <m:r>
            <m:rPr>
              <m:sty m:val="p"/>
            </m:rPr>
            <m:t>,</m:t>
          </m:r>
          <m:r>
            <m:t> </m:t>
          </m:r>
          <m:r>
            <m:t>p</m:t>
          </m:r>
          <m:r>
            <m:rPr>
              <m:sty m:val="p"/>
            </m:rPr>
            <m:t>=</m:t>
          </m:r>
          <m:r>
            <m:rPr>
              <m:sty m:val="b"/>
            </m:rPr>
            <m:t>5.52</m:t>
          </m:r>
          <m:r>
            <m:rPr>
              <m:sty m:val="b"/>
            </m:rPr>
            <m:t>×</m:t>
          </m:r>
          <m:sSup>
            <m:e>
              <m:r>
                <m:rPr>
                  <m:sty m:val="b"/>
                </m:rPr>
                <m:t>10</m:t>
              </m:r>
            </m:e>
            <m:sup>
              <m:r>
                <m:rPr>
                  <m:sty m:val="b"/>
                </m:rPr>
                <m:t>−</m:t>
              </m:r>
              <m:r>
                <m:rPr>
                  <m:sty m:val="b"/>
                </m:rPr>
                <m:t>4</m:t>
              </m:r>
            </m:sup>
          </m:sSup>
        </m:oMath>
      </m:oMathPara>
    </w:p>
    <w:p>
      <w:pPr>
        <w:numPr>
          <w:ilvl w:val="0"/>
          <w:numId w:val="1000"/>
        </w:numPr>
      </w:pPr>
      <w:r>
        <w:t xml:space="preserve">This comparison was pre-specified to test the biophysical hypothesis at the extremes of cellular compaction and vascular decoupling.</w:t>
      </w:r>
    </w:p>
    <w:p>
      <w:pPr>
        <w:numPr>
          <w:ilvl w:val="0"/>
          <w:numId w:val="1003"/>
        </w:numPr>
      </w:pPr>
      <w:r>
        <w:rPr>
          <w:b/>
          <w:bCs/>
        </w:rPr>
        <w:t xml:space="preserve">Model 2: Full Cohort Analysis (</w:t>
      </w:r>
      <m:oMath>
        <m:r>
          <m:t>N</m:t>
        </m:r>
        <m:r>
          <m:rPr>
            <m:sty m:val="p"/>
          </m:rPr>
          <m:t>=</m:t>
        </m:r>
        <m:r>
          <m:t>604</m:t>
        </m:r>
      </m:oMath>
      <w:r>
        <w:rPr>
          <w:b/>
          <w:bCs/>
        </w:rPr>
        <w:t xml:space="preserve">, 98 events):</w:t>
      </w:r>
      <w:r>
        <w:br/>
      </w:r>
      <w:r>
        <w:t xml:space="preserve">When evaluated across the entire heterogeneous cohort (</w:t>
      </w:r>
      <m:oMath>
        <m:r>
          <m:t>N</m:t>
        </m:r>
        <m:r>
          <m:rPr>
            <m:sty m:val="p"/>
          </m:rPr>
          <m:t>=</m:t>
        </m:r>
        <m:r>
          <m:t>604</m:t>
        </m:r>
      </m:oMath>
      <w:r>
        <w:t xml:space="preserve">), wherein the intermediate acinar subtype constitutes the majority (368/604, 60.9%), the prognostic hazard of solid/micropapillary architecture relative to all other subtypes combined is attenuated:</w:t>
      </w:r>
    </w:p>
    <w:p>
      <w:pPr>
        <w:pStyle w:val="Compact"/>
        <w:numPr>
          <w:ilvl w:val="1"/>
          <w:numId w:val="1004"/>
        </w:numPr>
      </w:pPr>
      <w:r>
        <w:t xml:space="preserve">Adjusted for pathologic stage:</w:t>
      </w:r>
      <w:r>
        <w:t xml:space="preserve"> </w:t>
      </w:r>
      <m:oMath>
        <m:r>
          <m:rPr>
            <m:nor/>
            <m:sty m:val="p"/>
          </m:rPr>
          <m:t>Adjusted </m:t>
        </m:r>
        <m:r>
          <m:t>H</m:t>
        </m:r>
        <m:r>
          <m:t>R</m:t>
        </m:r>
        <m:r>
          <m:rPr>
            <m:sty m:val="p"/>
          </m:rPr>
          <m:t>=</m:t>
        </m:r>
        <m:r>
          <m:rPr>
            <m:sty m:val="b"/>
          </m:rPr>
          <m:t>1.32</m:t>
        </m:r>
        <m:r>
          <m:t> </m:t>
        </m:r>
        <m:d>
          <m:dPr>
            <m:begChr m:val="("/>
            <m:endChr m:val=")"/>
            <m:sepChr m:val=""/>
            <m:grow/>
          </m:dPr>
          <m:e>
            <m:r>
              <m:t>95</m:t>
            </m:r>
            <m:r>
              <m:rPr>
                <m:sty m:val="p"/>
              </m:rPr>
              <m:t>%</m:t>
            </m:r>
            <m:r>
              <m:rPr>
                <m:nor/>
                <m:sty m:val="p"/>
              </m:rPr>
              <m:t> CI: </m:t>
            </m:r>
            <m:r>
              <m:t>0.83</m:t>
            </m:r>
            <m:r>
              <m:rPr>
                <m:sty m:val="p"/>
              </m:rPr>
              <m:t>−</m:t>
            </m:r>
            <m:r>
              <m:t>2.08</m:t>
            </m:r>
            <m:r>
              <m:rPr>
                <m:sty m:val="p"/>
              </m:rPr>
              <m:t>,</m:t>
            </m:r>
            <m:r>
              <m:t>p</m:t>
            </m:r>
            <m:r>
              <m:rPr>
                <m:sty m:val="p"/>
              </m:rPr>
              <m:t>=</m:t>
            </m:r>
            <m:r>
              <m:t>0.238</m:t>
            </m:r>
          </m:e>
        </m:d>
      </m:oMath>
    </w:p>
    <w:p>
      <w:pPr>
        <w:pStyle w:val="Compact"/>
        <w:numPr>
          <w:ilvl w:val="1"/>
          <w:numId w:val="1004"/>
        </w:numPr>
      </w:pPr>
      <w:r>
        <w:t xml:space="preserve">Adjusted for pathologic stage and</w:t>
      </w:r>
      <w:r>
        <w:t xml:space="preserve"> </w:t>
      </w:r>
      <w:r>
        <w:rPr>
          <w:i/>
          <w:iCs/>
        </w:rPr>
        <w:t xml:space="preserve">EGFR</w:t>
      </w:r>
      <w:r>
        <w:t xml:space="preserve"> </w:t>
      </w:r>
      <w:r>
        <w:t xml:space="preserve">status:</w:t>
      </w:r>
      <w:r>
        <w:t xml:space="preserve"> </w:t>
      </w:r>
      <m:oMath>
        <m:r>
          <m:rPr>
            <m:nor/>
            <m:sty m:val="p"/>
          </m:rPr>
          <m:t>Adjusted </m:t>
        </m:r>
        <m:r>
          <m:t>H</m:t>
        </m:r>
        <m:r>
          <m:t>R</m:t>
        </m:r>
        <m:r>
          <m:rPr>
            <m:sty m:val="p"/>
          </m:rPr>
          <m:t>=</m:t>
        </m:r>
        <m:r>
          <m:rPr>
            <m:sty m:val="b"/>
          </m:rPr>
          <m:t>1.30</m:t>
        </m:r>
        <m:r>
          <m:t> </m:t>
        </m:r>
        <m:d>
          <m:dPr>
            <m:begChr m:val="("/>
            <m:endChr m:val=")"/>
            <m:sepChr m:val=""/>
            <m:grow/>
          </m:dPr>
          <m:e>
            <m:r>
              <m:t>95</m:t>
            </m:r>
            <m:r>
              <m:rPr>
                <m:sty m:val="p"/>
              </m:rPr>
              <m:t>%</m:t>
            </m:r>
            <m:r>
              <m:rPr>
                <m:nor/>
                <m:sty m:val="p"/>
              </m:rPr>
              <m:t> CI: </m:t>
            </m:r>
            <m:r>
              <m:t>0.82</m:t>
            </m:r>
            <m:r>
              <m:rPr>
                <m:sty m:val="p"/>
              </m:rPr>
              <m:t>−</m:t>
            </m:r>
            <m:r>
              <m:t>2.07</m:t>
            </m:r>
            <m:r>
              <m:rPr>
                <m:sty m:val="p"/>
              </m:rPr>
              <m:t>,</m:t>
            </m:r>
            <m:r>
              <m:t>p</m:t>
            </m:r>
            <m:r>
              <m:rPr>
                <m:sty m:val="p"/>
              </m:rPr>
              <m:t>=</m:t>
            </m:r>
            <m:r>
              <m:t>0.258</m:t>
            </m:r>
          </m:e>
        </m:d>
      </m:oMath>
      <w:r>
        <w:t xml:space="preserve"> </w:t>
      </w:r>
      <w:r>
        <w:t xml:space="preserve">In the full cohort, pathologic stage remains the predominant independent prognostic factor (</w:t>
      </w:r>
      <m:oMath>
        <m:r>
          <m:t>H</m:t>
        </m:r>
        <m:r>
          <m:t>R</m:t>
        </m:r>
        <m:r>
          <m:rPr>
            <m:sty m:val="p"/>
          </m:rPr>
          <m:t>=</m:t>
        </m:r>
        <m:r>
          <m:t>4.18</m:t>
        </m:r>
      </m:oMath>
      <w:r>
        <w:t xml:space="preserve">, 95% CI:</w:t>
      </w:r>
      <w:r>
        <w:t xml:space="preserve"> </w:t>
      </w:r>
      <m:oMath>
        <m:r>
          <m:t>2.74</m:t>
        </m:r>
        <m:r>
          <m:rPr>
            <m:sty m:val="p"/>
          </m:rPr>
          <m:t>−</m:t>
        </m:r>
        <m:r>
          <m:t>6.38</m:t>
        </m:r>
        <m:r>
          <m:rPr>
            <m:sty m:val="p"/>
          </m:rPr>
          <m:t>,</m:t>
        </m:r>
        <m:r>
          <m:t>p</m:t>
        </m:r>
        <m:r>
          <m:rPr>
            <m:sty m:val="p"/>
          </m:rPr>
          <m:t>=</m:t>
        </m:r>
        <m:r>
          <m:t>2.85</m:t>
        </m:r>
        <m:r>
          <m:rPr>
            <m:sty m:val="p"/>
          </m:rPr>
          <m:t>×</m:t>
        </m:r>
        <m:sSup>
          <m:e>
            <m:r>
              <m:t>10</m:t>
            </m:r>
          </m:e>
          <m:sup>
            <m:r>
              <m:rPr>
                <m:sty m:val="p"/>
              </m:rPr>
              <m:t>−</m:t>
            </m:r>
            <m:r>
              <m:t>11</m:t>
            </m:r>
          </m:sup>
        </m:sSup>
      </m:oMath>
      <w:r>
        <w:t xml:space="preserve">).</w:t>
      </w:r>
    </w:p>
    <w:p>
      <w:pPr>
        <w:numPr>
          <w:ilvl w:val="0"/>
          <w:numId w:val="1003"/>
        </w:numPr>
      </w:pPr>
      <w:r>
        <w:rPr>
          <w:b/>
          <w:bCs/>
        </w:rPr>
        <w:t xml:space="preserve">Model 3: 5-Subtype Decomposition with Acinar as Reference (</w:t>
      </w:r>
      <m:oMath>
        <m:r>
          <m:t>N</m:t>
        </m:r>
        <m:r>
          <m:rPr>
            <m:sty m:val="p"/>
          </m:rPr>
          <m:t>=</m:t>
        </m:r>
        <m:r>
          <m:t>604</m:t>
        </m:r>
      </m:oMath>
      <w:r>
        <w:rPr>
          <w:b/>
          <w:bCs/>
        </w:rPr>
        <w:t xml:space="preserve">, 98 events):</w:t>
      </w:r>
      <w:r>
        <w:br/>
      </w:r>
      <w:r>
        <w:t xml:space="preserve">To dissect the source of architectural variation across the full cohort, we fitted a multivariable model treating each subtype separately with acinar histology as the reference category (</w:t>
      </w:r>
      <m:oMath>
        <m:r>
          <m:t>N</m:t>
        </m:r>
        <m:r>
          <m:rPr>
            <m:sty m:val="p"/>
          </m:rPr>
          <m:t>=</m:t>
        </m:r>
        <m:r>
          <m:t>368</m:t>
        </m:r>
      </m:oMath>
      <w:r>
        <w:t xml:space="preserve">):</w:t>
      </w:r>
    </w:p>
    <w:p>
      <w:pPr>
        <w:pStyle w:val="Compact"/>
        <w:numPr>
          <w:ilvl w:val="1"/>
          <w:numId w:val="1005"/>
        </w:numPr>
      </w:pPr>
      <w:r>
        <w:rPr>
          <w:b/>
          <w:bCs/>
        </w:rPr>
        <w:t xml:space="preserve">Lepidic (</w:t>
      </w:r>
      <m:oMath>
        <m:r>
          <m:t>N</m:t>
        </m:r>
        <m:r>
          <m:rPr>
            <m:sty m:val="p"/>
          </m:rPr>
          <m:t>=</m:t>
        </m:r>
        <m:r>
          <m:t>88</m:t>
        </m:r>
      </m:oMath>
      <w:r>
        <w:rPr>
          <w:b/>
          <w:bCs/>
        </w:rPr>
        <w:t xml:space="preserve">):</w:t>
      </w:r>
      <w:r>
        <w:t xml:space="preserve"> </w:t>
      </w:r>
      <m:oMath>
        <m:r>
          <m:t>H</m:t>
        </m:r>
        <m:r>
          <m:t>R</m:t>
        </m:r>
        <m:r>
          <m:rPr>
            <m:sty m:val="p"/>
          </m:rPr>
          <m:t>=</m:t>
        </m:r>
        <m:r>
          <m:rPr>
            <m:sty m:val="b"/>
          </m:rPr>
          <m:t>0.25</m:t>
        </m:r>
        <m:r>
          <m:t> </m:t>
        </m:r>
        <m:d>
          <m:dPr>
            <m:begChr m:val="("/>
            <m:endChr m:val=")"/>
            <m:sepChr m:val=""/>
            <m:grow/>
          </m:dPr>
          <m:e>
            <m:r>
              <m:t>95</m:t>
            </m:r>
            <m:r>
              <m:rPr>
                <m:sty m:val="p"/>
              </m:rPr>
              <m:t>%</m:t>
            </m:r>
            <m:r>
              <m:rPr>
                <m:nor/>
                <m:sty m:val="p"/>
              </m:rPr>
              <m:t> CI: </m:t>
            </m:r>
            <m:r>
              <m:t>0.09</m:t>
            </m:r>
            <m:r>
              <m:rPr>
                <m:sty m:val="p"/>
              </m:rPr>
              <m:t>−</m:t>
            </m:r>
            <m:r>
              <m:t>0.70</m:t>
            </m:r>
          </m:e>
        </m:d>
        <m:r>
          <m:rPr>
            <m:sty m:val="p"/>
          </m:rPr>
          <m:t>,</m:t>
        </m:r>
        <m:r>
          <m:t> </m:t>
        </m:r>
        <m:r>
          <m:t>p</m:t>
        </m:r>
        <m:r>
          <m:rPr>
            <m:sty m:val="p"/>
          </m:rPr>
          <m:t>=</m:t>
        </m:r>
        <m:r>
          <m:rPr>
            <m:sty m:val="b"/>
          </m:rPr>
          <m:t>0.0084</m:t>
        </m:r>
      </m:oMath>
    </w:p>
    <w:p>
      <w:pPr>
        <w:pStyle w:val="Compact"/>
        <w:numPr>
          <w:ilvl w:val="1"/>
          <w:numId w:val="1005"/>
        </w:numPr>
      </w:pPr>
      <w:r>
        <w:rPr>
          <w:b/>
          <w:bCs/>
        </w:rPr>
        <w:t xml:space="preserve">Solid (</w:t>
      </w:r>
      <m:oMath>
        <m:r>
          <m:t>N</m:t>
        </m:r>
        <m:r>
          <m:rPr>
            <m:sty m:val="p"/>
          </m:rPr>
          <m:t>=</m:t>
        </m:r>
        <m:r>
          <m:t>68</m:t>
        </m:r>
      </m:oMath>
      <w:r>
        <w:rPr>
          <w:b/>
          <w:bCs/>
        </w:rPr>
        <w:t xml:space="preserve">):</w:t>
      </w:r>
      <w:r>
        <w:t xml:space="preserve"> </w:t>
      </w:r>
      <m:oMath>
        <m:r>
          <m:t>H</m:t>
        </m:r>
        <m:r>
          <m:t>R</m:t>
        </m:r>
        <m:r>
          <m:rPr>
            <m:sty m:val="p"/>
          </m:rPr>
          <m:t>=</m:t>
        </m:r>
        <m:r>
          <m:rPr>
            <m:sty m:val="b"/>
          </m:rPr>
          <m:t>1.48</m:t>
        </m:r>
        <m:r>
          <m:t> </m:t>
        </m:r>
        <m:d>
          <m:dPr>
            <m:begChr m:val="("/>
            <m:endChr m:val=")"/>
            <m:sepChr m:val=""/>
            <m:grow/>
          </m:dPr>
          <m:e>
            <m:r>
              <m:t>95</m:t>
            </m:r>
            <m:r>
              <m:rPr>
                <m:sty m:val="p"/>
              </m:rPr>
              <m:t>%</m:t>
            </m:r>
            <m:r>
              <m:rPr>
                <m:nor/>
                <m:sty m:val="p"/>
              </m:rPr>
              <m:t> CI: </m:t>
            </m:r>
            <m:r>
              <m:t>0.89</m:t>
            </m:r>
            <m:r>
              <m:rPr>
                <m:sty m:val="p"/>
              </m:rPr>
              <m:t>−</m:t>
            </m:r>
            <m:r>
              <m:t>2.49</m:t>
            </m:r>
          </m:e>
        </m:d>
        <m:r>
          <m:rPr>
            <m:sty m:val="p"/>
          </m:rPr>
          <m:t>,</m:t>
        </m:r>
        <m:r>
          <m:t> </m:t>
        </m:r>
        <m:r>
          <m:t>p</m:t>
        </m:r>
        <m:r>
          <m:rPr>
            <m:sty m:val="p"/>
          </m:rPr>
          <m:t>=</m:t>
        </m:r>
        <m:r>
          <m:rPr>
            <m:sty m:val="b"/>
          </m:rPr>
          <m:t>0.133</m:t>
        </m:r>
      </m:oMath>
    </w:p>
    <w:p>
      <w:pPr>
        <w:pStyle w:val="Compact"/>
        <w:numPr>
          <w:ilvl w:val="1"/>
          <w:numId w:val="1005"/>
        </w:numPr>
      </w:pPr>
      <w:r>
        <w:rPr>
          <w:b/>
          <w:bCs/>
        </w:rPr>
        <w:t xml:space="preserve">Papillary (</w:t>
      </w:r>
      <m:oMath>
        <m:r>
          <m:t>N</m:t>
        </m:r>
        <m:r>
          <m:rPr>
            <m:sty m:val="p"/>
          </m:rPr>
          <m:t>=</m:t>
        </m:r>
        <m:r>
          <m:t>43</m:t>
        </m:r>
      </m:oMath>
      <w:r>
        <w:rPr>
          <w:b/>
          <w:bCs/>
        </w:rPr>
        <w:t xml:space="preserve">):</w:t>
      </w:r>
      <w:r>
        <w:t xml:space="preserve"> </w:t>
      </w:r>
      <m:oMath>
        <m:r>
          <m:t>H</m:t>
        </m:r>
        <m:r>
          <m:t>R</m:t>
        </m:r>
        <m:r>
          <m:rPr>
            <m:sty m:val="p"/>
          </m:rPr>
          <m:t>=</m:t>
        </m:r>
        <m:r>
          <m:rPr>
            <m:sty m:val="b"/>
          </m:rPr>
          <m:t>1.55</m:t>
        </m:r>
        <m:r>
          <m:t> </m:t>
        </m:r>
        <m:d>
          <m:dPr>
            <m:begChr m:val="("/>
            <m:endChr m:val=")"/>
            <m:sepChr m:val=""/>
            <m:grow/>
          </m:dPr>
          <m:e>
            <m:r>
              <m:t>95</m:t>
            </m:r>
            <m:r>
              <m:rPr>
                <m:sty m:val="p"/>
              </m:rPr>
              <m:t>%</m:t>
            </m:r>
            <m:r>
              <m:rPr>
                <m:nor/>
                <m:sty m:val="p"/>
              </m:rPr>
              <m:t> CI: </m:t>
            </m:r>
            <m:r>
              <m:t>0.80</m:t>
            </m:r>
            <m:r>
              <m:rPr>
                <m:sty m:val="p"/>
              </m:rPr>
              <m:t>−</m:t>
            </m:r>
            <m:r>
              <m:t>3.00</m:t>
            </m:r>
          </m:e>
        </m:d>
        <m:r>
          <m:rPr>
            <m:sty m:val="p"/>
          </m:rPr>
          <m:t>,</m:t>
        </m:r>
        <m:r>
          <m:t> </m:t>
        </m:r>
        <m:r>
          <m:t>p</m:t>
        </m:r>
        <m:r>
          <m:rPr>
            <m:sty m:val="p"/>
          </m:rPr>
          <m:t>=</m:t>
        </m:r>
        <m:r>
          <m:rPr>
            <m:sty m:val="b"/>
          </m:rPr>
          <m:t>0.191</m:t>
        </m:r>
      </m:oMath>
    </w:p>
    <w:p>
      <w:pPr>
        <w:pStyle w:val="Compact"/>
        <w:numPr>
          <w:ilvl w:val="1"/>
          <w:numId w:val="1005"/>
        </w:numPr>
      </w:pPr>
      <w:r>
        <w:rPr>
          <w:b/>
          <w:bCs/>
        </w:rPr>
        <w:t xml:space="preserve">Micropapillary (</w:t>
      </w:r>
      <m:oMath>
        <m:r>
          <m:t>N</m:t>
        </m:r>
        <m:r>
          <m:rPr>
            <m:sty m:val="p"/>
          </m:rPr>
          <m:t>=</m:t>
        </m:r>
        <m:r>
          <m:t>37</m:t>
        </m:r>
      </m:oMath>
      <w:r>
        <w:rPr>
          <w:b/>
          <w:bCs/>
        </w:rPr>
        <w:t xml:space="preserve">):</w:t>
      </w:r>
      <w:r>
        <w:t xml:space="preserve"> </w:t>
      </w:r>
      <m:oMath>
        <m:r>
          <m:t>H</m:t>
        </m:r>
        <m:r>
          <m:t>R</m:t>
        </m:r>
        <m:r>
          <m:rPr>
            <m:sty m:val="p"/>
          </m:rPr>
          <m:t>=</m:t>
        </m:r>
        <m:r>
          <m:rPr>
            <m:sty m:val="b"/>
          </m:rPr>
          <m:t>0.72</m:t>
        </m:r>
        <m:r>
          <m:t> </m:t>
        </m:r>
        <m:d>
          <m:dPr>
            <m:begChr m:val="("/>
            <m:endChr m:val=")"/>
            <m:sepChr m:val=""/>
            <m:grow/>
          </m:dPr>
          <m:e>
            <m:r>
              <m:t>95</m:t>
            </m:r>
            <m:r>
              <m:rPr>
                <m:sty m:val="p"/>
              </m:rPr>
              <m:t>%</m:t>
            </m:r>
            <m:r>
              <m:rPr>
                <m:nor/>
                <m:sty m:val="p"/>
              </m:rPr>
              <m:t> CI: </m:t>
            </m:r>
            <m:r>
              <m:t>0.32</m:t>
            </m:r>
            <m:r>
              <m:rPr>
                <m:sty m:val="p"/>
              </m:rPr>
              <m:t>−</m:t>
            </m:r>
            <m:r>
              <m:t>1.62</m:t>
            </m:r>
          </m:e>
        </m:d>
        <m:r>
          <m:rPr>
            <m:sty m:val="p"/>
          </m:rPr>
          <m:t>,</m:t>
        </m:r>
        <m:r>
          <m:t> </m:t>
        </m:r>
        <m:r>
          <m:t>p</m:t>
        </m:r>
        <m:r>
          <m:rPr>
            <m:sty m:val="p"/>
          </m:rPr>
          <m:t>=</m:t>
        </m:r>
        <m:r>
          <m:rPr>
            <m:sty m:val="b"/>
          </m:rPr>
          <m:t>0.429</m:t>
        </m:r>
      </m:oMath>
      <w:r>
        <w:t xml:space="preserve"> </w:t>
      </w:r>
      <w:r>
        <w:t xml:space="preserve">This decomposition reveals that the primary architectural determinant of outcome in this surgically resected cohort is the powerful protective effect of the lepidic growth pattern, whereas solid architecture exhibits a trend toward increased hazard that does not reach independent statistical significance when compared directly to acinar adenocarcinoma.</w:t>
      </w:r>
    </w:p>
    <w:p>
      <w:pPr>
        <w:pStyle w:val="FirstParagraph"/>
      </w:pPr>
      <w:r>
        <w:t xml:space="preserve">In the confirmed</w:t>
      </w:r>
      <w:r>
        <w:t xml:space="preserve"> </w:t>
      </w:r>
      <w:r>
        <w:rPr>
          <w:i/>
          <w:iCs/>
        </w:rPr>
        <w:t xml:space="preserve">EGFR</w:t>
      </w:r>
      <w:r>
        <w:t xml:space="preserve">-mutant subpopulation (</w:t>
      </w:r>
      <m:oMath>
        <m:r>
          <m:t>N</m:t>
        </m:r>
        <m:r>
          <m:rPr>
            <m:sty m:val="p"/>
          </m:rPr>
          <m:t>=</m:t>
        </m:r>
        <m:r>
          <m:t>182</m:t>
        </m:r>
      </m:oMath>
      <w:r>
        <w:t xml:space="preserve">,</w:t>
      </w:r>
      <w:r>
        <w:t xml:space="preserve"> </w:t>
      </w:r>
      <w:r>
        <w:rPr>
          <w:b/>
          <w:bCs/>
        </w:rPr>
        <w:t xml:space="preserve">Figure 3C</w:t>
      </w:r>
      <w:r>
        <w:t xml:space="preserve">), univariable Kaplan-Meier analysis showed a trend toward separation between high-sanctuary (Solid/Micropapillary,</w:t>
      </w:r>
      <w:r>
        <w:t xml:space="preserve"> </w:t>
      </w:r>
      <m:oMath>
        <m:r>
          <m:t>N</m:t>
        </m:r>
        <m:r>
          <m:rPr>
            <m:sty m:val="p"/>
          </m:rPr>
          <m:t>=</m:t>
        </m:r>
        <m:r>
          <m:t>18</m:t>
        </m:r>
      </m:oMath>
      <w:r>
        <w:t xml:space="preserve">, 22.2% recurrence) and low-sanctuary architectures (Lepidic/Acinar/Papillary,</w:t>
      </w:r>
      <w:r>
        <w:t xml:space="preserve"> </w:t>
      </w:r>
      <m:oMath>
        <m:r>
          <m:t>N</m:t>
        </m:r>
        <m:r>
          <m:rPr>
            <m:sty m:val="p"/>
          </m:rPr>
          <m:t>=</m:t>
        </m:r>
        <m:r>
          <m:t>164</m:t>
        </m:r>
      </m:oMath>
      <w:r>
        <w:t xml:space="preserve">, 13.4% recurrence; Log-Rank</w:t>
      </w:r>
      <w:r>
        <w:t xml:space="preserve"> </w:t>
      </w:r>
      <m:oMath>
        <m:sSup>
          <m:e>
            <m:r>
              <m:t>χ</m:t>
            </m:r>
          </m:e>
          <m:sup>
            <m:r>
              <m:t>2</m:t>
            </m:r>
          </m:sup>
        </m:sSup>
        <m:r>
          <m:rPr>
            <m:sty m:val="p"/>
          </m:rPr>
          <m:t>=</m:t>
        </m:r>
        <m:r>
          <m:t>2.53</m:t>
        </m:r>
        <m:r>
          <m:rPr>
            <m:sty m:val="p"/>
          </m:rPr>
          <m:t>,</m:t>
        </m:r>
        <m:r>
          <m:t>p</m:t>
        </m:r>
        <m:r>
          <m:rPr>
            <m:sty m:val="p"/>
          </m:rPr>
          <m:t>=</m:t>
        </m:r>
        <m:r>
          <m:t>0.112</m:t>
        </m:r>
      </m:oMath>
      <w:r>
        <w:t xml:space="preserve">; and</w:t>
      </w:r>
      <w:r>
        <w:t xml:space="preserve"> </w:t>
      </w:r>
      <m:oMath>
        <m:sSup>
          <m:e>
            <m:r>
              <m:t>χ</m:t>
            </m:r>
          </m:e>
          <m:sup>
            <m:r>
              <m:t>2</m:t>
            </m:r>
          </m:sup>
        </m:sSup>
        <m:r>
          <m:rPr>
            <m:sty m:val="p"/>
          </m:rPr>
          <m:t>=</m:t>
        </m:r>
        <m:r>
          <m:t>5.31</m:t>
        </m:r>
        <m:r>
          <m:rPr>
            <m:sty m:val="p"/>
          </m:rPr>
          <m:t>,</m:t>
        </m:r>
        <m:r>
          <m:t>p</m:t>
        </m:r>
        <m:r>
          <m:rPr>
            <m:sty m:val="p"/>
          </m:rPr>
          <m:t>=</m:t>
        </m:r>
        <m:r>
          <m:t>0.021</m:t>
        </m:r>
      </m:oMath>
      <w:r>
        <w:t xml:space="preserve"> </w:t>
      </w:r>
      <w:r>
        <w:t xml:space="preserve">when comparing extreme strata Solid/Micro vs Lepidic,</w:t>
      </w:r>
      <w:r>
        <w:t xml:space="preserve"> </w:t>
      </w:r>
      <m:oMath>
        <m:r>
          <m:t>N</m:t>
        </m:r>
        <m:r>
          <m:rPr>
            <m:sty m:val="p"/>
          </m:rPr>
          <m:t>=</m:t>
        </m:r>
        <m:r>
          <m:t>56</m:t>
        </m:r>
      </m:oMath>
      <w:r>
        <w:t xml:space="preserve">). In multivariable stage-adjusted modeling within this subcohort alone, wide confidence intervals crossing unity were observed (</w:t>
      </w:r>
      <m:oMath>
        <m:r>
          <m:t>H</m:t>
        </m:r>
        <m:r>
          <m:t>R</m:t>
        </m:r>
        <m:r>
          <m:rPr>
            <m:sty m:val="p"/>
          </m:rPr>
          <m:t>=</m:t>
        </m:r>
        <m:r>
          <m:t>1.10</m:t>
        </m:r>
      </m:oMath>
      <w:r>
        <w:t xml:space="preserve">, 95% CI:</w:t>
      </w:r>
      <w:r>
        <w:t xml:space="preserve"> </w:t>
      </w:r>
      <m:oMath>
        <m:r>
          <m:t>0.06</m:t>
        </m:r>
        <m:r>
          <m:rPr>
            <m:sty m:val="p"/>
          </m:rPr>
          <m:t>−</m:t>
        </m:r>
        <m:r>
          <m:t>19.97</m:t>
        </m:r>
        <m:r>
          <m:rPr>
            <m:sty m:val="p"/>
          </m:rPr>
          <m:t>,</m:t>
        </m:r>
        <m:r>
          <m:t>p</m:t>
        </m:r>
        <m:r>
          <m:rPr>
            <m:sty m:val="p"/>
          </m:rPr>
          <m:t>=</m:t>
        </m:r>
        <m:r>
          <m:t>0.947</m:t>
        </m:r>
      </m:oMath>
      <w:r>
        <w:t xml:space="preserve">). This attenuation is attributable to the fact that 78.6% of the</w:t>
      </w:r>
      <w:r>
        <w:t xml:space="preserve"> </w:t>
      </w:r>
      <w:r>
        <w:rPr>
          <w:i/>
          <w:iCs/>
        </w:rPr>
        <w:t xml:space="preserve">EGFR</w:t>
      </w:r>
      <w:r>
        <w:t xml:space="preserve">-mutant patients presented with early Stage I disease, yielding only 6 recurrence events between extreme strata (</w:t>
      </w:r>
      <m:oMath>
        <m:r>
          <m:t>N</m:t>
        </m:r>
        <m:r>
          <m:rPr>
            <m:sty m:val="p"/>
          </m:rPr>
          <m:t>=</m:t>
        </m:r>
        <m:r>
          <m:t>56</m:t>
        </m:r>
      </m:oMath>
      <w:r>
        <w:t xml:space="preserve">). We report these subgroup confidence intervals transparently, cautioning against overclaiming stage independence in small resected subgroups with limited event counts.</w:t>
      </w:r>
    </w:p>
    <w:bookmarkEnd w:id="40"/>
    <w:bookmarkStart w:id="41" w:name="study-limitations-translational-context"/>
    <w:p>
      <w:pPr>
        <w:pStyle w:val="Heading3"/>
      </w:pPr>
      <w:r>
        <w:t xml:space="preserve">4.3 Study Limitations &amp; Translational Context</w:t>
      </w:r>
    </w:p>
    <w:p>
      <w:pPr>
        <w:pStyle w:val="FirstParagraph"/>
      </w:pPr>
      <w:r>
        <w:t xml:space="preserve">Importantly, the MSKCC cohort consists of patients undergoing complete surgical resection who were chemo/TKI-naive at baseline and did not receive adjuvant osimertinib. Therefore, this dataset demonstrates the baseline prognostic value of tissue architecture in early-stage disease, rather than providing direct empirical verification of post-TKI cessation kinetics. Prospective cohorts with longitudinal post-osimertinib surveillance are required to directly evaluate the interaction between architectural sanctuary shells and post-cessation recurrence.</w:t>
      </w:r>
    </w:p>
    <w:p>
      <w:r>
        <w:pict>
          <v:rect style="width:0;height:1.5pt" o:hralign="center" o:hrstd="t" o:hr="t"/>
        </w:pict>
      </w:r>
    </w:p>
    <w:bookmarkEnd w:id="41"/>
    <w:bookmarkEnd w:id="42"/>
    <w:bookmarkStart w:id="49" w:name="X36dcce484a10c4ba58d494458749c06e8d10189"/>
    <w:p>
      <w:pPr>
        <w:pStyle w:val="Heading2"/>
      </w:pPr>
      <w:r>
        <w:t xml:space="preserve">5. Translational ADAURA Framework &amp; Therapeutic Decision Architecture</w:t>
      </w:r>
    </w:p>
    <w:p>
      <w:pPr>
        <w:pStyle w:val="FirstParagraph"/>
      </w:pPr>
      <w:r>
        <w:t xml:space="preserve">Integrating biophysical penetration limits, subclonal game dynamics, and clinical validation yields an actionable clinical roadmap for optimizing post-adjuvant surveillance (</w:t>
      </w:r>
      <w:r>
        <w:rPr>
          <w:b/>
          <w:bCs/>
        </w:rPr>
        <w:t xml:space="preserve">Figure 4</w:t>
      </w:r>
      <w:r>
        <w:t xml:space="preserve">).</w:t>
      </w:r>
    </w:p>
    <w:p>
      <w:pPr>
        <w:pStyle w:val="CaptionedFigure"/>
      </w:pPr>
      <w:r>
        <w:drawing>
          <wp:inline>
            <wp:extent cx="5334000" cy="4183856"/>
            <wp:effectExtent b="0" l="0" r="0" t="0"/>
            <wp:docPr descr="Figure 4: Translational ADAURA Framework" title="" id="44" name="Picture"/>
            <a:graphic>
              <a:graphicData uri="http://schemas.openxmlformats.org/drawingml/2006/picture">
                <pic:pic>
                  <pic:nvPicPr>
                    <pic:cNvPr descr="figure4_translational_adaura_framework.png" id="45" name="Picture"/>
                    <pic:cNvPicPr>
                      <a:picLocks noChangeArrowheads="1" noChangeAspect="1"/>
                    </pic:cNvPicPr>
                  </pic:nvPicPr>
                  <pic:blipFill>
                    <a:blip r:embed="rId43"/>
                    <a:stretch>
                      <a:fillRect/>
                    </a:stretch>
                  </pic:blipFill>
                  <pic:spPr bwMode="auto">
                    <a:xfrm>
                      <a:off x="0" y="0"/>
                      <a:ext cx="5334000" cy="4183856"/>
                    </a:xfrm>
                    <a:prstGeom prst="rect">
                      <a:avLst/>
                    </a:prstGeom>
                    <a:noFill/>
                    <a:ln w="9525">
                      <a:noFill/>
                      <a:headEnd/>
                      <a:tailEnd/>
                    </a:ln>
                  </pic:spPr>
                </pic:pic>
              </a:graphicData>
            </a:graphic>
          </wp:inline>
        </w:drawing>
      </w:r>
    </w:p>
    <w:p>
      <w:pPr>
        <w:pStyle w:val="ImageCaption"/>
      </w:pPr>
      <w:r>
        <w:t xml:space="preserve">Figure 4: Translational ADAURA Framework</w:t>
      </w:r>
    </w:p>
    <w:bookmarkStart w:id="46" w:name="X22f3b6bd8da5d82779f99428cb68fea2446f1e6"/>
    <w:p>
      <w:pPr>
        <w:pStyle w:val="Heading3"/>
      </w:pPr>
      <w:r>
        <w:t xml:space="preserve">5.1 Histology-Guided Post-Cessation ctDNA Surveillance</w:t>
      </w:r>
    </w:p>
    <w:p>
      <w:pPr>
        <w:pStyle w:val="FirstParagraph"/>
      </w:pPr>
      <w:r>
        <w:t xml:space="preserve">Current clinical guidelines suggest uniform follow-up intervals for all resected stage IB–IIIA patients completing 3 years of adjuvant osimertinib. Our findings suggest that surgical pathology should inform post-cessation monitoring intensity:</w:t>
      </w:r>
    </w:p>
    <w:p>
      <w:pPr>
        <w:pStyle w:val="Compact"/>
        <w:numPr>
          <w:ilvl w:val="0"/>
          <w:numId w:val="1006"/>
        </w:numPr>
      </w:pPr>
      <w:r>
        <w:rPr>
          <w:b/>
          <w:bCs/>
        </w:rPr>
        <w:t xml:space="preserve">Low-Sanctuary Pattern (Lepidic / Acinar Predominant):</w:t>
      </w:r>
      <w:r>
        <w:t xml:space="preserve"> </w:t>
      </w:r>
      <w:r>
        <w:t xml:space="preserve">Associated with favorable baseline prognosis (observed recurrence rate: 4.5%–14.7%). Routine clinical and radiographic follow-up every 6 months is appropriate.</w:t>
      </w:r>
    </w:p>
    <w:p>
      <w:pPr>
        <w:pStyle w:val="Compact"/>
        <w:numPr>
          <w:ilvl w:val="0"/>
          <w:numId w:val="1006"/>
        </w:numPr>
      </w:pPr>
      <w:r>
        <w:rPr>
          <w:b/>
          <w:bCs/>
        </w:rPr>
        <w:t xml:space="preserve">High-Sanctuary Pattern (Solid / Micropapillary Components</w:t>
      </w:r>
      <w:r>
        <w:rPr>
          <w:b/>
          <w:bCs/>
        </w:rPr>
        <w:t xml:space="preserve"> </w:t>
      </w:r>
      <m:oMath>
        <m:r>
          <m:rPr>
            <m:sty m:val="p"/>
          </m:rPr>
          <m:t>≥</m:t>
        </m:r>
        <m:r>
          <m:t>20</m:t>
        </m:r>
        <m:r>
          <m:rPr>
            <m:sty m:val="p"/>
          </m:rPr>
          <m:t>%</m:t>
        </m:r>
      </m:oMath>
      <w:r>
        <w:rPr>
          <w:b/>
          <w:bCs/>
        </w:rPr>
        <w:t xml:space="preserve">):</w:t>
      </w:r>
      <w:r>
        <w:t xml:space="preserve"> </w:t>
      </w:r>
      <w:r>
        <w:t xml:space="preserve">Higher intrinsic recurrence risk and potential for residual microscopic sanctuaries justify</w:t>
      </w:r>
      <w:r>
        <w:t xml:space="preserve"> </w:t>
      </w:r>
      <w:r>
        <w:rPr>
          <w:b/>
          <w:bCs/>
        </w:rPr>
        <w:t xml:space="preserve">intensive longitudinal ctDNA MRD screening every 3 months starting from month 36 through month 60</w:t>
      </w:r>
      <w:r>
        <w:t xml:space="preserve">.</w:t>
      </w:r>
    </w:p>
    <w:bookmarkEnd w:id="46"/>
    <w:bookmarkStart w:id="47" w:name="X5059d8f70169744849c9e30216882fd2e9cb549"/>
    <w:p>
      <w:pPr>
        <w:pStyle w:val="Heading3"/>
      </w:pPr>
      <w:r>
        <w:t xml:space="preserve">5.2 Exploiting the Actionable ctDNA Lead Time Window</w:t>
      </w:r>
    </w:p>
    <w:p>
      <w:pPr>
        <w:pStyle w:val="FirstParagraph"/>
      </w:pPr>
      <w:r>
        <w:t xml:space="preserve">Because the biophysical sanctuary preserves drug-sensitive founder clones, molecular recurrence detected via ctDNA at ~10.7 months post-cessation represents an expanding population of</w:t>
      </w:r>
      <w:r>
        <w:t xml:space="preserve"> </w:t>
      </w:r>
      <w:r>
        <w:rPr>
          <w:i/>
          <w:iCs/>
        </w:rPr>
        <w:t xml:space="preserve">EGFR</w:t>
      </w:r>
      <w:r>
        <w:t xml:space="preserve">-sensitive cells preceding macroscopic radiographic tumor formation by</w:t>
      </w:r>
      <w:r>
        <w:t xml:space="preserve"> </w:t>
      </w:r>
      <w:r>
        <w:rPr>
          <w:b/>
          <w:bCs/>
        </w:rPr>
        <w:t xml:space="preserve">5.4 months</w:t>
      </w:r>
      <w:r>
        <w:t xml:space="preserve"> </w:t>
      </w:r>
      <w:r>
        <w:t xml:space="preserve">(in our calibrated simulation). Initiating prompt</w:t>
      </w:r>
      <w:r>
        <w:t xml:space="preserve"> </w:t>
      </w:r>
      <w:r>
        <w:rPr>
          <w:b/>
          <w:bCs/>
        </w:rPr>
        <w:t xml:space="preserve">osimertinib rechallenge</w:t>
      </w:r>
      <w:r>
        <w:t xml:space="preserve"> </w:t>
      </w:r>
      <w:r>
        <w:t xml:space="preserve">during this molecular-only window (before the lesion expands to</w:t>
      </w:r>
      <w:r>
        <w:t xml:space="preserve"> </w:t>
      </w:r>
      <m:oMath>
        <m:sSup>
          <m:e>
            <m:r>
              <m:t>10</m:t>
            </m:r>
          </m:e>
          <m:sup>
            <m:r>
              <m:t>9</m:t>
            </m:r>
          </m:sup>
        </m:sSup>
      </m:oMath>
      <w:r>
        <w:t xml:space="preserve"> </w:t>
      </w:r>
      <w:r>
        <w:t xml:space="preserve">cells and undergoes secondary clonal diversification) represents a rational therapeutic strategy to intercept clinical relapse.</w:t>
      </w:r>
    </w:p>
    <w:bookmarkEnd w:id="47"/>
    <w:bookmarkStart w:id="48" w:name="Xc3bb633bea9e2c1e79fe5a0c800fb8d258d8e5f"/>
    <w:p>
      <w:pPr>
        <w:pStyle w:val="Heading3"/>
      </w:pPr>
      <w:r>
        <w:t xml:space="preserve">5.3 Rational Combination Strategies with Macromolecules (ADCs &amp; Bispecifics)</w:t>
      </w:r>
    </w:p>
    <w:p>
      <w:pPr>
        <w:pStyle w:val="FirstParagraph"/>
      </w:pPr>
      <w:r>
        <w:t xml:space="preserve">Our transport calculations demonstrate that while small-molecule osimertinib achieves deep penetration (</w:t>
      </w:r>
      <m:oMath>
        <m:sSub>
          <m:e>
            <m:r>
              <m:t>r</m:t>
            </m:r>
          </m:e>
          <m:sub>
            <m:r>
              <m:rPr>
                <m:nor/>
                <m:sty m:val="p"/>
              </m:rPr>
              <m:t>crit</m:t>
            </m:r>
          </m:sub>
        </m:sSub>
        <m:r>
          <m:rPr>
            <m:sty m:val="p"/>
          </m:rPr>
          <m:t>=</m:t>
        </m:r>
        <m:r>
          <m:t>165.9</m:t>
        </m:r>
        <m:r>
          <m:t> </m:t>
        </m:r>
        <m:r>
          <m:t>μ</m:t>
        </m:r>
        <m:r>
          <m:rPr>
            <m:nor/>
            <m:sty m:val="p"/>
          </m:rPr>
          <m:t>m</m:t>
        </m:r>
      </m:oMath>
      <w:r>
        <w:t xml:space="preserve">), it leaves a viable peripheral sanctuary shell (</w:t>
      </w:r>
      <m:oMath>
        <m:r>
          <m:t>165.9</m:t>
        </m:r>
        <m:r>
          <m:rPr>
            <m:nor/>
            <m:sty m:val="p"/>
          </m:rPr>
          <m:t>–</m:t>
        </m:r>
        <m:r>
          <m:t>200.0</m:t>
        </m:r>
        <m:r>
          <m:t> </m:t>
        </m:r>
        <m:r>
          <m:t>μ</m:t>
        </m:r>
        <m:r>
          <m:rPr>
            <m:nor/>
            <m:sty m:val="p"/>
          </m:rPr>
          <m:t>m</m:t>
        </m:r>
      </m:oMath>
      <w:r>
        <w:t xml:space="preserve">). Conversely, macromolecular ADCs (patritumab deruxtecan) and bispecific antibodies (amivantamab) deliver potent payload cytotoxicity and antibody-dependent cellular cytotoxicity (ADCC) concentrated intensely within the perivascular corona (</w:t>
      </w:r>
      <m:oMath>
        <m:r>
          <m:t>r</m:t>
        </m:r>
        <m:r>
          <m:rPr>
            <m:sty m:val="p"/>
          </m:rPr>
          <m:t>≤</m:t>
        </m:r>
        <m:r>
          <m:t>47.4</m:t>
        </m:r>
        <m:r>
          <m:t> </m:t>
        </m:r>
        <m:r>
          <m:t>μ</m:t>
        </m:r>
        <m:r>
          <m:rPr>
            <m:nor/>
            <m:sty m:val="p"/>
          </m:rPr>
          <m:t>m</m:t>
        </m:r>
      </m:oMath>
      <w:r>
        <w:t xml:space="preserve">). Mechanistically, targeted cytoreduction of this perivascular cellular mantle by the macromolecule eliminates local metabolic drug consumption (</w:t>
      </w:r>
      <m:oMath>
        <m:r>
          <m:t>k</m:t>
        </m:r>
        <m:r>
          <m:rPr>
            <m:sty m:val="p"/>
          </m:rPr>
          <m:t>→</m:t>
        </m:r>
        <m:r>
          <m:t>0</m:t>
        </m:r>
      </m:oMath>
      <w:r>
        <w:t xml:space="preserve"> </w:t>
      </w:r>
      <w:r>
        <w:t xml:space="preserve">across</w:t>
      </w:r>
      <w:r>
        <w:t xml:space="preserve"> </w:t>
      </w:r>
      <m:oMath>
        <m:r>
          <m:t>r</m:t>
        </m:r>
        <m:r>
          <m:rPr>
            <m:sty m:val="p"/>
          </m:rPr>
          <m:t>≤</m:t>
        </m:r>
        <m:r>
          <m:t>47.4</m:t>
        </m:r>
        <m:r>
          <m:t> </m:t>
        </m:r>
        <m:r>
          <m:t>μ</m:t>
        </m:r>
        <m:r>
          <m:rPr>
            <m:nor/>
            <m:sty m:val="p"/>
          </m:rPr>
          <m:t>m</m:t>
        </m:r>
      </m:oMath>
      <w:r>
        <w:t xml:space="preserve">) and simultaneously decompresses microvascular interstitial fluid pressure (</w:t>
      </w:r>
      <m:oMath>
        <m:sSub>
          <m:e>
            <m:r>
              <m:t>P</m:t>
            </m:r>
          </m:e>
          <m:sub>
            <m:r>
              <m:t>i</m:t>
            </m:r>
          </m:sub>
        </m:sSub>
      </m:oMath>
      <w:r>
        <w:t xml:space="preserve">). This dynamic clearing expands the effective penetration length of the co-administered small-molecule TKI (</w:t>
      </w:r>
      <m:oMath>
        <m:sSub>
          <m:e>
            <m:r>
              <m:t>λ</m:t>
            </m:r>
          </m:e>
          <m:sub>
            <m:r>
              <m:rPr>
                <m:nor/>
                <m:sty m:val="p"/>
              </m:rPr>
              <m:t>eff</m:t>
            </m:r>
          </m:sub>
        </m:sSub>
        <m:r>
          <m:rPr>
            <m:sty m:val="p"/>
          </m:rPr>
          <m:t>=</m:t>
        </m:r>
        <m:rad>
          <m:radPr>
            <m:degHide m:val="on"/>
          </m:radPr>
          <m:deg/>
          <m:e>
            <m:r>
              <m:t>D</m:t>
            </m:r>
            <m:r>
              <m:rPr>
                <m:sty m:val="p"/>
              </m:rPr>
              <m:t>/</m:t>
            </m:r>
            <m:sSub>
              <m:e>
                <m:r>
                  <m:t>k</m:t>
                </m:r>
              </m:e>
              <m:sub>
                <m:r>
                  <m:rPr>
                    <m:nor/>
                    <m:sty m:val="p"/>
                  </m:rPr>
                  <m:t>eff</m:t>
                </m:r>
              </m:sub>
            </m:sSub>
          </m:e>
        </m:rad>
      </m:oMath>
      <w:r>
        <w:t xml:space="preserve">), shifting the TKI critical threshold (</w:t>
      </w:r>
      <m:oMath>
        <m:sSub>
          <m:e>
            <m:r>
              <m:t>r</m:t>
            </m:r>
          </m:e>
          <m:sub>
            <m:r>
              <m:rPr>
                <m:nor/>
                <m:sty m:val="p"/>
              </m:rPr>
              <m:t>crit</m:t>
            </m:r>
          </m:sub>
        </m:sSub>
      </m:oMath>
      <w:r>
        <w:t xml:space="preserve">) dynamically beyond</w:t>
      </w:r>
      <w:r>
        <w:t xml:space="preserve"> </w:t>
      </w:r>
      <m:oMath>
        <m:r>
          <m:t>200</m:t>
        </m:r>
        <m:r>
          <m:t> </m:t>
        </m:r>
        <m:r>
          <m:t>μ</m:t>
        </m:r>
        <m:r>
          <m:rPr>
            <m:nor/>
            <m:sty m:val="p"/>
          </m:rPr>
          <m:t>m</m:t>
        </m:r>
      </m:oMath>
      <w:r>
        <w:t xml:space="preserve"> </w:t>
      </w:r>
      <w:r>
        <w:t xml:space="preserve">and collapsing the hypoxic sanctuary shell. This provides a biophysical rationale for the superior progression-free survival observed in the MARIPOSA regimen (amivantamab + lazertinib [10]) and ADC combinations [11].</w:t>
      </w:r>
    </w:p>
    <w:p>
      <w:r>
        <w:pict>
          <v:rect style="width:0;height:1.5pt" o:hralign="center" o:hrstd="t" o:hr="t"/>
        </w:pict>
      </w:r>
    </w:p>
    <w:bookmarkEnd w:id="48"/>
    <w:bookmarkEnd w:id="49"/>
    <w:bookmarkStart w:id="50" w:name="discussion"/>
    <w:p>
      <w:pPr>
        <w:pStyle w:val="Heading2"/>
      </w:pPr>
      <w:r>
        <w:t xml:space="preserve">6. Discussion</w:t>
      </w:r>
    </w:p>
    <w:p>
      <w:pPr>
        <w:pStyle w:val="FirstParagraph"/>
      </w:pPr>
      <w:r>
        <w:t xml:space="preserve">By linking reaction-diffusion transport physics with evolutionary population dynamics and clinical cohort survival data in 604 resected lung cancer patients, this work provides a biophysical foundation for understanding non-genetic drug tolerance. Spatial compaction acts as a physical barrier that shelters drug-sensitive cells from systemic drug levels, explaining how local treatment failure can occur despite extensive macroscopic drug biodistribution.</w:t>
      </w:r>
    </w:p>
    <w:p>
      <w:pPr>
        <w:pStyle w:val="BodyText"/>
      </w:pPr>
      <w:r>
        <w:t xml:space="preserve">Importantly, our findings offer a coherent biophysical rationale for post-ADAURA recurrence patterns: the emergence of late relapses without</w:t>
      </w:r>
      <w:r>
        <w:t xml:space="preserve"> </w:t>
      </w:r>
      <w:r>
        <w:rPr>
          <w:i/>
          <w:iCs/>
        </w:rPr>
        <w:t xml:space="preserve">EGFR</w:t>
      </w:r>
      <w:r>
        <w:t xml:space="preserve"> </w:t>
      </w:r>
      <w:r>
        <w:t xml:space="preserve">C797S mutations is consistent with an evolutionary replicator dynamic released from boundary suppression upon treatment completion. Incorporating architectural subtyping and transport considerations into post-surgical risk stratification will help clinicians tailor ctDNA surveillance and deploy preemptive therapies before macroscopic disease recurrence manifests.</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Competing Interests:</w:t>
      </w:r>
      <w:r>
        <w:t xml:space="preserve"> </w:t>
      </w:r>
      <w:r>
        <w:t xml:space="preserve">The author declares no competing financial or non-financial interests.</w:t>
      </w:r>
    </w:p>
    <w:p>
      <w:pPr>
        <w:pStyle w:val="BodyText"/>
      </w:pPr>
      <w:r>
        <w:rPr>
          <w:b/>
          <w:bCs/>
        </w:rPr>
        <w:t xml:space="preserve">Ethics Declaration:</w:t>
      </w:r>
      <w:r>
        <w:t xml:space="preserve"> </w:t>
      </w:r>
      <w:r>
        <w:t xml:space="preserve">This study exclusively analyzes publicly available, de-identified clinical and genomic data from the Memorial Sloan Kettering Cancer Center cohort (cBioPortal, Caso et al.,</w:t>
      </w:r>
      <w:r>
        <w:t xml:space="preserve"> </w:t>
      </w:r>
      <w:r>
        <w:rPr>
          <w:i/>
          <w:iCs/>
        </w:rPr>
        <w:t xml:space="preserve">J Thorac Oncol</w:t>
      </w:r>
      <w:r>
        <w:t xml:space="preserve"> </w:t>
      </w:r>
      <w:r>
        <w:t xml:space="preserve">2020). In accordance with international guidelines, secondary analysis of de-identified public datasets requires no additional institutional review board approval.</w:t>
      </w:r>
    </w:p>
    <w:p>
      <w:pPr>
        <w:pStyle w:val="BodyText"/>
      </w:pPr>
      <w:r>
        <w:rPr>
          <w:b/>
          <w:bCs/>
        </w:rPr>
        <w:t xml:space="preserve">Data and Code Availability:</w:t>
      </w:r>
      <w:r>
        <w:t xml:space="preserve"> </w:t>
      </w:r>
      <w:r>
        <w:t xml:space="preserve">The authenticated clinical dataset (</w:t>
      </w:r>
      <w:r>
        <w:rPr>
          <w:rStyle w:val="VerbatimChar"/>
        </w:rPr>
        <w:t xml:space="preserve">06_DATI_CLINICI_MSKCC_604_PAZIENTI.csv</w:t>
      </w:r>
      <w:r>
        <w:t xml:space="preserve">), exact Bessel analytical solvers, evolutionary replicator scripts, and automated verification suite are publicly available at https://github.com/Lukecele/spatial-oncology-master and archived on Zenodo at https://doi.org/10.5281/zenodo.23623653.</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7"/>
        </w:numPr>
      </w:pPr>
      <w:r>
        <w:t xml:space="preserve">Wu YL, Tsuboi M, He J, et al. Osimertinib in Resected</w:t>
      </w:r>
      <w:r>
        <w:t xml:space="preserve"> </w:t>
      </w:r>
      <w:r>
        <w:rPr>
          <w:i/>
          <w:iCs/>
        </w:rPr>
        <w:t xml:space="preserve">EGFR</w:t>
      </w:r>
      <w:r>
        <w:t xml:space="preserve">-Mutated Non-Small-Cell Lung Cancer.</w:t>
      </w:r>
      <w:r>
        <w:t xml:space="preserve"> </w:t>
      </w:r>
      <w:r>
        <w:rPr>
          <w:i/>
          <w:iCs/>
        </w:rPr>
        <w:t xml:space="preserve">N Engl J Med</w:t>
      </w:r>
      <w:r>
        <w:t xml:space="preserve">. 2020;383(18):1711-1723. doi:10.1056/NEJMoa2027071.</w:t>
      </w:r>
    </w:p>
    <w:p>
      <w:pPr>
        <w:pStyle w:val="Compact"/>
        <w:numPr>
          <w:ilvl w:val="0"/>
          <w:numId w:val="1007"/>
        </w:numPr>
      </w:pPr>
      <w:r>
        <w:t xml:space="preserve">Tsuboi M, Herbst RS, John T, et al. Overall Survival with Osimertinib in Resected</w:t>
      </w:r>
      <w:r>
        <w:t xml:space="preserve"> </w:t>
      </w:r>
      <w:r>
        <w:rPr>
          <w:i/>
          <w:iCs/>
        </w:rPr>
        <w:t xml:space="preserve">EGFR</w:t>
      </w:r>
      <w:r>
        <w:t xml:space="preserve">-Mutated NSCLC.</w:t>
      </w:r>
      <w:r>
        <w:t xml:space="preserve"> </w:t>
      </w:r>
      <w:r>
        <w:rPr>
          <w:i/>
          <w:iCs/>
        </w:rPr>
        <w:t xml:space="preserve">N Engl J Med</w:t>
      </w:r>
      <w:r>
        <w:t xml:space="preserve">. 2023;389(2):137-147. doi:10.1056/NEJMoa2304594.</w:t>
      </w:r>
    </w:p>
    <w:p>
      <w:pPr>
        <w:pStyle w:val="Compact"/>
        <w:numPr>
          <w:ilvl w:val="0"/>
          <w:numId w:val="1007"/>
        </w:numPr>
      </w:pPr>
      <w:r>
        <w:t xml:space="preserve">Caso R, Sanchez-Vega F, Tan KS, et al. The Aggregate Risk of Histologic Subtypes Outperforms the Primary Subtype in Predicting Recurrence of Lung Adenocarcinoma.</w:t>
      </w:r>
      <w:r>
        <w:t xml:space="preserve"> </w:t>
      </w:r>
      <w:r>
        <w:rPr>
          <w:i/>
          <w:iCs/>
        </w:rPr>
        <w:t xml:space="preserve">J Thorac Oncol</w:t>
      </w:r>
      <w:r>
        <w:t xml:space="preserve">. 2020;15(11):1747-1755. doi:10.1016/j.jtho.2020.07.019.</w:t>
      </w:r>
    </w:p>
    <w:p>
      <w:pPr>
        <w:pStyle w:val="Compact"/>
        <w:numPr>
          <w:ilvl w:val="0"/>
          <w:numId w:val="1007"/>
        </w:numPr>
      </w:pPr>
      <w:r>
        <w:t xml:space="preserve">Thomlinson RH, Gray LH. The histological structure of some human lung cancers and the possible implications for radiotherapy.</w:t>
      </w:r>
      <w:r>
        <w:t xml:space="preserve"> </w:t>
      </w:r>
      <w:r>
        <w:rPr>
          <w:i/>
          <w:iCs/>
        </w:rPr>
        <w:t xml:space="preserve">Br J Cancer</w:t>
      </w:r>
      <w:r>
        <w:t xml:space="preserve">. 1955;9(4):539-549.</w:t>
      </w:r>
    </w:p>
    <w:p>
      <w:pPr>
        <w:pStyle w:val="Compact"/>
        <w:numPr>
          <w:ilvl w:val="0"/>
          <w:numId w:val="1007"/>
        </w:numPr>
      </w:pPr>
      <w:r>
        <w:t xml:space="preserve">Cross DAE, Ashton SE, Ghiorghiu S, et al. AZD9291, an irreversible EGFR TKI, overcomes T790M-mediated resistance using a novel kinase binding mode.</w:t>
      </w:r>
      <w:r>
        <w:t xml:space="preserve"> </w:t>
      </w:r>
      <w:r>
        <w:rPr>
          <w:i/>
          <w:iCs/>
        </w:rPr>
        <w:t xml:space="preserve">Cancer Discov</w:t>
      </w:r>
      <w:r>
        <w:t xml:space="preserve">. 2014;4(9):1046-1061.</w:t>
      </w:r>
    </w:p>
    <w:p>
      <w:pPr>
        <w:pStyle w:val="Compact"/>
        <w:numPr>
          <w:ilvl w:val="0"/>
          <w:numId w:val="1007"/>
        </w:numPr>
      </w:pPr>
      <w:r>
        <w:t xml:space="preserve">Sharma SV, Lee DY, Li B, et al. A chromatin-mediated reversible drug-tolerant state in cancer cell subpopulations.</w:t>
      </w:r>
      <w:r>
        <w:t xml:space="preserve"> </w:t>
      </w:r>
      <w:r>
        <w:rPr>
          <w:i/>
          <w:iCs/>
        </w:rPr>
        <w:t xml:space="preserve">Cell</w:t>
      </w:r>
      <w:r>
        <w:t xml:space="preserve">. 2010;141(1):69-80.</w:t>
      </w:r>
    </w:p>
    <w:p>
      <w:pPr>
        <w:pStyle w:val="Compact"/>
        <w:numPr>
          <w:ilvl w:val="0"/>
          <w:numId w:val="1007"/>
        </w:numPr>
      </w:pPr>
      <w:r>
        <w:t xml:space="preserve">Kurppa KJ, Liu Y, To C, et al. Treatment-Induced Emergence of a Drug-Tolerant Persister State in</w:t>
      </w:r>
      <w:r>
        <w:t xml:space="preserve"> </w:t>
      </w:r>
      <w:r>
        <w:rPr>
          <w:i/>
          <w:iCs/>
        </w:rPr>
        <w:t xml:space="preserve">EGFR</w:t>
      </w:r>
      <w:r>
        <w:t xml:space="preserve">-Mutant Lung Cancer.</w:t>
      </w:r>
      <w:r>
        <w:t xml:space="preserve"> </w:t>
      </w:r>
      <w:r>
        <w:rPr>
          <w:i/>
          <w:iCs/>
        </w:rPr>
        <w:t xml:space="preserve">Cancer Cell</w:t>
      </w:r>
      <w:r>
        <w:t xml:space="preserve">. 2020;37(1):82-97.</w:t>
      </w:r>
    </w:p>
    <w:p>
      <w:pPr>
        <w:pStyle w:val="Compact"/>
        <w:numPr>
          <w:ilvl w:val="0"/>
          <w:numId w:val="1007"/>
        </w:numPr>
      </w:pPr>
      <w:r>
        <w:t xml:space="preserve">Boucher Y, Baxter LT, Jain RK. Interstitial fluid pressure gradients in normal and neoplastic tissues.</w:t>
      </w:r>
      <w:r>
        <w:t xml:space="preserve"> </w:t>
      </w:r>
      <w:r>
        <w:rPr>
          <w:i/>
          <w:iCs/>
        </w:rPr>
        <w:t xml:space="preserve">Cancer Res</w:t>
      </w:r>
      <w:r>
        <w:t xml:space="preserve">. 1990;50(15):4478-4484.</w:t>
      </w:r>
    </w:p>
    <w:p>
      <w:pPr>
        <w:pStyle w:val="Compact"/>
        <w:numPr>
          <w:ilvl w:val="0"/>
          <w:numId w:val="1007"/>
        </w:numPr>
      </w:pPr>
      <w:r>
        <w:t xml:space="preserve">Jain RK. Normalization of tumor vasculature: an emerging concept in antiangiogenic therapy.</w:t>
      </w:r>
      <w:r>
        <w:t xml:space="preserve"> </w:t>
      </w:r>
      <w:r>
        <w:rPr>
          <w:i/>
          <w:iCs/>
        </w:rPr>
        <w:t xml:space="preserve">Science</w:t>
      </w:r>
      <w:r>
        <w:t xml:space="preserve">. 2005;307(5706):58-62.</w:t>
      </w:r>
    </w:p>
    <w:p>
      <w:pPr>
        <w:pStyle w:val="Compact"/>
        <w:numPr>
          <w:ilvl w:val="0"/>
          <w:numId w:val="1007"/>
        </w:numPr>
      </w:pPr>
      <w:r>
        <w:t xml:space="preserve">Cho BC, Felip E, Spira AI, et al. Amivantamab plus Lazertinib in First-Line</w:t>
      </w:r>
      <w:r>
        <w:t xml:space="preserve"> </w:t>
      </w:r>
      <w:r>
        <w:rPr>
          <w:i/>
          <w:iCs/>
        </w:rPr>
        <w:t xml:space="preserve">EGFR</w:t>
      </w:r>
      <w:r>
        <w:t xml:space="preserve">-Mutated Advanced NSCLC (MARIPOSA).</w:t>
      </w:r>
      <w:r>
        <w:t xml:space="preserve"> </w:t>
      </w:r>
      <w:r>
        <w:rPr>
          <w:i/>
          <w:iCs/>
        </w:rPr>
        <w:t xml:space="preserve">N Engl J Med</w:t>
      </w:r>
      <w:r>
        <w:t xml:space="preserve">. 2024;391(16):1486-1498.</w:t>
      </w:r>
    </w:p>
    <w:p>
      <w:pPr>
        <w:pStyle w:val="Compact"/>
        <w:numPr>
          <w:ilvl w:val="0"/>
          <w:numId w:val="1007"/>
        </w:numPr>
      </w:pPr>
      <w:r>
        <w:t xml:space="preserve">Jänne PA, Baik C, Su WC, et al. Efficacy and Safety of Patritumab Deruxtecan (HER3-DXd) in Advanced</w:t>
      </w:r>
      <w:r>
        <w:t xml:space="preserve"> </w:t>
      </w:r>
      <w:r>
        <w:rPr>
          <w:i/>
          <w:iCs/>
        </w:rPr>
        <w:t xml:space="preserve">EGFR</w:t>
      </w:r>
      <w:r>
        <w:t xml:space="preserve">-Mutated Non-Small Cell Lung Cancer (HERTHENA-Lung01).</w:t>
      </w:r>
      <w:r>
        <w:t xml:space="preserve"> </w:t>
      </w:r>
      <w:r>
        <w:rPr>
          <w:i/>
          <w:iCs/>
        </w:rPr>
        <w:t xml:space="preserve">J Clin Oncol</w:t>
      </w:r>
      <w:r>
        <w:t xml:space="preserve">. 2024;42(20):2410-2420.</w:t>
      </w:r>
    </w:p>
    <w:p>
      <w:pPr>
        <w:pStyle w:val="Compact"/>
        <w:numPr>
          <w:ilvl w:val="0"/>
          <w:numId w:val="1007"/>
        </w:numPr>
      </w:pPr>
      <w:r>
        <w:t xml:space="preserve">Herbst RS, John T, Grohé C, et al. Molecular residual disease analysis of adjuvant osimertinib in resected</w:t>
      </w:r>
      <w:r>
        <w:t xml:space="preserve"> </w:t>
      </w:r>
      <w:r>
        <w:rPr>
          <w:i/>
          <w:iCs/>
        </w:rPr>
        <w:t xml:space="preserve">EGFR</w:t>
      </w:r>
      <w:r>
        <w:t xml:space="preserve">-mutated stage IB–IIIA non-small-cell lung cancer.</w:t>
      </w:r>
      <w:r>
        <w:t xml:space="preserve"> </w:t>
      </w:r>
      <w:r>
        <w:rPr>
          <w:i/>
          <w:iCs/>
        </w:rPr>
        <w:t xml:space="preserve">Nat Med</w:t>
      </w:r>
      <w:r>
        <w:t xml:space="preserve">. 2025;31(6):1958-1968. doi:10.1038/s41591-025-03577-y.</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21" Target="https://github.com/Lukecele/spatial-oncology-master" TargetMode="External" /><Relationship Type="http://schemas.openxmlformats.org/officeDocument/2006/relationships/hyperlink" Id="rId20" Target="https://orcid.org/0009-0007-0931-3555"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Lukecele/spatial-oncology-master" TargetMode="External" /><Relationship Type="http://schemas.openxmlformats.org/officeDocument/2006/relationships/hyperlink" Id="rId20" Target="https://orcid.org/0009-0007-0931-3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2026-10-25T07:42:42Z</dcterms:created>
  <dcterms:modified xsi:type="dcterms:W3CDTF">2026-10-25T07:42:42Z</dcterms:modified>
</cp:coreProperties>
</file>

<file path=docProps/custom.xml><?xml version="1.0" encoding="utf-8"?>
<Properties xmlns="http://schemas.openxmlformats.org/officeDocument/2006/custom-properties" xmlns:vt="http://schemas.openxmlformats.org/officeDocument/2006/docPropsVTypes"/>
</file>