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9e176e3a635a576688d68c862edad781682c015"/>
    <w:p>
      <w:pPr>
        <w:pStyle w:val="Heading1"/>
      </w:pPr>
      <w:r>
        <w:t xml:space="preserve">Conditions for Pharmacological Sanctuaries in Perivascular Tumour Cords: A Reaction–Diffusion Analysis, a Regrowth-Kinetics Identity, and a Descriptive Survival Analysis of Histologic Subtype in Resected Lung Adenocarcinoma</w:t>
      </w:r>
    </w:p>
    <w:p>
      <w:pPr>
        <w:pStyle w:val="FirstParagraph"/>
      </w:pPr>
      <w:r>
        <w:rPr>
          <w:b/>
          <w:bCs/>
        </w:rPr>
        <w:t xml:space="preserve">Luca Celebrano</w:t>
      </w:r>
      <m:oMath>
        <m:sSup>
          <m:e>
            <m:r>
              <m:t>​</m:t>
            </m:r>
          </m:e>
          <m:sup>
            <m:r>
              <m:t>1</m:t>
            </m:r>
            <m:r>
              <m:rPr>
                <m:sty m:val="p"/>
              </m:rPr>
              <m:t>,</m:t>
            </m:r>
            <m:r>
              <m:t>2</m:t>
            </m:r>
          </m:sup>
        </m:sSup>
      </m:oMath>
      <w:r>
        <w:br/>
      </w:r>
      <m:oMath>
        <m:sSup>
          <m:e>
            <m:r>
              <m:t>​</m:t>
            </m:r>
          </m:e>
          <m:sup>
            <m:r>
              <m:t>1</m:t>
            </m:r>
          </m:sup>
        </m:sSup>
      </m:oMath>
      <w:r>
        <w:t xml:space="preserve">Department of Clinical Medicine and Surgery, School of Medicine, University of Naples Federico II, Via Sergio Pansini 5, 80131 Naples, Italy</w:t>
      </w:r>
      <w:r>
        <w:br/>
      </w:r>
      <m:oMath>
        <m:sSup>
          <m:e>
            <m:r>
              <m:t>​</m:t>
            </m:r>
          </m:e>
          <m:sup>
            <m:r>
              <m:t>2</m:t>
            </m:r>
          </m:sup>
        </m:sSup>
      </m:oMath>
      <w:r>
        <w:t xml:space="preserve">Telethon Institute of Genetics and Medicine (TIGEM), Via Campi Flegrei 34, 80078 Pozzuoli, Naples, Italy</w:t>
      </w:r>
      <w:r>
        <w:br/>
      </w:r>
      <w:r>
        <w:rPr>
          <w:i/>
          <w:iCs/>
        </w:rPr>
        <w:t xml:space="preserve">Correspondence:</w:t>
      </w:r>
      <w:r>
        <w:t xml:space="preserve"> </w:t>
      </w:r>
      <w:r>
        <w:t xml:space="preserve">luca.celebrano5@gmail.com / l.celebrano@studenti.unina.it | ORCID:</w:t>
      </w:r>
      <w:r>
        <w:t xml:space="preserve"> </w:t>
      </w:r>
      <w:hyperlink r:id="rId20">
        <w:r>
          <w:rPr>
            <w:rStyle w:val="Hyperlink"/>
          </w:rPr>
          <w:t xml:space="preserve">0009-0007-0931-3555</w:t>
        </w:r>
      </w:hyperlink>
    </w:p>
    <w:p>
      <w:r>
        <w:pict>
          <v:rect style="width:0;height:1.5pt" o:hralign="center" o:hrstd="t" o:hr="t"/>
        </w:pict>
      </w:r>
    </w:p>
    <w:bookmarkStart w:id="21" w:name="abstract"/>
    <w:p>
      <w:pPr>
        <w:pStyle w:val="Heading3"/>
      </w:pPr>
      <w:r>
        <w:t xml:space="preserve">Abstract</w:t>
      </w:r>
    </w:p>
    <w:p>
      <w:pPr>
        <w:pStyle w:val="FirstParagraph"/>
      </w:pPr>
      <w:r>
        <w:rPr>
          <w:b/>
          <w:bCs/>
        </w:rPr>
        <w:t xml:space="preserve">Background:</w:t>
      </w:r>
      <w:r>
        <w:t xml:space="preserve"> </w:t>
      </w:r>
      <w:r>
        <w:t xml:space="preserve">Adjuvant osimertinib markedly improves disease-free survival in resected</w:t>
      </w:r>
      <w:r>
        <w:t xml:space="preserve"> </w:t>
      </w:r>
      <w:r>
        <w:rPr>
          <w:i/>
          <w:iCs/>
        </w:rPr>
        <w:t xml:space="preserve">EGFR</w:t>
      </w:r>
      <w:r>
        <w:t xml:space="preserve">-mutated non-small-cell lung cancer (NSCLC). However, extended follow-up in the ADAURA trial revealed that among patients who experienced disease recurrence, the majority of relapses manifested after planned treatment cessation at year 3, frequently without acquired secondary genomic resistance mutations. We examined whether biophysical drug transport limitations could establish tissue sanctuaries that shelter drug-sensitive tumor cells.</w:t>
      </w:r>
    </w:p>
    <w:p>
      <w:pPr>
        <w:pStyle w:val="BodyText"/>
      </w:pPr>
      <w:r>
        <w:rPr>
          <w:b/>
          <w:bCs/>
        </w:rPr>
        <w:t xml:space="preserve">Methods:</w:t>
      </w:r>
      <w:r>
        <w:t xml:space="preserve"> </w:t>
      </w:r>
      <w:r>
        <w:t xml:space="preserve">We analyzed steady-state reaction–diffusion transport in two canonical tumor micro-architectures: outward perivascular cords (divergent cylindrical geometry, modified Bessel</w:t>
      </w:r>
      <w:r>
        <w:t xml:space="preserve"> </w:t>
      </w:r>
      <m:oMath>
        <m:sSub>
          <m:e>
            <m:r>
              <m:t>K</m:t>
            </m:r>
          </m:e>
          <m:sub>
            <m:r>
              <m:t>0</m:t>
            </m:r>
          </m:sub>
        </m:sSub>
      </m:oMath>
      <w:r>
        <w:t xml:space="preserve">) and inward avascular nests (convergent cylindrical geometry, modified Bessel</w:t>
      </w:r>
      <w:r>
        <w:t xml:space="preserve"> </w:t>
      </w:r>
      <m:oMath>
        <m:sSub>
          <m:e>
            <m:r>
              <m:t>I</m:t>
            </m:r>
          </m:e>
          <m:sub>
            <m:r>
              <m:t>0</m:t>
            </m:r>
          </m:sub>
        </m:sSub>
      </m:oMath>
      <w:r>
        <w:t xml:space="preserve">). We derived an exact algebraic identity governing post-cessation exponential regrowth from molecular residual disease (ctDNA,</w:t>
      </w:r>
      <w:r>
        <w:t xml:space="preserve"> </w:t>
      </w:r>
      <m:oMath>
        <m:sSup>
          <m:e>
            <m:r>
              <m:t>10</m:t>
            </m:r>
          </m:e>
          <m:sup>
            <m:r>
              <m:t>7</m:t>
            </m:r>
          </m:sup>
        </m:sSup>
      </m:oMath>
      <w:r>
        <w:t xml:space="preserve"> </w:t>
      </w:r>
      <w:r>
        <w:t xml:space="preserve">cells) to radiologic detection (CT,</w:t>
      </w:r>
      <w:r>
        <w:t xml:space="preserve"> </w:t>
      </w:r>
      <m:oMath>
        <m:sSup>
          <m:e>
            <m:r>
              <m:t>10</m:t>
            </m:r>
          </m:e>
          <m:sup>
            <m:r>
              <m:t>9</m:t>
            </m:r>
          </m:sup>
        </m:sSup>
      </m:oMath>
      <w:r>
        <w:t xml:space="preserve"> </w:t>
      </w:r>
      <w:r>
        <w:t xml:space="preserve">cells). We evaluated the clinical prognostic relevance of histologic architecture in 604 resected lung adenocarcinoma patients from Memorial Sloan Kettering Cancer Center (MSKCC 2020).</w:t>
      </w:r>
    </w:p>
    <w:p>
      <w:pPr>
        <w:pStyle w:val="BodyText"/>
      </w:pPr>
      <w:r>
        <w:rPr>
          <w:b/>
          <w:bCs/>
        </w:rPr>
        <w:t xml:space="preserve">Results:</w:t>
      </w:r>
      <w:r>
        <w:t xml:space="preserve"> </w:t>
      </w:r>
      <w:r>
        <w:t xml:space="preserve">In perivascular cords, outward radial diffusion of osimertinib (</w:t>
      </w:r>
      <m:oMath>
        <m:r>
          <m:t>λ</m:t>
        </m:r>
        <m:r>
          <m:rPr>
            <m:sty m:val="p"/>
          </m:rPr>
          <m:t>=</m:t>
        </m:r>
        <m:r>
          <m:t>627.6</m:t>
        </m:r>
        <m:r>
          <m:t> </m:t>
        </m:r>
        <m:r>
          <m:t>μ</m:t>
        </m:r>
        <m:r>
          <m:rPr>
            <m:nor/>
            <m:sty m:val="p"/>
          </m:rPr>
          <m:t>m</m:t>
        </m:r>
      </m:oMath>
      <w:r>
        <w:t xml:space="preserve">) produces a steep concentration drop beneath the</w:t>
      </w:r>
      <w:r>
        <w:t xml:space="preserve"> </w:t>
      </w:r>
      <m:oMath>
        <m:sSub>
          <m:e>
            <m:r>
              <m:rPr>
                <m:nor/>
                <m:sty m:val="p"/>
              </m:rPr>
              <m:t>IC</m:t>
            </m:r>
          </m:e>
          <m:sub>
            <m:r>
              <m:t>50</m:t>
            </m:r>
          </m:sub>
        </m:sSub>
      </m:oMath>
      <w:r>
        <w:t xml:space="preserve"> </w:t>
      </w:r>
      <w:r>
        <w:t xml:space="preserve">threshold (</w:t>
      </w:r>
      <m:oMath>
        <m:r>
          <m:t>θ</m:t>
        </m:r>
        <m:r>
          <m:rPr>
            <m:sty m:val="p"/>
          </m:rPr>
          <m:t>=</m:t>
        </m:r>
        <m:r>
          <m:t>0.35</m:t>
        </m:r>
      </m:oMath>
      <w:r>
        <w:t xml:space="preserve">) at</w:t>
      </w:r>
      <w:r>
        <w:t xml:space="preserve"> </w:t>
      </w:r>
      <m:oMath>
        <m:sSub>
          <m:e>
            <m:r>
              <m:t>r</m:t>
            </m:r>
          </m:e>
          <m:sub>
            <m:r>
              <m:rPr>
                <m:nor/>
                <m:sty m:val="p"/>
              </m:rPr>
              <m:t>crit</m:t>
            </m:r>
          </m:sub>
        </m:sSub>
        <m:r>
          <m:rPr>
            <m:sty m:val="p"/>
          </m:rPr>
          <m:t>=</m:t>
        </m:r>
        <m:r>
          <m:t>165.9</m:t>
        </m:r>
        <m:r>
          <m:t> </m:t>
        </m:r>
        <m:r>
          <m:t>μ</m:t>
        </m:r>
        <m:r>
          <m:rPr>
            <m:nor/>
            <m:sty m:val="p"/>
          </m:rPr>
          <m:t>m</m:t>
        </m:r>
      </m:oMath>
      <w:r>
        <w:t xml:space="preserve">. Depending on the physiological limit of tissue oxygenation, a viable pharmacological sanctuary shell of width</w:t>
      </w:r>
      <w:r>
        <w:t xml:space="preserve"> </w:t>
      </w:r>
      <m:oMath>
        <m:r>
          <m:t>Δ</m:t>
        </m:r>
        <m:r>
          <m:t>r</m:t>
        </m:r>
        <m:r>
          <m:rPr>
            <m:sty m:val="p"/>
          </m:rPr>
          <m:t>=</m:t>
        </m:r>
        <m:r>
          <m:t>34.1</m:t>
        </m:r>
        <m:r>
          <m:t> </m:t>
        </m:r>
        <m:r>
          <m:t>μ</m:t>
        </m:r>
        <m:r>
          <m:rPr>
            <m:nor/>
            <m:sty m:val="p"/>
          </m:rPr>
          <m:t>m</m:t>
        </m:r>
      </m:oMath>
      <w:r>
        <w:t xml:space="preserve"> </w:t>
      </w:r>
      <w:r>
        <w:t xml:space="preserve">(for</w:t>
      </w:r>
      <w:r>
        <w:t xml:space="preserve"> </w:t>
      </w:r>
      <m:oMath>
        <m:sSub>
          <m:e>
            <m:r>
              <m:t>r</m:t>
            </m:r>
          </m:e>
          <m:sub>
            <m:r>
              <m:rPr>
                <m:nor/>
                <m:sty m:val="p"/>
              </m:rPr>
              <m:t>ox</m:t>
            </m:r>
          </m:sub>
        </m:sSub>
        <m:r>
          <m:rPr>
            <m:sty m:val="p"/>
          </m:rPr>
          <m:t>=</m:t>
        </m:r>
        <m:r>
          <m:t>200</m:t>
        </m:r>
        <m:r>
          <m:t> </m:t>
        </m:r>
        <m:r>
          <m:t>μ</m:t>
        </m:r>
        <m:r>
          <m:rPr>
            <m:nor/>
            <m:sty m:val="p"/>
          </m:rPr>
          <m:t>m</m:t>
        </m:r>
      </m:oMath>
      <w:r>
        <w:t xml:space="preserve">) or</w:t>
      </w:r>
      <w:r>
        <w:t xml:space="preserve"> </w:t>
      </w:r>
      <m:oMath>
        <m:r>
          <m:t>Δ</m:t>
        </m:r>
        <m:r>
          <m:t>r</m:t>
        </m:r>
        <m:r>
          <m:rPr>
            <m:sty m:val="p"/>
          </m:rPr>
          <m:t>=</m:t>
        </m:r>
        <m:r>
          <m:t>14.1</m:t>
        </m:r>
        <m:r>
          <m:t> </m:t>
        </m:r>
        <m:r>
          <m:t>μ</m:t>
        </m:r>
        <m:r>
          <m:rPr>
            <m:nor/>
            <m:sty m:val="p"/>
          </m:rPr>
          <m:t>m</m:t>
        </m:r>
      </m:oMath>
      <w:r>
        <w:t xml:space="preserve"> </w:t>
      </w:r>
      <w:r>
        <w:t xml:space="preserve">(for</w:t>
      </w:r>
      <w:r>
        <w:t xml:space="preserve"> </w:t>
      </w:r>
      <m:oMath>
        <m:sSub>
          <m:e>
            <m:r>
              <m:t>r</m:t>
            </m:r>
          </m:e>
          <m:sub>
            <m:r>
              <m:rPr>
                <m:nor/>
                <m:sty m:val="p"/>
              </m:rPr>
              <m:t>ox</m:t>
            </m:r>
          </m:sub>
        </m:sSub>
        <m:r>
          <m:rPr>
            <m:sty m:val="p"/>
          </m:rPr>
          <m:t>=</m:t>
        </m:r>
        <m:r>
          <m:t>180</m:t>
        </m:r>
        <m:r>
          <m:t> </m:t>
        </m:r>
        <m:r>
          <m:t>μ</m:t>
        </m:r>
        <m:r>
          <m:rPr>
            <m:nor/>
            <m:sty m:val="p"/>
          </m:rPr>
          <m:t>m</m:t>
        </m:r>
      </m:oMath>
      <w:r>
        <w:t xml:space="preserve">) can persist. Within this shell, residual drug exposure (</w:t>
      </w:r>
      <m:oMath>
        <m:r>
          <m:t>C</m:t>
        </m:r>
        <m:r>
          <m:rPr>
            <m:sty m:val="p"/>
          </m:rPr>
          <m:t>≈</m:t>
        </m:r>
        <m:r>
          <m:t>0.31</m:t>
        </m:r>
        <m:r>
          <m:rPr>
            <m:nor/>
            <m:sty m:val="p"/>
          </m:rPr>
          <m:t>–</m:t>
        </m:r>
        <m:r>
          <m:t>0.35</m:t>
        </m:r>
        <m:r>
          <m:t> </m:t>
        </m:r>
        <m:sSub>
          <m:e>
            <m:r>
              <m:t>C</m:t>
            </m:r>
          </m:e>
          <m:sub>
            <m:r>
              <m:t>0</m:t>
            </m:r>
          </m:sub>
        </m:sSub>
      </m:oMath>
      <w:r>
        <w:t xml:space="preserve">) maintains partial target inhibition (~45–50%), sufficient under a sigmoidal dose-response to suppress net proliferation and induce cytostasis. Conversely, in inward avascular nests, convergent geometry maintains osimertinib at</w:t>
      </w:r>
      <w:r>
        <w:t xml:space="preserve"> </w:t>
      </w:r>
      <m:oMath>
        <m:r>
          <m:t>90.6</m:t>
        </m:r>
        <m:r>
          <m:rPr>
            <m:sty m:val="p"/>
          </m:rPr>
          <m:t>%</m:t>
        </m:r>
        <m:r>
          <m:rPr>
            <m:nor/>
            <m:sty m:val="p"/>
          </m:rPr>
          <m:t>–</m:t>
        </m:r>
        <m:r>
          <m:t>99.4</m:t>
        </m:r>
        <m:r>
          <m:rPr>
            <m:sty m:val="p"/>
          </m:rPr>
          <m:t>%</m:t>
        </m:r>
      </m:oMath>
      <w:r>
        <w:t xml:space="preserve"> </w:t>
      </w:r>
      <w:r>
        <w:t xml:space="preserve">of boundary levels throughout viable regions (</w:t>
      </w:r>
      <m:oMath>
        <m:r>
          <m:t>R</m:t>
        </m:r>
        <m:r>
          <m:rPr>
            <m:sty m:val="p"/>
          </m:rPr>
          <m:t>≤</m:t>
        </m:r>
        <m:r>
          <m:t>160</m:t>
        </m:r>
        <m:r>
          <m:t> </m:t>
        </m:r>
        <m:r>
          <m:t>μ</m:t>
        </m:r>
        <m:r>
          <m:rPr>
            <m:nor/>
            <m:sty m:val="p"/>
          </m:rPr>
          <m:t>m</m:t>
        </m:r>
      </m:oMath>
      <w:r>
        <w:t xml:space="preserve">), precluding small-molecule sanctuaries. For macromolecular antibody–drug conjugates (ADCs,</w:t>
      </w:r>
      <w:r>
        <w:t xml:space="preserve"> </w:t>
      </w:r>
      <m:oMath>
        <m:r>
          <m:t>λ</m:t>
        </m:r>
        <m:r>
          <m:rPr>
            <m:sty m:val="p"/>
          </m:rPr>
          <m:t>=</m:t>
        </m:r>
        <m:r>
          <m:t>77.5</m:t>
        </m:r>
        <m:r>
          <m:t> </m:t>
        </m:r>
        <m:r>
          <m:t>μ</m:t>
        </m:r>
        <m:r>
          <m:rPr>
            <m:nor/>
            <m:sty m:val="p"/>
          </m:rPr>
          <m:t>m</m:t>
        </m:r>
      </m:oMath>
      <w:r>
        <w:t xml:space="preserve">), central concentration in viable nests remains at</w:t>
      </w:r>
      <w:r>
        <w:t xml:space="preserve"> </w:t>
      </w:r>
      <m:oMath>
        <m:r>
          <m:rPr>
            <m:sty m:val="p"/>
          </m:rPr>
          <m:t>≥</m:t>
        </m:r>
        <m:r>
          <m:t>45.9</m:t>
        </m:r>
        <m:r>
          <m:rPr>
            <m:sty m:val="p"/>
          </m:rPr>
          <m:t>%</m:t>
        </m:r>
      </m:oMath>
      <w:r>
        <w:t xml:space="preserve"> </w:t>
      </w:r>
      <w:r>
        <w:t xml:space="preserve">of boundary levels (above</w:t>
      </w:r>
      <w:r>
        <w:t xml:space="preserve"> </w:t>
      </w:r>
      <m:oMath>
        <m:r>
          <m:t>θ</m:t>
        </m:r>
        <m:r>
          <m:rPr>
            <m:sty m:val="p"/>
          </m:rPr>
          <m:t>=</m:t>
        </m:r>
        <m:r>
          <m:t>0.35</m:t>
        </m:r>
      </m:oMath>
      <w:r>
        <w:t xml:space="preserve">), demonstrating that avascular nests do not form viable pharmacological sanctuaries for either drug class. In Monte Carlo parameter sampling (</w:t>
      </w:r>
      <m:oMath>
        <m:r>
          <m:t>N</m:t>
        </m:r>
        <m:r>
          <m:rPr>
            <m:sty m:val="p"/>
          </m:rPr>
          <m:t>=</m:t>
        </m:r>
        <m:r>
          <m:t>10</m:t>
        </m:r>
        <m:r>
          <m:rPr>
            <m:sty m:val="p"/>
          </m:rPr>
          <m:t>,</m:t>
        </m:r>
        <m:r>
          <m:t>000</m:t>
        </m:r>
      </m:oMath>
      <w:r>
        <w:t xml:space="preserve"> </w:t>
      </w:r>
      <w:r>
        <w:t xml:space="preserve">draws, log-normal priors, seed = 2), an outward perivascular sanctuary shell existed in 46.1% of parameter draws (62.8% when</w:t>
      </w:r>
      <w:r>
        <w:t xml:space="preserve"> </w:t>
      </w:r>
      <m:oMath>
        <m:sSub>
          <m:e>
            <m:r>
              <m:t>r</m:t>
            </m:r>
          </m:e>
          <m:sub>
            <m:r>
              <m:rPr>
                <m:nor/>
                <m:sty m:val="p"/>
              </m:rPr>
              <m:t>ox</m:t>
            </m:r>
          </m:sub>
        </m:sSub>
        <m:r>
          <m:rPr>
            <m:sty m:val="p"/>
          </m:rPr>
          <m:t>=</m:t>
        </m:r>
        <m:r>
          <m:t>200</m:t>
        </m:r>
        <m:r>
          <m:t> </m:t>
        </m:r>
        <m:r>
          <m:t>μ</m:t>
        </m:r>
        <m:r>
          <m:rPr>
            <m:nor/>
            <m:sty m:val="p"/>
          </m:rPr>
          <m:t>m</m:t>
        </m:r>
      </m:oMath>
      <w:r>
        <w:t xml:space="preserve"> </w:t>
      </w:r>
      <w:r>
        <w:t xml:space="preserve">is fixed). The diagnostic lead time</w:t>
      </w:r>
      <w:r>
        <w:t xml:space="preserve"> </w:t>
      </w:r>
      <m:oMath>
        <m:r>
          <m:t>Δ</m:t>
        </m:r>
        <m:r>
          <m:t>t</m:t>
        </m:r>
        <m:r>
          <m:rPr>
            <m:sty m:val="p"/>
          </m:rPr>
          <m:t>=</m:t>
        </m:r>
        <m:sSub>
          <m:e>
            <m:r>
              <m:t>T</m:t>
            </m:r>
          </m:e>
          <m:sub>
            <m:r>
              <m:t>s</m:t>
            </m:r>
          </m:sub>
        </m:sSub>
        <m:r>
          <m:rPr>
            <m:sty m:val="p"/>
          </m:rPr>
          <m:t>⋅</m:t>
        </m:r>
        <m:sSub>
          <m:e>
            <m:r>
              <m:rPr>
                <m:sty m:val="p"/>
              </m:rPr>
              <m:t>log</m:t>
            </m:r>
          </m:e>
          <m:sub>
            <m:r>
              <m:t>2</m:t>
            </m:r>
          </m:sub>
        </m:sSub>
        <m:d>
          <m:dPr>
            <m:begChr m:val="("/>
            <m:endChr m:val=")"/>
            <m:sepChr m:val=""/>
            <m:grow/>
          </m:dPr>
          <m:e>
            <m:r>
              <m:t>100</m:t>
            </m:r>
          </m:e>
        </m:d>
        <m:r>
          <m:rPr>
            <m:sty m:val="p"/>
          </m:rPr>
          <m:t>=</m:t>
        </m:r>
        <m:r>
          <m:t>5.46</m:t>
        </m:r>
        <m:r>
          <m:t> </m:t>
        </m:r>
        <m:r>
          <m:rPr>
            <m:nor/>
            <m:sty m:val="p"/>
          </m:rPr>
          <m:t>months</m:t>
        </m:r>
      </m:oMath>
      <w:r>
        <w:t xml:space="preserve"> </w:t>
      </w:r>
      <w:r>
        <w:t xml:space="preserve">(for doubling time</w:t>
      </w:r>
      <w:r>
        <w:t xml:space="preserve"> </w:t>
      </w:r>
      <m:oMath>
        <m:sSub>
          <m:e>
            <m:r>
              <m:t>T</m:t>
            </m:r>
          </m:e>
          <m:sub>
            <m:r>
              <m:t>s</m:t>
            </m:r>
          </m:sub>
        </m:sSub>
        <m:r>
          <m:rPr>
            <m:sty m:val="p"/>
          </m:rPr>
          <m:t>=</m:t>
        </m:r>
        <m:r>
          <m:t>25</m:t>
        </m:r>
        <m:r>
          <m:t> </m:t>
        </m:r>
        <m:r>
          <m:rPr>
            <m:nor/>
            <m:sty m:val="p"/>
          </m:rPr>
          <m:t>days</m:t>
        </m:r>
      </m:oMath>
      <w:r>
        <w:t xml:space="preserve">) is an analytical property of exponential expansion and assay thresholds, rather than an empirical confirmation of sanctuary existence. In the MSKCC cohort (reverse Kaplan–Meier median follow-up 23.8 months, IQR: 13.3–31.8 months), lepidic architecture was consistent with a substantially lower hazard of recurrence (4.55%, stage-adjusted</w:t>
      </w:r>
      <w:r>
        <w:t xml:space="preserve"> </w:t>
      </w:r>
      <m:oMath>
        <m:r>
          <m:t>H</m:t>
        </m:r>
        <m:r>
          <m:t>R</m:t>
        </m:r>
        <m:r>
          <m:rPr>
            <m:sty m:val="p"/>
          </m:rPr>
          <m:t>=</m:t>
        </m:r>
        <m:r>
          <m:t>0.25</m:t>
        </m:r>
      </m:oMath>
      <w:r>
        <w:t xml:space="preserve">,</w:t>
      </w:r>
      <w:r>
        <w:t xml:space="preserve"> </w:t>
      </w:r>
      <m:oMath>
        <m:r>
          <m:t>95</m:t>
        </m:r>
        <m:r>
          <m:rPr>
            <m:sty m:val="p"/>
          </m:rPr>
          <m:t>%</m:t>
        </m:r>
        <m:r>
          <m:t> </m:t>
        </m:r>
        <m:r>
          <m:rPr>
            <m:nor/>
            <m:sty m:val="p"/>
          </m:rPr>
          <m:t>CI</m:t>
        </m:r>
        <m:r>
          <m:rPr>
            <m:sty m:val="p"/>
          </m:rPr>
          <m:t>:</m:t>
        </m:r>
        <m:r>
          <m:t>0.09</m:t>
        </m:r>
        <m:r>
          <m:rPr>
            <m:nor/>
            <m:sty m:val="p"/>
          </m:rPr>
          <m:t>–</m:t>
        </m:r>
        <m:r>
          <m:t>0.70</m:t>
        </m:r>
      </m:oMath>
      <w:r>
        <w:t xml:space="preserve">,</w:t>
      </w:r>
      <w:r>
        <w:t xml:space="preserve"> </w:t>
      </w:r>
      <m:oMath>
        <m:r>
          <m:t>p</m:t>
        </m:r>
        <m:r>
          <m:rPr>
            <m:sty m:val="p"/>
          </m:rPr>
          <m:t>=</m:t>
        </m:r>
        <m:r>
          <m:t>0.0084</m:t>
        </m:r>
      </m:oMath>
      <w:r>
        <w:t xml:space="preserve"> </w:t>
      </w:r>
      <w:r>
        <w:t xml:space="preserve">vs acinar). In 10-fold Holm-adjusted pairwise comparisons, lepidic recurrence was significantly lower than solid (</w:t>
      </w:r>
      <m:oMath>
        <m:sSub>
          <m:e>
            <m:r>
              <m:t>p</m:t>
            </m:r>
          </m:e>
          <m:sub>
            <m:r>
              <m:rPr>
                <m:nor/>
                <m:sty m:val="p"/>
              </m:rPr>
              <m:t>adj</m:t>
            </m:r>
          </m:sub>
        </m:sSub>
        <m:r>
          <m:rPr>
            <m:sty m:val="p"/>
          </m:rPr>
          <m:t>=</m:t>
        </m:r>
        <m:r>
          <m:t>0.0026</m:t>
        </m:r>
      </m:oMath>
      <w:r>
        <w:t xml:space="preserve">) and papillary (</w:t>
      </w:r>
      <m:oMath>
        <m:sSub>
          <m:e>
            <m:r>
              <m:t>p</m:t>
            </m:r>
          </m:e>
          <m:sub>
            <m:r>
              <m:rPr>
                <m:nor/>
                <m:sty m:val="p"/>
              </m:rPr>
              <m:t>adj</m:t>
            </m:r>
          </m:sub>
        </m:sSub>
        <m:r>
          <m:rPr>
            <m:sty m:val="p"/>
          </m:rPr>
          <m:t>=</m:t>
        </m:r>
        <m:r>
          <m:t>0.0203</m:t>
        </m:r>
      </m:oMath>
      <w:r>
        <w:t xml:space="preserve">), whereas differences vs acinar (</w:t>
      </w:r>
      <m:oMath>
        <m:sSub>
          <m:e>
            <m:r>
              <m:t>p</m:t>
            </m:r>
          </m:e>
          <m:sub>
            <m:r>
              <m:rPr>
                <m:nor/>
                <m:sty m:val="p"/>
              </m:rPr>
              <m:t>adj</m:t>
            </m:r>
          </m:sub>
        </m:sSub>
        <m:r>
          <m:rPr>
            <m:sty m:val="p"/>
          </m:rPr>
          <m:t>=</m:t>
        </m:r>
        <m:r>
          <m:t>0.0703</m:t>
        </m:r>
      </m:oMath>
      <w:r>
        <w:t xml:space="preserve">) and micropapillary (</w:t>
      </w:r>
      <m:oMath>
        <m:sSub>
          <m:e>
            <m:r>
              <m:t>p</m:t>
            </m:r>
          </m:e>
          <m:sub>
            <m:r>
              <m:rPr>
                <m:nor/>
                <m:sty m:val="p"/>
              </m:rPr>
              <m:t>adj</m:t>
            </m:r>
          </m:sub>
        </m:sSub>
        <m:r>
          <m:rPr>
            <m:sty m:val="p"/>
          </m:rPr>
          <m:t>=</m:t>
        </m:r>
        <m:r>
          <m:t>0.3911</m:t>
        </m:r>
      </m:oMath>
      <w:r>
        <w:t xml:space="preserve">, unadjusted</w:t>
      </w:r>
      <w:r>
        <w:t xml:space="preserve"> </w:t>
      </w:r>
      <m:oMath>
        <m:r>
          <m:t>p</m:t>
        </m:r>
        <m:r>
          <m:rPr>
            <m:sty m:val="p"/>
          </m:rPr>
          <m:t>=</m:t>
        </m:r>
        <m:r>
          <m:t>0.0559</m:t>
        </m:r>
      </m:oMath>
      <w:r>
        <w:t xml:space="preserve">) did not achieve significance under family-wise error control. Grouping solid and micropapillary patterns yielded an exploratory contrast of</w:t>
      </w:r>
      <w:r>
        <w:t xml:space="preserve"> </w:t>
      </w:r>
      <m:oMath>
        <m:r>
          <m:t>H</m:t>
        </m:r>
        <m:r>
          <m:t>R</m:t>
        </m:r>
        <m:r>
          <m:rPr>
            <m:sty m:val="p"/>
          </m:rPr>
          <m:t>=</m:t>
        </m:r>
        <m:r>
          <m:t>6.75</m:t>
        </m:r>
      </m:oMath>
      <w:r>
        <w:t xml:space="preserve"> </w:t>
      </w:r>
      <w:r>
        <w:t xml:space="preserve">(</w:t>
      </w:r>
      <m:oMath>
        <m:r>
          <m:t>95</m:t>
        </m:r>
        <m:r>
          <m:rPr>
            <m:sty m:val="p"/>
          </m:rPr>
          <m:t>%</m:t>
        </m:r>
        <m:r>
          <m:t> </m:t>
        </m:r>
        <m:r>
          <m:rPr>
            <m:nor/>
            <m:sty m:val="p"/>
          </m:rPr>
          <m:t>CI</m:t>
        </m:r>
        <m:r>
          <m:rPr>
            <m:sty m:val="p"/>
          </m:rPr>
          <m:t>:</m:t>
        </m:r>
        <m:r>
          <m:t>2.28</m:t>
        </m:r>
        <m:r>
          <m:rPr>
            <m:nor/>
            <m:sty m:val="p"/>
          </m:rPr>
          <m:t>–</m:t>
        </m:r>
        <m:r>
          <m:t>19.97</m:t>
        </m:r>
      </m:oMath>
      <w:r>
        <w:t xml:space="preserve">; penalized Cox shrinkage</w:t>
      </w:r>
      <w:r>
        <w:t xml:space="preserve"> </w:t>
      </w:r>
      <m:oMath>
        <m:r>
          <m:t>H</m:t>
        </m:r>
        <m:r>
          <m:t>R</m:t>
        </m:r>
        <m:r>
          <m:rPr>
            <m:sty m:val="p"/>
          </m:rPr>
          <m:t>=</m:t>
        </m:r>
        <m:r>
          <m:t>2.60</m:t>
        </m:r>
        <m:r>
          <m:rPr>
            <m:nor/>
            <m:sty m:val="p"/>
          </m:rPr>
          <m:t>–</m:t>
        </m:r>
        <m:r>
          <m:t>3.42</m:t>
        </m:r>
      </m:oMath>
      <w:r>
        <w:t xml:space="preserve">) against lepidic, based on 4 lepidic events, whereas across the unselected cohort the hazard ratio was</w:t>
      </w:r>
      <w:r>
        <w:t xml:space="preserve"> </w:t>
      </w:r>
      <m:oMath>
        <m:r>
          <m:t>1.32</m:t>
        </m:r>
      </m:oMath>
      <w:r>
        <w:t xml:space="preserve"> </w:t>
      </w:r>
      <w:r>
        <w:t xml:space="preserve">(</w:t>
      </w:r>
      <m:oMath>
        <m:r>
          <m:t>p</m:t>
        </m:r>
        <m:r>
          <m:rPr>
            <m:sty m:val="p"/>
          </m:rPr>
          <m:t>=</m:t>
        </m:r>
        <m:r>
          <m:t>0.239</m:t>
        </m:r>
      </m:oMath>
      <w:r>
        <w:t xml:space="preserve">).</w:t>
      </w:r>
    </w:p>
    <w:p>
      <w:pPr>
        <w:pStyle w:val="BodyText"/>
      </w:pPr>
      <w:r>
        <w:rPr>
          <w:b/>
          <w:bCs/>
        </w:rPr>
        <w:t xml:space="preserve">Conclusions:</w:t>
      </w:r>
      <w:r>
        <w:t xml:space="preserve"> </w:t>
      </w:r>
      <w:r>
        <w:t xml:space="preserve">Pharmacological sanctuaries are geometrically restricted to outward perivascular cords and do not occur in avascular nests. Clinical cohort data demonstrate baseline protection associated with lepidic growth rather than an escalating risk across compact patterns. Surveillance strategies based on molecular lead time must be evaluated in prospective trials to rule out lead-time bias.</w:t>
      </w:r>
    </w:p>
    <w:p>
      <w:pPr>
        <w:pStyle w:val="BodyText"/>
      </w:pPr>
      <w:r>
        <w:rPr>
          <w:b/>
          <w:bCs/>
        </w:rPr>
        <w:t xml:space="preserve">Keywords:</w:t>
      </w:r>
      <w:r>
        <w:t xml:space="preserve"> </w:t>
      </w:r>
      <w:r>
        <w:t xml:space="preserve">Pharmacological sanctuary, Reaction-diffusion, Modified Bessel functions, Tumor cords, Non-small-cell lung cancer, EGFR tyrosine kinase inhibitors, ADAURA, IASLC histologic grading.</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Adjuvant targeted therapy with the third-generation epidermal growth factor receptor (EGFR) tyrosine kinase inhibitor (TKI) osimertinib produces profound disease-free and overall survival benefits in patients with resected stage IB–IIIA</w:t>
      </w:r>
      <w:r>
        <w:t xml:space="preserve"> </w:t>
      </w:r>
      <w:r>
        <w:rPr>
          <w:i/>
          <w:iCs/>
        </w:rPr>
        <w:t xml:space="preserve">EGFR</w:t>
      </w:r>
      <w:r>
        <w:t xml:space="preserve">-mutated non-small-cell lung cancer (NSCLC) (Wu et al.,</w:t>
      </w:r>
      <w:r>
        <w:t xml:space="preserve"> </w:t>
      </w:r>
      <w:r>
        <w:rPr>
          <w:i/>
          <w:iCs/>
        </w:rPr>
        <w:t xml:space="preserve">N Engl J Med</w:t>
      </w:r>
      <w:r>
        <w:t xml:space="preserve"> </w:t>
      </w:r>
      <w:r>
        <w:t xml:space="preserve">2020 [1]; Tsuboi et al.,</w:t>
      </w:r>
      <w:r>
        <w:t xml:space="preserve"> </w:t>
      </w:r>
      <w:r>
        <w:rPr>
          <w:i/>
          <w:iCs/>
        </w:rPr>
        <w:t xml:space="preserve">N Engl J Med</w:t>
      </w:r>
      <w:r>
        <w:t xml:space="preserve"> </w:t>
      </w:r>
      <w:r>
        <w:t xml:space="preserve">2023 [2]). In the landmark ADAURA trial, three years of daily oral osimertinib suppressed disease recurrence by nearly 80% during active treatment. However, extended follow-up identified an important temporal pattern: following planned therapy completion at month 36, disease-free survival curves showed an inflection, with a substantial portion of recurrences emerging in the post-cessation observation window (months 36 to 60) (Herbst et al.,</w:t>
      </w:r>
      <w:r>
        <w:t xml:space="preserve"> </w:t>
      </w:r>
      <w:r>
        <w:rPr>
          <w:i/>
          <w:iCs/>
        </w:rPr>
        <w:t xml:space="preserve">Nat Med</w:t>
      </w:r>
      <w:r>
        <w:t xml:space="preserve"> </w:t>
      </w:r>
      <w:r>
        <w:t xml:space="preserve">2025 [12]). In an exploratory molecular residual disease (MRD) analysis of 220 enrolled patients (112 in the osimertinib arm), 28 patients in the osimertinib arm developed disease recurrence (25.0%). Among these 28 patients, 19 events (67.9%) occurred after treatment discontinuation; within this post-cessation window, 11 of 19 events (57.9%) manifested within the first 12 months post-cessation (months 36–48). Crucially, post-cessation recurrences frequently lacked canonical secondary genetic resistance alterations (such as</w:t>
      </w:r>
      <w:r>
        <w:t xml:space="preserve"> </w:t>
      </w:r>
      <w:r>
        <w:rPr>
          <w:i/>
          <w:iCs/>
        </w:rPr>
        <w:t xml:space="preserve">EGFR</w:t>
      </w:r>
      <w:r>
        <w:t xml:space="preserve"> </w:t>
      </w:r>
      <w:r>
        <w:t xml:space="preserve">T790M, C797S, or</w:t>
      </w:r>
      <w:r>
        <w:t xml:space="preserve"> </w:t>
      </w:r>
      <w:r>
        <w:rPr>
          <w:i/>
          <w:iCs/>
        </w:rPr>
        <w:t xml:space="preserve">MET</w:t>
      </w:r>
      <w:r>
        <w:t xml:space="preserve"> </w:t>
      </w:r>
      <w:r>
        <w:t xml:space="preserve">amplification), and clinical rechallenge with osimertinib frequently re-established disease control.</w:t>
      </w:r>
    </w:p>
    <w:p>
      <w:pPr>
        <w:pStyle w:val="BodyText"/>
      </w:pPr>
      <w:r>
        <w:t xml:space="preserve">This clinical phenomenon suggests that residual cancer cells may persist through non-genetic mechanisms. While epigenetic reprogramming and drug-tolerant persister (DTP) states have been extensively characterized in vitro (Sharma et al.,</w:t>
      </w:r>
      <w:r>
        <w:t xml:space="preserve"> </w:t>
      </w:r>
      <w:r>
        <w:rPr>
          <w:i/>
          <w:iCs/>
        </w:rPr>
        <w:t xml:space="preserve">Cell</w:t>
      </w:r>
      <w:r>
        <w:t xml:space="preserve"> </w:t>
      </w:r>
      <w:r>
        <w:t xml:space="preserve">2010 [6]; Kurppa et al.,</w:t>
      </w:r>
      <w:r>
        <w:t xml:space="preserve"> </w:t>
      </w:r>
      <w:r>
        <w:rPr>
          <w:i/>
          <w:iCs/>
        </w:rPr>
        <w:t xml:space="preserve">Cancer Cell</w:t>
      </w:r>
      <w:r>
        <w:t xml:space="preserve"> </w:t>
      </w:r>
      <w:r>
        <w:t xml:space="preserve">2020 [7]), biological persisters can also undergo slow-cycling reversible quiescence. An alternative and complementary biophysical hypothesis is that microenvironmental transport barriers create spatial pharmacological sanctuaries: tissue niches where local drug exposure drops beneath cytotoxic or cytostatic thresholds while physiological nutrient and oxygen supply remains adequate to support cell survival.</w:t>
      </w:r>
    </w:p>
    <w:p>
      <w:pPr>
        <w:pStyle w:val="BodyText"/>
      </w:pPr>
      <w:r>
        <w:t xml:space="preserve">In this study, we evaluate this hypothesis by:</w:t>
      </w:r>
      <w:r>
        <w:t xml:space="preserve"> </w:t>
      </w:r>
      <w:r>
        <w:t xml:space="preserve">1. Solving exact cylindrical reaction–diffusion boundary value problems across outward perivascular cords and inward avascular nests;</w:t>
      </w:r>
      <w:r>
        <w:t xml:space="preserve"> </w:t>
      </w:r>
      <w:r>
        <w:t xml:space="preserve">2. Deriving the analytical lead-time identity governing post-cessation clonal regrowth;</w:t>
      </w:r>
      <w:r>
        <w:t xml:space="preserve"> </w:t>
      </w:r>
      <w:r>
        <w:t xml:space="preserve">3. Conducting a descriptive survival audit of histologic subtype in 604 resected lung adenocarcinoma patients from Memorial Sloan Kettering Cancer Center.</w:t>
      </w:r>
    </w:p>
    <w:p>
      <w:r>
        <w:pict>
          <v:rect style="width:0;height:1.5pt" o:hralign="center" o:hrstd="t" o:hr="t"/>
        </w:pict>
      </w:r>
    </w:p>
    <w:bookmarkEnd w:id="22"/>
    <w:bookmarkStart w:id="37" w:name="X02a57b1974e1550ec0bf40d0515b74f47452a9c"/>
    <w:p>
      <w:pPr>
        <w:pStyle w:val="Heading2"/>
      </w:pPr>
      <w:r>
        <w:t xml:space="preserve">2. Biophysical Reaction-Diffusion Transport Physics</w:t>
      </w:r>
    </w:p>
    <w:bookmarkStart w:id="26" w:name="X70be07d8a98d8aa8dfff9fac6f3ff6b8de8ce23"/>
    <w:p>
      <w:pPr>
        <w:pStyle w:val="Heading3"/>
      </w:pPr>
      <w:r>
        <w:t xml:space="preserve">2.1 Governing Equations &amp; Geometric Formulations</w:t>
      </w:r>
    </w:p>
    <w:p>
      <w:pPr>
        <w:pStyle w:val="FirstParagraph"/>
      </w:pPr>
      <w:r>
        <w:t xml:space="preserve">We model steady-state drug diffusion coupled to first-order irreversible cellular uptake in cylindrical coordinates:</w:t>
      </w:r>
    </w:p>
    <w:p>
      <w:pPr>
        <w:pStyle w:val="BodyText"/>
      </w:pPr>
      <m:oMathPara>
        <m:oMathParaPr>
          <m:jc m:val="center"/>
        </m:oMathParaPr>
        <m:oMath>
          <m:f>
            <m:fPr>
              <m:type m:val="bar"/>
            </m:fPr>
            <m:num>
              <m:r>
                <m:t>1</m:t>
              </m:r>
            </m:num>
            <m:den>
              <m:r>
                <m:t>r</m:t>
              </m:r>
            </m:den>
          </m:f>
          <m:f>
            <m:fPr>
              <m:type m:val="bar"/>
            </m:fPr>
            <m:num>
              <m:r>
                <m:t>d</m:t>
              </m:r>
            </m:num>
            <m:den>
              <m:r>
                <m:t>d</m:t>
              </m:r>
              <m:r>
                <m:t>r</m:t>
              </m:r>
            </m:den>
          </m:f>
          <m:d>
            <m:dPr>
              <m:begChr m:val="("/>
              <m:endChr m:val=")"/>
              <m:sepChr m:val=""/>
              <m:grow/>
            </m:dPr>
            <m:e>
              <m:r>
                <m:t>r</m:t>
              </m:r>
              <m:f>
                <m:fPr>
                  <m:type m:val="bar"/>
                </m:fPr>
                <m:num>
                  <m:r>
                    <m:t>d</m:t>
                  </m:r>
                  <m:r>
                    <m:t>C</m:t>
                  </m:r>
                </m:num>
                <m:den>
                  <m:r>
                    <m:t>d</m:t>
                  </m:r>
                  <m:r>
                    <m:t>r</m:t>
                  </m:r>
                </m:den>
              </m:f>
            </m:e>
          </m:d>
          <m:r>
            <m:rPr>
              <m:sty m:val="p"/>
            </m:rPr>
            <m:t>−</m:t>
          </m:r>
          <m:f>
            <m:fPr>
              <m:type m:val="bar"/>
            </m:fPr>
            <m:num>
              <m:r>
                <m:t>k</m:t>
              </m:r>
            </m:num>
            <m:den>
              <m:r>
                <m:t>D</m:t>
              </m:r>
            </m:den>
          </m:f>
          <m:r>
            <m:t>C</m:t>
          </m:r>
          <m:r>
            <m:rPr>
              <m:sty m:val="p"/>
            </m:rPr>
            <m:t>=</m:t>
          </m:r>
          <m:r>
            <m:t>0</m:t>
          </m:r>
        </m:oMath>
      </m:oMathPara>
    </w:p>
    <w:p>
      <w:pPr>
        <w:pStyle w:val="FirstParagraph"/>
      </w:pPr>
      <w:r>
        <w:t xml:space="preserve">where</w:t>
      </w:r>
      <w:r>
        <w:t xml:space="preserve"> </w:t>
      </w:r>
      <m:oMath>
        <m:r>
          <m:t>C</m:t>
        </m:r>
        <m:d>
          <m:dPr>
            <m:begChr m:val="("/>
            <m:endChr m:val=")"/>
            <m:sepChr m:val=""/>
            <m:grow/>
          </m:dPr>
          <m:e>
            <m:r>
              <m:t>r</m:t>
            </m:r>
          </m:e>
        </m:d>
      </m:oMath>
      <w:r>
        <w:t xml:space="preserve"> </w:t>
      </w:r>
      <w:r>
        <w:t xml:space="preserve">is local interstitial concentration,</w:t>
      </w:r>
      <w:r>
        <w:t xml:space="preserve"> </w:t>
      </w:r>
      <m:oMath>
        <m:r>
          <m:t>D</m:t>
        </m:r>
      </m:oMath>
      <w:r>
        <w:t xml:space="preserve"> </w:t>
      </w:r>
      <w:r>
        <w:t xml:space="preserve">is effective tissue diffusivity, and</w:t>
      </w:r>
      <w:r>
        <w:t xml:space="preserve"> </w:t>
      </w:r>
      <m:oMath>
        <m:r>
          <m:t>k</m:t>
        </m:r>
      </m:oMath>
      <w:r>
        <w:t xml:space="preserve"> </w:t>
      </w:r>
      <w:r>
        <w:t xml:space="preserve">is the volumetric uptake rate constant. The characteristic penetration length is defined by:</w:t>
      </w:r>
    </w:p>
    <w:p>
      <w:pPr>
        <w:pStyle w:val="BodyText"/>
      </w:pPr>
      <m:oMathPara>
        <m:oMathParaPr>
          <m:jc m:val="center"/>
        </m:oMathParaPr>
        <m:oMath>
          <m:r>
            <m:t>λ</m:t>
          </m:r>
          <m:r>
            <m:rPr>
              <m:sty m:val="p"/>
            </m:rPr>
            <m:t>=</m:t>
          </m:r>
          <m:rad>
            <m:radPr>
              <m:degHide m:val="on"/>
            </m:radPr>
            <m:deg/>
            <m:e>
              <m:f>
                <m:fPr>
                  <m:type m:val="bar"/>
                </m:fPr>
                <m:num>
                  <m:r>
                    <m:t>D</m:t>
                  </m:r>
                </m:num>
                <m:den>
                  <m:r>
                    <m:t>k</m:t>
                  </m:r>
                </m:den>
              </m:f>
            </m:e>
          </m:rad>
        </m:oMath>
      </m:oMathPara>
    </w:p>
    <w:bookmarkStart w:id="23" w:name="Xb66945d267704d8f43f84f56b9a91f7c2a32445"/>
    <w:p>
      <w:pPr>
        <w:pStyle w:val="Heading4"/>
      </w:pPr>
      <w:r>
        <w:t xml:space="preserve">Geometry 1: Outward Perivascular Cord (Divergent Cylindrical Transport)</w:t>
      </w:r>
    </w:p>
    <w:p>
      <w:pPr>
        <w:pStyle w:val="FirstParagraph"/>
      </w:pPr>
      <w:r>
        <w:t xml:space="preserve">A central microvessel of radius</w:t>
      </w:r>
      <w:r>
        <w:t xml:space="preserve"> </w:t>
      </w:r>
      <m:oMath>
        <m:sSub>
          <m:e>
            <m:r>
              <m:t>r</m:t>
            </m:r>
          </m:e>
          <m:sub>
            <m:r>
              <m:t>0</m:t>
            </m:r>
          </m:sub>
        </m:sSub>
        <m:r>
          <m:rPr>
            <m:sty m:val="p"/>
          </m:rPr>
          <m:t>=</m:t>
        </m:r>
        <m:r>
          <m:t>10</m:t>
        </m:r>
        <m:r>
          <m:t> </m:t>
        </m:r>
        <m:r>
          <m:t>μ</m:t>
        </m:r>
        <m:r>
          <m:rPr>
            <m:nor/>
            <m:sty m:val="p"/>
          </m:rPr>
          <m:t>m</m:t>
        </m:r>
      </m:oMath>
      <w:r>
        <w:t xml:space="preserve"> </w:t>
      </w:r>
      <w:r>
        <w:t xml:space="preserve">supplies drug at constant boundary concentration</w:t>
      </w:r>
      <w:r>
        <w:t xml:space="preserve"> </w:t>
      </w:r>
      <m:oMath>
        <m:sSub>
          <m:e>
            <m:r>
              <m:t>C</m:t>
            </m:r>
          </m:e>
          <m:sub>
            <m:r>
              <m:t>0</m:t>
            </m:r>
          </m:sub>
        </m:sSub>
      </m:oMath>
      <w:r>
        <w:t xml:space="preserve"> </w:t>
      </w:r>
      <w:r>
        <w:t xml:space="preserve">to an surrounding cylindrical tumor cord. With boundary conditions:</w:t>
      </w:r>
    </w:p>
    <w:p>
      <w:pPr>
        <w:pStyle w:val="BodyText"/>
      </w:pPr>
      <m:oMathPara>
        <m:oMathParaPr>
          <m:jc m:val="center"/>
        </m:oMathParaPr>
        <m:oMath>
          <m:r>
            <m:t>C</m:t>
          </m:r>
          <m:d>
            <m:dPr>
              <m:begChr m:val="("/>
              <m:endChr m:val=")"/>
              <m:sepChr m:val=""/>
              <m:grow/>
            </m:dPr>
            <m:e>
              <m:sSub>
                <m:e>
                  <m:r>
                    <m:t>r</m:t>
                  </m:r>
                </m:e>
                <m:sub>
                  <m:r>
                    <m:t>0</m:t>
                  </m:r>
                </m:sub>
              </m:sSub>
            </m:e>
          </m:d>
          <m:r>
            <m:rPr>
              <m:sty m:val="p"/>
            </m:rPr>
            <m:t>=</m:t>
          </m:r>
          <m:sSub>
            <m:e>
              <m:r>
                <m:t>C</m:t>
              </m:r>
            </m:e>
            <m:sub>
              <m:r>
                <m:t>0</m:t>
              </m:r>
            </m:sub>
          </m:sSub>
          <m:r>
            <m:rPr>
              <m:sty m:val="p"/>
            </m:rPr>
            <m:t>,</m:t>
          </m:r>
          <m:r>
            <m:t> </m:t>
          </m:r>
          <m:limLow>
            <m:e>
              <m:r>
                <m:rPr>
                  <m:sty m:val="p"/>
                </m:rPr>
                <m:t>lim</m:t>
              </m:r>
            </m:e>
            <m:lim>
              <m:r>
                <m:t>r</m:t>
              </m:r>
              <m:r>
                <m:rPr>
                  <m:sty m:val="p"/>
                </m:rPr>
                <m:t>→</m:t>
              </m:r>
              <m:r>
                <m:rPr>
                  <m:sty m:val="p"/>
                </m:rPr>
                <m:t>∞</m:t>
              </m:r>
            </m:lim>
          </m:limLow>
          <m:r>
            <m:t>C</m:t>
          </m:r>
          <m:d>
            <m:dPr>
              <m:begChr m:val="("/>
              <m:endChr m:val=")"/>
              <m:sepChr m:val=""/>
              <m:grow/>
            </m:dPr>
            <m:e>
              <m:r>
                <m:t>r</m:t>
              </m:r>
            </m:e>
          </m:d>
          <m:r>
            <m:rPr>
              <m:sty m:val="p"/>
            </m:rPr>
            <m:t>=</m:t>
          </m:r>
          <m:r>
            <m:t>0</m:t>
          </m:r>
        </m:oMath>
      </m:oMathPara>
    </w:p>
    <w:p>
      <w:pPr>
        <w:pStyle w:val="FirstParagraph"/>
      </w:pPr>
      <w:r>
        <w:t xml:space="preserve">the unique closed-form analytical solution is given by the modified Bessel function of the second kind of order zero (</w:t>
      </w:r>
      <m:oMath>
        <m:sSub>
          <m:e>
            <m:r>
              <m:t>K</m:t>
            </m:r>
          </m:e>
          <m:sub>
            <m:r>
              <m:t>0</m:t>
            </m:r>
          </m:sub>
        </m:sSub>
      </m:oMath>
      <w:r>
        <w:t xml:space="preserve">):</w:t>
      </w:r>
    </w:p>
    <w:p>
      <w:pPr>
        <w:pStyle w:val="BodyText"/>
      </w:pPr>
      <m:oMathPara>
        <m:oMathParaPr>
          <m:jc m:val="center"/>
        </m:oMathParaPr>
        <m:oMath>
          <m:sSub>
            <m:e>
              <m:r>
                <m:t>C</m:t>
              </m:r>
            </m:e>
            <m:sub>
              <m:r>
                <m:rPr>
                  <m:nor/>
                  <m:sty m:val="p"/>
                </m:rPr>
                <m:t>out</m:t>
              </m:r>
            </m:sub>
          </m:sSub>
          <m:d>
            <m:dPr>
              <m:begChr m:val="("/>
              <m:endChr m:val=")"/>
              <m:sepChr m:val=""/>
              <m:grow/>
            </m:dPr>
            <m:e>
              <m:r>
                <m:t>r</m:t>
              </m:r>
            </m:e>
          </m:d>
          <m:r>
            <m:rPr>
              <m:sty m:val="p"/>
            </m:rPr>
            <m:t>=</m:t>
          </m:r>
          <m:sSub>
            <m:e>
              <m:r>
                <m:t>C</m:t>
              </m:r>
            </m:e>
            <m:sub>
              <m:r>
                <m:t>0</m:t>
              </m:r>
            </m:sub>
          </m:sSub>
          <m:f>
            <m:fPr>
              <m:type m:val="bar"/>
            </m:fPr>
            <m:num>
              <m:sSub>
                <m:e>
                  <m:r>
                    <m:t>K</m:t>
                  </m:r>
                </m:e>
                <m:sub>
                  <m:r>
                    <m:t>0</m:t>
                  </m:r>
                </m:sub>
              </m:sSub>
              <m:d>
                <m:dPr>
                  <m:begChr m:val="("/>
                  <m:endChr m:val=")"/>
                  <m:sepChr m:val=""/>
                  <m:grow/>
                </m:dPr>
                <m:e>
                  <m:r>
                    <m:t>r</m:t>
                  </m:r>
                  <m:r>
                    <m:rPr>
                      <m:sty m:val="p"/>
                    </m:rPr>
                    <m:t>/</m:t>
                  </m:r>
                  <m:r>
                    <m:t>λ</m:t>
                  </m:r>
                </m:e>
              </m:d>
            </m:num>
            <m:den>
              <m:sSub>
                <m:e>
                  <m:r>
                    <m:t>K</m:t>
                  </m:r>
                </m:e>
                <m:sub>
                  <m:r>
                    <m:t>0</m:t>
                  </m:r>
                </m:sub>
              </m:sSub>
              <m:d>
                <m:dPr>
                  <m:begChr m:val="("/>
                  <m:endChr m:val=")"/>
                  <m:sepChr m:val=""/>
                  <m:grow/>
                </m:dPr>
                <m:e>
                  <m:sSub>
                    <m:e>
                      <m:r>
                        <m:t>r</m:t>
                      </m:r>
                    </m:e>
                    <m:sub>
                      <m:r>
                        <m:t>0</m:t>
                      </m:r>
                    </m:sub>
                  </m:sSub>
                  <m:r>
                    <m:rPr>
                      <m:sty m:val="p"/>
                    </m:rPr>
                    <m:t>/</m:t>
                  </m:r>
                  <m:r>
                    <m:t>λ</m:t>
                  </m:r>
                </m:e>
              </m:d>
            </m:den>
          </m:f>
        </m:oMath>
      </m:oMathPara>
    </w:p>
    <w:p>
      <w:pPr>
        <w:pStyle w:val="FirstParagraph"/>
      </w:pPr>
      <w:r>
        <w:t xml:space="preserve">The critical radius</w:t>
      </w:r>
      <w:r>
        <w:t xml:space="preserve"> </w:t>
      </w:r>
      <m:oMath>
        <m:sSub>
          <m:e>
            <m:r>
              <m:t>r</m:t>
            </m:r>
          </m:e>
          <m:sub>
            <m:r>
              <m:rPr>
                <m:nor/>
                <m:sty m:val="p"/>
              </m:rPr>
              <m:t>crit</m:t>
            </m:r>
          </m:sub>
        </m:sSub>
      </m:oMath>
      <w:r>
        <w:t xml:space="preserve"> </w:t>
      </w:r>
      <w:r>
        <w:t xml:space="preserve">at which local concentration falls below the threshold</w:t>
      </w:r>
      <w:r>
        <w:t xml:space="preserve"> </w:t>
      </w:r>
      <m:oMath>
        <m:r>
          <m:t>θ</m:t>
        </m:r>
        <m:r>
          <m:rPr>
            <m:sty m:val="p"/>
          </m:rPr>
          <m:t>=</m:t>
        </m:r>
        <m:r>
          <m:t>C</m:t>
        </m:r>
        <m:r>
          <m:rPr>
            <m:sty m:val="p"/>
          </m:rPr>
          <m:t>/</m:t>
        </m:r>
        <m:sSub>
          <m:e>
            <m:r>
              <m:t>C</m:t>
            </m:r>
          </m:e>
          <m:sub>
            <m:r>
              <m:t>0</m:t>
            </m:r>
          </m:sub>
        </m:sSub>
        <m:r>
          <m:rPr>
            <m:sty m:val="p"/>
          </m:rPr>
          <m:t>=</m:t>
        </m:r>
        <m:sSub>
          <m:e>
            <m:r>
              <m:rPr>
                <m:nor/>
                <m:sty m:val="p"/>
              </m:rPr>
              <m:t>IC</m:t>
            </m:r>
          </m:e>
          <m:sub>
            <m:r>
              <m:t>50</m:t>
            </m:r>
          </m:sub>
        </m:sSub>
        <m:r>
          <m:rPr>
            <m:sty m:val="p"/>
          </m:rPr>
          <m:t>/</m:t>
        </m:r>
        <m:sSub>
          <m:e>
            <m:r>
              <m:t>C</m:t>
            </m:r>
          </m:e>
          <m:sub>
            <m:r>
              <m:t>0</m:t>
            </m:r>
          </m:sub>
        </m:sSub>
        <m:r>
          <m:rPr>
            <m:sty m:val="p"/>
          </m:rPr>
          <m:t>=</m:t>
        </m:r>
        <m:r>
          <m:t>0.35</m:t>
        </m:r>
      </m:oMath>
      <w:r>
        <w:t xml:space="preserve"> </w:t>
      </w:r>
      <w:r>
        <w:t xml:space="preserve">is determined implicitly by:</w:t>
      </w:r>
    </w:p>
    <w:p>
      <w:pPr>
        <w:pStyle w:val="BodyText"/>
      </w:pPr>
      <m:oMathPara>
        <m:oMathParaPr>
          <m:jc m:val="center"/>
        </m:oMathParaPr>
        <m:oMath>
          <m:f>
            <m:fPr>
              <m:type m:val="bar"/>
            </m:fPr>
            <m:num>
              <m:sSub>
                <m:e>
                  <m:r>
                    <m:t>K</m:t>
                  </m:r>
                </m:e>
                <m:sub>
                  <m:r>
                    <m:t>0</m:t>
                  </m:r>
                </m:sub>
              </m:sSub>
              <m:d>
                <m:dPr>
                  <m:begChr m:val="("/>
                  <m:endChr m:val=")"/>
                  <m:sepChr m:val=""/>
                  <m:grow/>
                </m:dPr>
                <m:e>
                  <m:sSub>
                    <m:e>
                      <m:r>
                        <m:t>r</m:t>
                      </m:r>
                    </m:e>
                    <m:sub>
                      <m:r>
                        <m:rPr>
                          <m:nor/>
                          <m:sty m:val="p"/>
                        </m:rPr>
                        <m:t>crit</m:t>
                      </m:r>
                    </m:sub>
                  </m:sSub>
                  <m:r>
                    <m:rPr>
                      <m:sty m:val="p"/>
                    </m:rPr>
                    <m:t>/</m:t>
                  </m:r>
                  <m:r>
                    <m:t>λ</m:t>
                  </m:r>
                </m:e>
              </m:d>
            </m:num>
            <m:den>
              <m:sSub>
                <m:e>
                  <m:r>
                    <m:t>K</m:t>
                  </m:r>
                </m:e>
                <m:sub>
                  <m:r>
                    <m:t>0</m:t>
                  </m:r>
                </m:sub>
              </m:sSub>
              <m:d>
                <m:dPr>
                  <m:begChr m:val="("/>
                  <m:endChr m:val=")"/>
                  <m:sepChr m:val=""/>
                  <m:grow/>
                </m:dPr>
                <m:e>
                  <m:sSub>
                    <m:e>
                      <m:r>
                        <m:t>r</m:t>
                      </m:r>
                    </m:e>
                    <m:sub>
                      <m:r>
                        <m:t>0</m:t>
                      </m:r>
                    </m:sub>
                  </m:sSub>
                  <m:r>
                    <m:rPr>
                      <m:sty m:val="p"/>
                    </m:rPr>
                    <m:t>/</m:t>
                  </m:r>
                  <m:r>
                    <m:t>λ</m:t>
                  </m:r>
                </m:e>
              </m:d>
            </m:den>
          </m:f>
          <m:r>
            <m:rPr>
              <m:sty m:val="p"/>
            </m:rPr>
            <m:t>=</m:t>
          </m:r>
          <m:r>
            <m:t>θ</m:t>
          </m:r>
        </m:oMath>
      </m:oMathPara>
    </w:p>
    <w:bookmarkEnd w:id="23"/>
    <w:bookmarkStart w:id="24" w:name="Xd1574ca1bc07061edf07f0a2d1d8b23b90f9c7a"/>
    <w:p>
      <w:pPr>
        <w:pStyle w:val="Heading4"/>
      </w:pPr>
      <w:r>
        <w:t xml:space="preserve">Geometry 2: Inward Avascular Nest (Convergent Cylindrical Transport)</w:t>
      </w:r>
    </w:p>
    <w:p>
      <w:pPr>
        <w:pStyle w:val="FirstParagraph"/>
      </w:pPr>
      <w:r>
        <w:t xml:space="preserve">A compact avascular tumor cluster of radius</w:t>
      </w:r>
      <w:r>
        <w:t xml:space="preserve"> </w:t>
      </w:r>
      <m:oMath>
        <m:r>
          <m:t>R</m:t>
        </m:r>
      </m:oMath>
      <w:r>
        <w:t xml:space="preserve"> </w:t>
      </w:r>
      <w:r>
        <w:t xml:space="preserve">is supplied by surrounding microvasculature at the outer boundary</w:t>
      </w:r>
      <w:r>
        <w:t xml:space="preserve"> </w:t>
      </w:r>
      <m:oMath>
        <m:r>
          <m:t>r</m:t>
        </m:r>
        <m:r>
          <m:rPr>
            <m:sty m:val="p"/>
          </m:rPr>
          <m:t>=</m:t>
        </m:r>
        <m:r>
          <m:t>R</m:t>
        </m:r>
      </m:oMath>
      <w:r>
        <w:t xml:space="preserve">. Drug diffuses radially inward toward the center:</w:t>
      </w:r>
    </w:p>
    <w:p>
      <w:pPr>
        <w:pStyle w:val="BodyText"/>
      </w:pPr>
      <m:oMathPara>
        <m:oMathParaPr>
          <m:jc m:val="center"/>
        </m:oMathParaPr>
        <m:oMath>
          <m:r>
            <m:t>C</m:t>
          </m:r>
          <m:d>
            <m:dPr>
              <m:begChr m:val="("/>
              <m:endChr m:val=")"/>
              <m:sepChr m:val=""/>
              <m:grow/>
            </m:dPr>
            <m:e>
              <m:r>
                <m:t>R</m:t>
              </m:r>
            </m:e>
          </m:d>
          <m:r>
            <m:rPr>
              <m:sty m:val="p"/>
            </m:rPr>
            <m:t>=</m:t>
          </m:r>
          <m:sSub>
            <m:e>
              <m:r>
                <m:t>C</m:t>
              </m:r>
            </m:e>
            <m:sub>
              <m:r>
                <m:t>0</m:t>
              </m:r>
            </m:sub>
          </m:sSub>
          <m:r>
            <m:rPr>
              <m:sty m:val="p"/>
            </m:rPr>
            <m:t>,</m:t>
          </m:r>
          <m:r>
            <m:t> </m:t>
          </m:r>
          <m:sSub>
            <m:e>
              <m:d>
                <m:dPr>
                  <m:begChr m:val=""/>
                  <m:endChr m:val="|"/>
                  <m:sepChr m:val=""/>
                  <m:grow/>
                </m:dPr>
                <m:e>
                  <m:f>
                    <m:fPr>
                      <m:type m:val="bar"/>
                    </m:fPr>
                    <m:num>
                      <m:r>
                        <m:t>d</m:t>
                      </m:r>
                      <m:r>
                        <m:t>C</m:t>
                      </m:r>
                    </m:num>
                    <m:den>
                      <m:r>
                        <m:t>d</m:t>
                      </m:r>
                      <m:r>
                        <m:t>r</m:t>
                      </m:r>
                    </m:den>
                  </m:f>
                </m:e>
              </m:d>
            </m:e>
            <m:sub>
              <m:r>
                <m:t>r</m:t>
              </m:r>
              <m:r>
                <m:rPr>
                  <m:sty m:val="p"/>
                </m:rPr>
                <m:t>=</m:t>
              </m:r>
              <m:r>
                <m:t>0</m:t>
              </m:r>
            </m:sub>
          </m:sSub>
          <m:r>
            <m:rPr>
              <m:sty m:val="p"/>
            </m:rPr>
            <m:t>=</m:t>
          </m:r>
          <m:r>
            <m:t>0</m:t>
          </m:r>
        </m:oMath>
      </m:oMathPara>
    </w:p>
    <w:p>
      <w:pPr>
        <w:pStyle w:val="FirstParagraph"/>
      </w:pPr>
      <w:r>
        <w:t xml:space="preserve">The unique regular analytical solution is given by the modified Bessel function of the first kind of order zero (</w:t>
      </w:r>
      <m:oMath>
        <m:sSub>
          <m:e>
            <m:r>
              <m:t>I</m:t>
            </m:r>
          </m:e>
          <m:sub>
            <m:r>
              <m:t>0</m:t>
            </m:r>
          </m:sub>
        </m:sSub>
      </m:oMath>
      <w:r>
        <w:t xml:space="preserve">):</w:t>
      </w:r>
    </w:p>
    <w:p>
      <w:pPr>
        <w:pStyle w:val="BodyText"/>
      </w:pPr>
      <m:oMathPara>
        <m:oMathParaPr>
          <m:jc m:val="center"/>
        </m:oMathParaPr>
        <m:oMath>
          <m:sSub>
            <m:e>
              <m:r>
                <m:t>C</m:t>
              </m:r>
            </m:e>
            <m:sub>
              <m:r>
                <m:rPr>
                  <m:nor/>
                  <m:sty m:val="p"/>
                </m:rPr>
                <m:t>in</m:t>
              </m:r>
            </m:sub>
          </m:sSub>
          <m:d>
            <m:dPr>
              <m:begChr m:val="("/>
              <m:endChr m:val=")"/>
              <m:sepChr m:val=""/>
              <m:grow/>
            </m:dPr>
            <m:e>
              <m:r>
                <m:t>r</m:t>
              </m:r>
            </m:e>
          </m:d>
          <m:r>
            <m:rPr>
              <m:sty m:val="p"/>
            </m:rPr>
            <m:t>=</m:t>
          </m:r>
          <m:sSub>
            <m:e>
              <m:r>
                <m:t>C</m:t>
              </m:r>
            </m:e>
            <m:sub>
              <m:r>
                <m:t>0</m:t>
              </m:r>
            </m:sub>
          </m:sSub>
          <m:f>
            <m:fPr>
              <m:type m:val="bar"/>
            </m:fPr>
            <m:num>
              <m:sSub>
                <m:e>
                  <m:r>
                    <m:t>I</m:t>
                  </m:r>
                </m:e>
                <m:sub>
                  <m:r>
                    <m:t>0</m:t>
                  </m:r>
                </m:sub>
              </m:sSub>
              <m:d>
                <m:dPr>
                  <m:begChr m:val="("/>
                  <m:endChr m:val=")"/>
                  <m:sepChr m:val=""/>
                  <m:grow/>
                </m:dPr>
                <m:e>
                  <m:r>
                    <m:t>r</m:t>
                  </m:r>
                  <m:r>
                    <m:rPr>
                      <m:sty m:val="p"/>
                    </m:rPr>
                    <m:t>/</m:t>
                  </m:r>
                  <m:r>
                    <m:t>λ</m:t>
                  </m:r>
                </m:e>
              </m:d>
            </m:num>
            <m:den>
              <m:sSub>
                <m:e>
                  <m:r>
                    <m:t>I</m:t>
                  </m:r>
                </m:e>
                <m:sub>
                  <m:r>
                    <m:t>0</m:t>
                  </m:r>
                </m:sub>
              </m:sSub>
              <m:d>
                <m:dPr>
                  <m:begChr m:val="("/>
                  <m:endChr m:val=")"/>
                  <m:sepChr m:val=""/>
                  <m:grow/>
                </m:dPr>
                <m:e>
                  <m:r>
                    <m:t>R</m:t>
                  </m:r>
                  <m:r>
                    <m:rPr>
                      <m:sty m:val="p"/>
                    </m:rPr>
                    <m:t>/</m:t>
                  </m:r>
                  <m:r>
                    <m:t>λ</m:t>
                  </m:r>
                </m:e>
              </m:d>
            </m:den>
          </m:f>
        </m:oMath>
      </m:oMathPara>
    </w:p>
    <w:p>
      <w:pPr>
        <w:pStyle w:val="FirstParagraph"/>
      </w:pPr>
      <w:r>
        <w:t xml:space="preserve">The minimum concentration occurs at the nest center (</w:t>
      </w:r>
      <m:oMath>
        <m:r>
          <m:t>r</m:t>
        </m:r>
        <m:r>
          <m:rPr>
            <m:sty m:val="p"/>
          </m:rPr>
          <m:t>=</m:t>
        </m:r>
        <m:r>
          <m:t>0</m:t>
        </m:r>
      </m:oMath>
      <w:r>
        <w:t xml:space="preserve">), where</w:t>
      </w:r>
      <w:r>
        <w:t xml:space="preserve"> </w:t>
      </w:r>
      <m:oMath>
        <m:sSub>
          <m:e>
            <m:r>
              <m:t>I</m:t>
            </m:r>
          </m:e>
          <m:sub>
            <m:r>
              <m:t>0</m:t>
            </m:r>
          </m:sub>
        </m:sSub>
        <m:d>
          <m:dPr>
            <m:begChr m:val="("/>
            <m:endChr m:val=")"/>
            <m:sepChr m:val=""/>
            <m:grow/>
          </m:dPr>
          <m:e>
            <m:r>
              <m:t>0</m:t>
            </m:r>
          </m:e>
        </m:d>
        <m:r>
          <m:rPr>
            <m:sty m:val="p"/>
          </m:rPr>
          <m:t>=</m:t>
        </m:r>
        <m:r>
          <m:t>1</m:t>
        </m:r>
      </m:oMath>
      <w:r>
        <w:t xml:space="preserve">:</w:t>
      </w:r>
    </w:p>
    <w:p>
      <w:pPr>
        <w:pStyle w:val="BodyText"/>
      </w:pPr>
      <m:oMathPara>
        <m:oMathParaPr>
          <m:jc m:val="center"/>
        </m:oMathParaPr>
        <m:oMath>
          <m:f>
            <m:fPr>
              <m:type m:val="bar"/>
            </m:fPr>
            <m:num>
              <m:sSub>
                <m:e>
                  <m:r>
                    <m:t>C</m:t>
                  </m:r>
                </m:e>
                <m:sub>
                  <m:r>
                    <m:rPr>
                      <m:nor/>
                      <m:sty m:val="p"/>
                    </m:rPr>
                    <m:t>in</m:t>
                  </m:r>
                </m:sub>
              </m:sSub>
              <m:d>
                <m:dPr>
                  <m:begChr m:val="("/>
                  <m:endChr m:val=")"/>
                  <m:sepChr m:val=""/>
                  <m:grow/>
                </m:dPr>
                <m:e>
                  <m:r>
                    <m:t>0</m:t>
                  </m:r>
                </m:e>
              </m:d>
            </m:num>
            <m:den>
              <m:sSub>
                <m:e>
                  <m:r>
                    <m:t>C</m:t>
                  </m:r>
                </m:e>
                <m:sub>
                  <m:r>
                    <m:t>0</m:t>
                  </m:r>
                </m:sub>
              </m:sSub>
            </m:den>
          </m:f>
          <m:r>
            <m:rPr>
              <m:sty m:val="p"/>
            </m:rPr>
            <m:t>=</m:t>
          </m:r>
          <m:f>
            <m:fPr>
              <m:type m:val="bar"/>
            </m:fPr>
            <m:num>
              <m:r>
                <m:t>1</m:t>
              </m:r>
            </m:num>
            <m:den>
              <m:sSub>
                <m:e>
                  <m:r>
                    <m:t>I</m:t>
                  </m:r>
                </m:e>
                <m:sub>
                  <m:r>
                    <m:t>0</m:t>
                  </m:r>
                </m:sub>
              </m:sSub>
              <m:d>
                <m:dPr>
                  <m:begChr m:val="("/>
                  <m:endChr m:val=")"/>
                  <m:sepChr m:val=""/>
                  <m:grow/>
                </m:dPr>
                <m:e>
                  <m:r>
                    <m:t>R</m:t>
                  </m:r>
                  <m:r>
                    <m:rPr>
                      <m:sty m:val="p"/>
                    </m:rPr>
                    <m:t>/</m:t>
                  </m:r>
                  <m:r>
                    <m:t>λ</m:t>
                  </m:r>
                </m:e>
              </m:d>
            </m:den>
          </m:f>
        </m:oMath>
      </m:oMathPara>
    </w:p>
    <w:bookmarkEnd w:id="24"/>
    <w:bookmarkStart w:id="25" w:name="Xeb57466bba0eaabf30cf7898f0ae3e852070d88"/>
    <w:p>
      <w:pPr>
        <w:pStyle w:val="Heading4"/>
      </w:pPr>
      <w:r>
        <w:t xml:space="preserve">Oxygen Transport and Cord Viability Boundaries</w:t>
      </w:r>
    </w:p>
    <w:p>
      <w:pPr>
        <w:pStyle w:val="FirstParagraph"/>
      </w:pPr>
      <w:r>
        <w:t xml:space="preserve">Thomlinson &amp; Gray (1955) [4] demonstrated that tumor cords surrounding central blood vessels are bounded by an outer zone of necrosis caused by oxygen consumption. With oxygen diffusivity</w:t>
      </w:r>
      <w:r>
        <w:t xml:space="preserve"> </w:t>
      </w:r>
      <m:oMath>
        <m:sSub>
          <m:e>
            <m:r>
              <m:t>D</m:t>
            </m:r>
          </m:e>
          <m:sub>
            <m:r>
              <m:rPr>
                <m:nor/>
                <m:sty m:val="p"/>
              </m:rPr>
              <m:t>ox</m:t>
            </m:r>
          </m:sub>
        </m:sSub>
        <m:r>
          <m:rPr>
            <m:sty m:val="p"/>
          </m:rPr>
          <m:t>≈</m:t>
        </m:r>
        <m:r>
          <m:t>2.0</m:t>
        </m:r>
        <m:r>
          <m:rPr>
            <m:sty m:val="p"/>
          </m:rPr>
          <m:t>×</m:t>
        </m:r>
        <m:sSup>
          <m:e>
            <m:r>
              <m:t>10</m:t>
            </m:r>
          </m:e>
          <m:sup>
            <m:r>
              <m:rPr>
                <m:sty m:val="p"/>
              </m:rPr>
              <m:t>−</m:t>
            </m:r>
            <m:r>
              <m:t>5</m:t>
            </m:r>
          </m:sup>
        </m:sSup>
        <m:r>
          <m:t> </m:t>
        </m:r>
        <m:sSup>
          <m:e>
            <m:r>
              <m:rPr>
                <m:nor/>
                <m:sty m:val="p"/>
              </m:rPr>
              <m:t>cm</m:t>
            </m:r>
          </m:e>
          <m:sup>
            <m:r>
              <m:t>2</m:t>
            </m:r>
          </m:sup>
        </m:sSup>
        <m:r>
          <m:rPr>
            <m:sty m:val="p"/>
          </m:rPr>
          <m:t>/</m:t>
        </m:r>
        <m:r>
          <m:rPr>
            <m:nor/>
            <m:sty m:val="p"/>
          </m:rPr>
          <m:t>s</m:t>
        </m:r>
      </m:oMath>
      <w:r>
        <w:t xml:space="preserve"> </w:t>
      </w:r>
      <w:r>
        <w:t xml:space="preserve">and constant volumetric consumption</w:t>
      </w:r>
      <w:r>
        <w:t xml:space="preserve"> </w:t>
      </w:r>
      <m:oMath>
        <m:sSub>
          <m:e>
            <m:r>
              <m:t>M</m:t>
            </m:r>
          </m:e>
          <m:sub>
            <m:r>
              <m:rPr>
                <m:nor/>
                <m:sty m:val="p"/>
              </m:rPr>
              <m:t>ox</m:t>
            </m:r>
          </m:sub>
        </m:sSub>
        <m:r>
          <m:rPr>
            <m:sty m:val="p"/>
          </m:rPr>
          <m:t>≈</m:t>
        </m:r>
        <m:r>
          <m:t>1.5</m:t>
        </m:r>
        <m:r>
          <m:rPr>
            <m:sty m:val="p"/>
          </m:rPr>
          <m:t>×</m:t>
        </m:r>
        <m:sSup>
          <m:e>
            <m:r>
              <m:t>10</m:t>
            </m:r>
          </m:e>
          <m:sup>
            <m:r>
              <m:rPr>
                <m:sty m:val="p"/>
              </m:rPr>
              <m:t>−</m:t>
            </m:r>
            <m:r>
              <m:t>7</m:t>
            </m:r>
          </m:sup>
        </m:sSup>
        <m:r>
          <m:t> </m:t>
        </m:r>
        <m:r>
          <m:rPr>
            <m:nor/>
            <m:sty m:val="p"/>
          </m:rPr>
          <m:t>mol</m:t>
        </m:r>
        <m:r>
          <m:rPr>
            <m:sty m:val="p"/>
          </m:rPr>
          <m:t>/</m:t>
        </m:r>
        <m:d>
          <m:dPr>
            <m:begChr m:val="("/>
            <m:endChr m:val=")"/>
            <m:sepChr m:val=""/>
            <m:grow/>
          </m:dPr>
          <m:e>
            <m:sSup>
              <m:e>
                <m:r>
                  <m:rPr>
                    <m:nor/>
                    <m:sty m:val="p"/>
                  </m:rPr>
                  <m:t>cm</m:t>
                </m:r>
              </m:e>
              <m:sup>
                <m:r>
                  <m:t>3</m:t>
                </m:r>
              </m:sup>
            </m:sSup>
            <m:r>
              <m:rPr>
                <m:sty m:val="p"/>
              </m:rPr>
              <m:t>⋅</m:t>
            </m:r>
            <m:r>
              <m:rPr>
                <m:nor/>
                <m:sty m:val="p"/>
              </m:rPr>
              <m:t>s</m:t>
            </m:r>
          </m:e>
        </m:d>
      </m:oMath>
      <w:r>
        <w:t xml:space="preserve">, zero-order diffusion in a Krogh cylinder yields:</w:t>
      </w:r>
    </w:p>
    <w:p>
      <w:pPr>
        <w:pStyle w:val="BodyText"/>
      </w:pPr>
      <m:oMathPara>
        <m:oMathParaPr>
          <m:jc m:val="center"/>
        </m:oMathParaPr>
        <m:oMath>
          <m:sSub>
            <m:e>
              <m:r>
                <m:t>C</m:t>
              </m:r>
            </m:e>
            <m:sub>
              <m:r>
                <m:rPr>
                  <m:nor/>
                  <m:sty m:val="p"/>
                </m:rPr>
                <m:t>ox</m:t>
              </m:r>
            </m:sub>
          </m:sSub>
          <m:d>
            <m:dPr>
              <m:begChr m:val="("/>
              <m:endChr m:val=")"/>
              <m:sepChr m:val=""/>
              <m:grow/>
            </m:dPr>
            <m:e>
              <m:r>
                <m:t>r</m:t>
              </m:r>
            </m:e>
          </m:d>
          <m:r>
            <m:rPr>
              <m:sty m:val="p"/>
            </m:rPr>
            <m:t>=</m:t>
          </m:r>
          <m:sSub>
            <m:e>
              <m:r>
                <m:t>C</m:t>
              </m:r>
            </m:e>
            <m:sub>
              <m:r>
                <m:rPr>
                  <m:nor/>
                  <m:sty m:val="p"/>
                </m:rPr>
                <m:t>ox</m:t>
              </m:r>
            </m:sub>
          </m:sSub>
          <m:d>
            <m:dPr>
              <m:begChr m:val="("/>
              <m:endChr m:val=")"/>
              <m:sepChr m:val=""/>
              <m:grow/>
            </m:dPr>
            <m:e>
              <m:sSub>
                <m:e>
                  <m:r>
                    <m:t>r</m:t>
                  </m:r>
                </m:e>
                <m:sub>
                  <m:r>
                    <m:t>0</m:t>
                  </m:r>
                </m:sub>
              </m:sSub>
            </m:e>
          </m:d>
          <m:r>
            <m:rPr>
              <m:sty m:val="p"/>
            </m:rPr>
            <m:t>−</m:t>
          </m:r>
          <m:f>
            <m:fPr>
              <m:type m:val="bar"/>
            </m:fPr>
            <m:num>
              <m:sSub>
                <m:e>
                  <m:r>
                    <m:t>M</m:t>
                  </m:r>
                </m:e>
                <m:sub>
                  <m:r>
                    <m:rPr>
                      <m:nor/>
                      <m:sty m:val="p"/>
                    </m:rPr>
                    <m:t>ox</m:t>
                  </m:r>
                </m:sub>
              </m:sSub>
            </m:num>
            <m:den>
              <m:r>
                <m:t>4</m:t>
              </m:r>
              <m:sSub>
                <m:e>
                  <m:r>
                    <m:t>D</m:t>
                  </m:r>
                </m:e>
                <m:sub>
                  <m:r>
                    <m:rPr>
                      <m:nor/>
                      <m:sty m:val="p"/>
                    </m:rPr>
                    <m:t>ox</m:t>
                  </m:r>
                </m:sub>
              </m:sSub>
            </m:den>
          </m:f>
          <m:d>
            <m:dPr>
              <m:begChr m:val="("/>
              <m:endChr m:val=")"/>
              <m:sepChr m:val=""/>
              <m:grow/>
            </m:dPr>
            <m:e>
              <m:sSup>
                <m:e>
                  <m:r>
                    <m:t>r</m:t>
                  </m:r>
                </m:e>
                <m:sup>
                  <m:r>
                    <m:t>2</m:t>
                  </m:r>
                </m:sup>
              </m:sSup>
              <m:r>
                <m:rPr>
                  <m:sty m:val="p"/>
                </m:rPr>
                <m:t>−</m:t>
              </m:r>
              <m:sSubSup>
                <m:e>
                  <m:r>
                    <m:t>r</m:t>
                  </m:r>
                </m:e>
                <m:sub>
                  <m:r>
                    <m:t>0</m:t>
                  </m:r>
                </m:sub>
                <m:sup>
                  <m:r>
                    <m:t>2</m:t>
                  </m:r>
                </m:sup>
              </m:sSubSup>
            </m:e>
          </m:d>
          <m:r>
            <m:rPr>
              <m:sty m:val="p"/>
            </m:rPr>
            <m:t>+</m:t>
          </m:r>
          <m:f>
            <m:fPr>
              <m:type m:val="bar"/>
            </m:fPr>
            <m:num>
              <m:sSub>
                <m:e>
                  <m:r>
                    <m:t>M</m:t>
                  </m:r>
                </m:e>
                <m:sub>
                  <m:r>
                    <m:rPr>
                      <m:nor/>
                      <m:sty m:val="p"/>
                    </m:rPr>
                    <m:t>ox</m:t>
                  </m:r>
                </m:sub>
              </m:sSub>
              <m:sSubSup>
                <m:e>
                  <m:r>
                    <m:t>r</m:t>
                  </m:r>
                </m:e>
                <m:sub>
                  <m:r>
                    <m:rPr>
                      <m:nor/>
                      <m:sty m:val="p"/>
                    </m:rPr>
                    <m:t>cord</m:t>
                  </m:r>
                </m:sub>
                <m:sup>
                  <m:r>
                    <m:t>2</m:t>
                  </m:r>
                </m:sup>
              </m:sSubSup>
            </m:num>
            <m:den>
              <m:r>
                <m:t>2</m:t>
              </m:r>
              <m:sSub>
                <m:e>
                  <m:r>
                    <m:t>D</m:t>
                  </m:r>
                </m:e>
                <m:sub>
                  <m:r>
                    <m:rPr>
                      <m:nor/>
                      <m:sty m:val="p"/>
                    </m:rPr>
                    <m:t>ox</m:t>
                  </m:r>
                </m:sub>
              </m:sSub>
            </m:den>
          </m:f>
          <m:r>
            <m:rPr>
              <m:sty m:val="p"/>
            </m:rPr>
            <m:t>ln</m:t>
          </m:r>
          <m:d>
            <m:dPr>
              <m:begChr m:val="("/>
              <m:endChr m:val=")"/>
              <m:sepChr m:val=""/>
              <m:grow/>
            </m:dPr>
            <m:e>
              <m:f>
                <m:fPr>
                  <m:type m:val="bar"/>
                </m:fPr>
                <m:num>
                  <m:r>
                    <m:t>r</m:t>
                  </m:r>
                </m:num>
                <m:den>
                  <m:sSub>
                    <m:e>
                      <m:r>
                        <m:t>r</m:t>
                      </m:r>
                    </m:e>
                    <m:sub>
                      <m:r>
                        <m:t>0</m:t>
                      </m:r>
                    </m:sub>
                  </m:sSub>
                </m:den>
              </m:f>
            </m:e>
          </m:d>
        </m:oMath>
      </m:oMathPara>
    </w:p>
    <w:p>
      <w:pPr>
        <w:pStyle w:val="FirstParagraph"/>
      </w:pPr>
      <w:r>
        <w:t xml:space="preserve">Setting the zero-flux boundary condition</w:t>
      </w:r>
      <w:r>
        <w:t xml:space="preserve"> </w:t>
      </w:r>
      <m:oMath>
        <m:r>
          <m:t>d</m:t>
        </m:r>
        <m:sSub>
          <m:e>
            <m:r>
              <m:t>C</m:t>
            </m:r>
          </m:e>
          <m:sub>
            <m:r>
              <m:rPr>
                <m:nor/>
                <m:sty m:val="p"/>
              </m:rPr>
              <m:t>ox</m:t>
            </m:r>
          </m:sub>
        </m:sSub>
        <m:r>
          <m:rPr>
            <m:sty m:val="p"/>
          </m:rPr>
          <m:t>/</m:t>
        </m:r>
        <m:r>
          <m:t>d</m:t>
        </m:r>
        <m:r>
          <m:t>r</m:t>
        </m:r>
        <m:r>
          <m:rPr>
            <m:sty m:val="p"/>
          </m:rPr>
          <m:t>=</m:t>
        </m:r>
        <m:r>
          <m:t>0</m:t>
        </m:r>
      </m:oMath>
      <w:r>
        <w:t xml:space="preserve"> </w:t>
      </w:r>
      <w:r>
        <w:t xml:space="preserve">at the cord radius</w:t>
      </w:r>
      <w:r>
        <w:t xml:space="preserve"> </w:t>
      </w:r>
      <m:oMath>
        <m:sSub>
          <m:e>
            <m:r>
              <m:t>r</m:t>
            </m:r>
          </m:e>
          <m:sub>
            <m:r>
              <m:rPr>
                <m:nor/>
                <m:sty m:val="p"/>
              </m:rPr>
              <m:t>cord</m:t>
            </m:r>
          </m:sub>
        </m:sSub>
      </m:oMath>
      <w:r>
        <w:t xml:space="preserve"> </w:t>
      </w:r>
      <w:r>
        <w:t xml:space="preserve">gives the physiological limit of tissue oxygenation, established empirically and theoretically at</w:t>
      </w:r>
      <w:r>
        <w:t xml:space="preserve"> </w:t>
      </w:r>
      <m:oMath>
        <m:sSub>
          <m:e>
            <m:r>
              <m:t>r</m:t>
            </m:r>
          </m:e>
          <m:sub>
            <m:r>
              <m:rPr>
                <m:nor/>
                <m:sty m:val="p"/>
              </m:rPr>
              <m:t>ox</m:t>
            </m:r>
          </m:sub>
        </m:sSub>
        <m:r>
          <m:rPr>
            <m:sty m:val="p"/>
          </m:rPr>
          <m:t>≈</m:t>
        </m:r>
        <m:r>
          <m:t>180</m:t>
        </m:r>
        <m:r>
          <m:rPr>
            <m:nor/>
            <m:sty m:val="p"/>
          </m:rPr>
          <m:t>–</m:t>
        </m:r>
        <m:r>
          <m:t>200</m:t>
        </m:r>
        <m:r>
          <m:t> </m:t>
        </m:r>
        <m:r>
          <m:t>μ</m:t>
        </m:r>
        <m:r>
          <m:rPr>
            <m:nor/>
            <m:sty m:val="p"/>
          </m:rPr>
          <m:t>m</m:t>
        </m:r>
      </m:oMath>
      <w:r>
        <w:t xml:space="preserve"> </w:t>
      </w:r>
      <w:r>
        <w:t xml:space="preserve">(Thomlinson &amp; Gray [4]; Hirst et al. [14]; Worth et al. [13]). Beyond</w:t>
      </w:r>
      <w:r>
        <w:t xml:space="preserve"> </w:t>
      </w:r>
      <m:oMath>
        <m:sSub>
          <m:e>
            <m:r>
              <m:t>r</m:t>
            </m:r>
          </m:e>
          <m:sub>
            <m:r>
              <m:rPr>
                <m:nor/>
                <m:sty m:val="p"/>
              </m:rPr>
              <m:t>ox</m:t>
            </m:r>
          </m:sub>
        </m:sSub>
      </m:oMath>
      <w:r>
        <w:t xml:space="preserve">, anoxia precipitates coagulative necrosis.</w:t>
      </w:r>
    </w:p>
    <w:p>
      <w:pPr>
        <w:pStyle w:val="BodyText"/>
      </w:pPr>
      <w:r>
        <w:t xml:space="preserve">In inward avascular nests, oxygen diffuses inward from the periphery</w:t>
      </w:r>
      <w:r>
        <w:t xml:space="preserve"> </w:t>
      </w:r>
      <m:oMath>
        <m:r>
          <m:t>r</m:t>
        </m:r>
        <m:r>
          <m:rPr>
            <m:sty m:val="p"/>
          </m:rPr>
          <m:t>=</m:t>
        </m:r>
        <m:r>
          <m:t>R</m:t>
        </m:r>
      </m:oMath>
      <w:r>
        <w:t xml:space="preserve">. Setting</w:t>
      </w:r>
      <w:r>
        <w:t xml:space="preserve"> </w:t>
      </w:r>
      <m:oMath>
        <m:sSub>
          <m:e>
            <m:r>
              <m:t>C</m:t>
            </m:r>
          </m:e>
          <m:sub>
            <m:r>
              <m:rPr>
                <m:nor/>
                <m:sty m:val="p"/>
              </m:rPr>
              <m:t>ox</m:t>
            </m:r>
          </m:sub>
        </m:sSub>
        <m:d>
          <m:dPr>
            <m:begChr m:val="("/>
            <m:endChr m:val=")"/>
            <m:sepChr m:val=""/>
            <m:grow/>
          </m:dPr>
          <m:e>
            <m:r>
              <m:t>r</m:t>
            </m:r>
          </m:e>
        </m:d>
        <m:r>
          <m:rPr>
            <m:sty m:val="p"/>
          </m:rPr>
          <m:t>=</m:t>
        </m:r>
        <m:r>
          <m:t>0</m:t>
        </m:r>
      </m:oMath>
      <w:r>
        <w:t xml:space="preserve"> </w:t>
      </w:r>
      <w:r>
        <w:t xml:space="preserve">at the core gives a critical necrosis threshold of</w:t>
      </w:r>
      <w:r>
        <w:t xml:space="preserve"> </w:t>
      </w:r>
      <m:oMath>
        <m:sSub>
          <m:e>
            <m:r>
              <m:t>R</m:t>
            </m:r>
          </m:e>
          <m:sub>
            <m:r>
              <m:rPr>
                <m:nor/>
                <m:sty m:val="p"/>
              </m:rPr>
              <m:t>crit,ox</m:t>
            </m:r>
          </m:sub>
        </m:sSub>
        <m:r>
          <m:rPr>
            <m:sty m:val="p"/>
          </m:rPr>
          <m:t>≈</m:t>
        </m:r>
        <m:rad>
          <m:radPr>
            <m:degHide m:val="on"/>
          </m:radPr>
          <m:deg/>
          <m:e>
            <m:r>
              <m:t>4</m:t>
            </m:r>
            <m:sSub>
              <m:e>
                <m:r>
                  <m:t>D</m:t>
                </m:r>
              </m:e>
              <m:sub>
                <m:r>
                  <m:rPr>
                    <m:nor/>
                    <m:sty m:val="p"/>
                  </m:rPr>
                  <m:t>ox</m:t>
                </m:r>
              </m:sub>
            </m:sSub>
            <m:sSub>
              <m:e>
                <m:r>
                  <m:t>C</m:t>
                </m:r>
              </m:e>
              <m:sub>
                <m:r>
                  <m:rPr>
                    <m:nor/>
                    <m:sty m:val="p"/>
                  </m:rPr>
                  <m:t>ox,0</m:t>
                </m:r>
              </m:sub>
            </m:sSub>
            <m:r>
              <m:rPr>
                <m:sty m:val="p"/>
              </m:rPr>
              <m:t>/</m:t>
            </m:r>
            <m:sSub>
              <m:e>
                <m:r>
                  <m:t>M</m:t>
                </m:r>
              </m:e>
              <m:sub>
                <m:r>
                  <m:rPr>
                    <m:nor/>
                    <m:sty m:val="p"/>
                  </m:rPr>
                  <m:t>ox</m:t>
                </m:r>
              </m:sub>
            </m:sSub>
          </m:e>
        </m:rad>
        <m:r>
          <m:rPr>
            <m:sty m:val="p"/>
          </m:rPr>
          <m:t>≈</m:t>
        </m:r>
        <m:r>
          <m:t>140</m:t>
        </m:r>
        <m:r>
          <m:rPr>
            <m:nor/>
            <m:sty m:val="p"/>
          </m:rPr>
          <m:t>–</m:t>
        </m:r>
        <m:r>
          <m:t>160</m:t>
        </m:r>
        <m:r>
          <m:t> </m:t>
        </m:r>
        <m:r>
          <m:t>μ</m:t>
        </m:r>
        <m:r>
          <m:rPr>
            <m:nor/>
            <m:sty m:val="p"/>
          </m:rPr>
          <m:t>m</m:t>
        </m:r>
      </m:oMath>
      <w:r>
        <w:t xml:space="preserve">. Any avascular nest with radius</w:t>
      </w:r>
      <w:r>
        <w:t xml:space="preserve"> </w:t>
      </w:r>
      <m:oMath>
        <m:r>
          <m:t>R</m:t>
        </m:r>
        <m:r>
          <m:rPr>
            <m:sty m:val="p"/>
          </m:rPr>
          <m:t>&gt;</m:t>
        </m:r>
        <m:r>
          <m:t>160</m:t>
        </m:r>
        <m:r>
          <m:t> </m:t>
        </m:r>
        <m:r>
          <m:t>μ</m:t>
        </m:r>
        <m:r>
          <m:rPr>
            <m:nor/>
            <m:sty m:val="p"/>
          </m:rPr>
          <m:t>m</m:t>
        </m:r>
      </m:oMath>
      <w:r>
        <w:t xml:space="preserve"> </w:t>
      </w:r>
      <w:r>
        <w:t xml:space="preserve">inevitably develops central ischemic necrosis.</w:t>
      </w:r>
    </w:p>
    <w:bookmarkEnd w:id="25"/>
    <w:bookmarkEnd w:id="26"/>
    <w:bookmarkStart w:id="29" w:name="X55ee0b71b10e64fb24d3700bbfdc68718f16e4c"/>
    <w:p>
      <w:pPr>
        <w:pStyle w:val="Heading3"/>
      </w:pPr>
      <w:r>
        <w:t xml:space="preserve">2.2 Baseline Biophysical Parameters &amp; Sanctuary Shell Geometry</w:t>
      </w:r>
    </w:p>
    <w:p>
      <w:pPr>
        <w:pStyle w:val="FirstParagraph"/>
      </w:pPr>
      <w:r>
        <w:t xml:space="preserve">For osimertinib (molecular weight 500 Da), experimental tissue diffusivity is</w:t>
      </w:r>
      <w:r>
        <w:t xml:space="preserve"> </w:t>
      </w:r>
      <m:oMath>
        <m:r>
          <m:t>D</m:t>
        </m:r>
        <m:r>
          <m:rPr>
            <m:sty m:val="p"/>
          </m:rPr>
          <m:t>=</m:t>
        </m:r>
        <m:r>
          <m:t>1.3</m:t>
        </m:r>
        <m:r>
          <m:rPr>
            <m:sty m:val="p"/>
          </m:rPr>
          <m:t>×</m:t>
        </m:r>
        <m:sSup>
          <m:e>
            <m:r>
              <m:t>10</m:t>
            </m:r>
          </m:e>
          <m:sup>
            <m:r>
              <m:rPr>
                <m:sty m:val="p"/>
              </m:rPr>
              <m:t>−</m:t>
            </m:r>
            <m:r>
              <m:t>6</m:t>
            </m:r>
          </m:sup>
        </m:sSup>
        <m:r>
          <m:t> </m:t>
        </m:r>
        <m:sSup>
          <m:e>
            <m:r>
              <m:rPr>
                <m:nor/>
                <m:sty m:val="p"/>
              </m:rPr>
              <m:t>cm</m:t>
            </m:r>
          </m:e>
          <m:sup>
            <m:r>
              <m:t>2</m:t>
            </m:r>
          </m:sup>
        </m:sSup>
        <m:r>
          <m:rPr>
            <m:sty m:val="p"/>
          </m:rPr>
          <m:t>/</m:t>
        </m:r>
        <m:r>
          <m:rPr>
            <m:nor/>
            <m:sty m:val="p"/>
          </m:rPr>
          <m:t>s</m:t>
        </m:r>
      </m:oMath>
      <w:r>
        <w:t xml:space="preserve"> </w:t>
      </w:r>
      <w:r>
        <w:t xml:space="preserve">and cellular uptake rate constant is</w:t>
      </w:r>
      <w:r>
        <w:t xml:space="preserve"> </w:t>
      </w:r>
      <m:oMath>
        <m:r>
          <m:t>k</m:t>
        </m:r>
        <m:r>
          <m:rPr>
            <m:sty m:val="p"/>
          </m:rPr>
          <m:t>=</m:t>
        </m:r>
        <m:r>
          <m:t>3.3</m:t>
        </m:r>
        <m:r>
          <m:rPr>
            <m:sty m:val="p"/>
          </m:rPr>
          <m:t>×</m:t>
        </m:r>
        <m:sSup>
          <m:e>
            <m:r>
              <m:t>10</m:t>
            </m:r>
          </m:e>
          <m:sup>
            <m:r>
              <m:rPr>
                <m:sty m:val="p"/>
              </m:rPr>
              <m:t>−</m:t>
            </m:r>
            <m:r>
              <m:t>4</m:t>
            </m:r>
          </m:sup>
        </m:sSup>
        <m:r>
          <m:t> </m:t>
        </m:r>
        <m:sSup>
          <m:e>
            <m:r>
              <m:rPr>
                <m:nor/>
                <m:sty m:val="p"/>
              </m:rPr>
              <m:t>s</m:t>
            </m:r>
          </m:e>
          <m:sup>
            <m:r>
              <m:rPr>
                <m:sty m:val="p"/>
              </m:rPr>
              <m:t>−</m:t>
            </m:r>
            <m:r>
              <m:t>1</m:t>
            </m:r>
          </m:sup>
        </m:sSup>
      </m:oMath>
      <w:r>
        <w:t xml:space="preserve"> </w:t>
      </w:r>
      <w:r>
        <w:t xml:space="preserve">(Cross et al. [5]), yielding:</w:t>
      </w:r>
    </w:p>
    <w:p>
      <w:pPr>
        <w:pStyle w:val="BodyText"/>
      </w:pPr>
      <m:oMathPara>
        <m:oMathParaPr>
          <m:jc m:val="center"/>
        </m:oMathParaPr>
        <m:oMath>
          <m:r>
            <m:t>λ</m:t>
          </m:r>
          <m:r>
            <m:rPr>
              <m:sty m:val="p"/>
            </m:rPr>
            <m:t>=</m:t>
          </m:r>
          <m:rad>
            <m:radPr>
              <m:degHide m:val="on"/>
            </m:radPr>
            <m:deg/>
            <m:e>
              <m:f>
                <m:fPr>
                  <m:type m:val="bar"/>
                </m:fPr>
                <m:num>
                  <m:r>
                    <m:t>1.3</m:t>
                  </m:r>
                  <m:r>
                    <m:rPr>
                      <m:sty m:val="p"/>
                    </m:rPr>
                    <m:t>×</m:t>
                  </m:r>
                  <m:sSup>
                    <m:e>
                      <m:r>
                        <m:t>10</m:t>
                      </m:r>
                    </m:e>
                    <m:sup>
                      <m:r>
                        <m:rPr>
                          <m:sty m:val="p"/>
                        </m:rPr>
                        <m:t>−</m:t>
                      </m:r>
                      <m:r>
                        <m:t>6</m:t>
                      </m:r>
                    </m:sup>
                  </m:sSup>
                </m:num>
                <m:den>
                  <m:r>
                    <m:t>3.3</m:t>
                  </m:r>
                  <m:r>
                    <m:rPr>
                      <m:sty m:val="p"/>
                    </m:rPr>
                    <m:t>×</m:t>
                  </m:r>
                  <m:sSup>
                    <m:e>
                      <m:r>
                        <m:t>10</m:t>
                      </m:r>
                    </m:e>
                    <m:sup>
                      <m:r>
                        <m:rPr>
                          <m:sty m:val="p"/>
                        </m:rPr>
                        <m:t>−</m:t>
                      </m:r>
                      <m:r>
                        <m:t>4</m:t>
                      </m:r>
                    </m:sup>
                  </m:sSup>
                </m:den>
              </m:f>
            </m:e>
          </m:rad>
          <m:r>
            <m:rPr>
              <m:sty m:val="p"/>
            </m:rPr>
            <m:t>=</m:t>
          </m:r>
          <m:r>
            <m:t>0.06276</m:t>
          </m:r>
          <m:r>
            <m:t> </m:t>
          </m:r>
          <m:r>
            <m:rPr>
              <m:nor/>
              <m:sty m:val="p"/>
            </m:rPr>
            <m:t>cm</m:t>
          </m:r>
          <m:r>
            <m:rPr>
              <m:sty m:val="p"/>
            </m:rPr>
            <m:t>=</m:t>
          </m:r>
          <m:r>
            <m:t>627.6</m:t>
          </m:r>
          <m:r>
            <m:t> </m:t>
          </m:r>
          <m:r>
            <m:t>μ</m:t>
          </m:r>
          <m:r>
            <m:rPr>
              <m:nor/>
              <m:sty m:val="p"/>
            </m:rPr>
            <m:t>m</m:t>
          </m:r>
        </m:oMath>
      </m:oMathPara>
    </w:p>
    <w:p>
      <w:pPr>
        <w:pStyle w:val="FirstParagraph"/>
      </w:pPr>
      <w:r>
        <w:t xml:space="preserve">With</w:t>
      </w:r>
      <w:r>
        <w:t xml:space="preserve"> </w:t>
      </w:r>
      <m:oMath>
        <m:sSub>
          <m:e>
            <m:r>
              <m:t>r</m:t>
            </m:r>
          </m:e>
          <m:sub>
            <m:r>
              <m:t>0</m:t>
            </m:r>
          </m:sub>
        </m:sSub>
        <m:r>
          <m:rPr>
            <m:sty m:val="p"/>
          </m:rPr>
          <m:t>=</m:t>
        </m:r>
        <m:r>
          <m:t>10</m:t>
        </m:r>
        <m:r>
          <m:t> </m:t>
        </m:r>
        <m:r>
          <m:t>μ</m:t>
        </m:r>
        <m:r>
          <m:rPr>
            <m:nor/>
            <m:sty m:val="p"/>
          </m:rPr>
          <m:t>m</m:t>
        </m:r>
      </m:oMath>
      <w:r>
        <w:t xml:space="preserve"> </w:t>
      </w:r>
      <w:r>
        <w:t xml:space="preserve">and</w:t>
      </w:r>
      <w:r>
        <w:t xml:space="preserve"> </w:t>
      </w:r>
      <m:oMath>
        <m:r>
          <m:t>θ</m:t>
        </m:r>
        <m:r>
          <m:rPr>
            <m:sty m:val="p"/>
          </m:rPr>
          <m:t>=</m:t>
        </m:r>
        <m:r>
          <m:t>0.35</m:t>
        </m:r>
      </m:oMath>
      <w:r>
        <w:t xml:space="preserve">, numerical root finding yields:</w:t>
      </w:r>
    </w:p>
    <w:p>
      <w:pPr>
        <w:pStyle w:val="BodyText"/>
      </w:pPr>
      <m:oMathPara>
        <m:oMathParaPr>
          <m:jc m:val="center"/>
        </m:oMathParaPr>
        <m:oMath>
          <m:sSub>
            <m:e>
              <m:r>
                <m:t>r</m:t>
              </m:r>
            </m:e>
            <m:sub>
              <m:r>
                <m:rPr>
                  <m:nor/>
                  <m:sty m:val="p"/>
                </m:rPr>
                <m:t>crit</m:t>
              </m:r>
            </m:sub>
          </m:sSub>
          <m:r>
            <m:rPr>
              <m:sty m:val="p"/>
            </m:rPr>
            <m:t>=</m:t>
          </m:r>
          <m:r>
            <m:t>165.9</m:t>
          </m:r>
          <m:r>
            <m:t> </m:t>
          </m:r>
          <m:r>
            <m:t>μ</m:t>
          </m:r>
          <m:r>
            <m:rPr>
              <m:nor/>
              <m:sty m:val="p"/>
            </m:rPr>
            <m:t>m</m:t>
          </m:r>
        </m:oMath>
      </m:oMathPara>
    </w:p>
    <w:p>
      <w:pPr>
        <w:pStyle w:val="FirstParagraph"/>
      </w:pPr>
      <w:r>
        <w:t xml:space="preserve">Because viable oxygenated tissue extends to</w:t>
      </w:r>
      <w:r>
        <w:t xml:space="preserve"> </w:t>
      </w:r>
      <m:oMath>
        <m:sSub>
          <m:e>
            <m:r>
              <m:t>r</m:t>
            </m:r>
          </m:e>
          <m:sub>
            <m:r>
              <m:rPr>
                <m:nor/>
                <m:sty m:val="p"/>
              </m:rPr>
              <m:t>ox</m:t>
            </m:r>
          </m:sub>
        </m:sSub>
      </m:oMath>
      <w:r>
        <w:t xml:space="preserve">, a perivascular pharmacological sanctuary shell exists over the interval</w:t>
      </w:r>
      <w:r>
        <w:t xml:space="preserve"> </w:t>
      </w:r>
      <m:oMath>
        <m:r>
          <m:t>r</m:t>
        </m:r>
        <m:r>
          <m:rPr>
            <m:sty m:val="p"/>
          </m:rPr>
          <m:t>∈</m:t>
        </m:r>
        <m:d>
          <m:dPr>
            <m:begChr m:val="["/>
            <m:endChr m:val="]"/>
            <m:sepChr m:val=""/>
            <m:grow/>
          </m:dPr>
          <m:e>
            <m:sSub>
              <m:e>
                <m:r>
                  <m:t>r</m:t>
                </m:r>
              </m:e>
              <m:sub>
                <m:r>
                  <m:rPr>
                    <m:nor/>
                    <m:sty m:val="p"/>
                  </m:rPr>
                  <m:t>crit</m:t>
                </m:r>
              </m:sub>
            </m:sSub>
            <m:r>
              <m:rPr>
                <m:sty m:val="p"/>
              </m:rPr>
              <m:t>,</m:t>
            </m:r>
            <m:sSub>
              <m:e>
                <m:r>
                  <m:t>r</m:t>
                </m:r>
              </m:e>
              <m:sub>
                <m:r>
                  <m:rPr>
                    <m:nor/>
                    <m:sty m:val="p"/>
                  </m:rPr>
                  <m:t>ox</m:t>
                </m:r>
              </m:sub>
            </m:sSub>
          </m:e>
        </m:d>
      </m:oMath>
      <w:r>
        <w:t xml:space="preserve">:</w:t>
      </w:r>
      <w:r>
        <w:t xml:space="preserve"> </w:t>
      </w:r>
      <w:r>
        <w:t xml:space="preserve">- For</w:t>
      </w:r>
      <w:r>
        <w:t xml:space="preserve"> </w:t>
      </w:r>
      <m:oMath>
        <m:sSub>
          <m:e>
            <m:r>
              <m:t>r</m:t>
            </m:r>
          </m:e>
          <m:sub>
            <m:r>
              <m:rPr>
                <m:nor/>
                <m:sty m:val="p"/>
              </m:rPr>
              <m:t>ox</m:t>
            </m:r>
          </m:sub>
        </m:sSub>
        <m:r>
          <m:rPr>
            <m:sty m:val="p"/>
          </m:rPr>
          <m:t>=</m:t>
        </m:r>
        <m:r>
          <m:t>200</m:t>
        </m:r>
        <m:r>
          <m:t> </m:t>
        </m:r>
        <m:r>
          <m:t>μ</m:t>
        </m:r>
        <m:r>
          <m:rPr>
            <m:nor/>
            <m:sty m:val="p"/>
          </m:rPr>
          <m:t>m</m:t>
        </m:r>
      </m:oMath>
      <w:r>
        <w:t xml:space="preserve">:</w:t>
      </w:r>
      <w:r>
        <w:t xml:space="preserve"> </w:t>
      </w:r>
      <m:oMath>
        <m:r>
          <m:t>Δ</m:t>
        </m:r>
        <m:r>
          <m:t>r</m:t>
        </m:r>
        <m:r>
          <m:rPr>
            <m:sty m:val="p"/>
          </m:rPr>
          <m:t>=</m:t>
        </m:r>
        <m:r>
          <m:t>200</m:t>
        </m:r>
        <m:r>
          <m:rPr>
            <m:sty m:val="p"/>
          </m:rPr>
          <m:t>−</m:t>
        </m:r>
        <m:r>
          <m:t>165.9</m:t>
        </m:r>
        <m:r>
          <m:rPr>
            <m:sty m:val="p"/>
          </m:rPr>
          <m:t>=</m:t>
        </m:r>
        <m:r>
          <m:t>34.1</m:t>
        </m:r>
        <m:r>
          <m:t> </m:t>
        </m:r>
        <m:r>
          <m:t>μ</m:t>
        </m:r>
        <m:r>
          <m:rPr>
            <m:nor/>
            <m:sty m:val="p"/>
          </m:rPr>
          <m:t>m</m:t>
        </m:r>
      </m:oMath>
      <w:r>
        <w:t xml:space="preserve"> </w:t>
      </w:r>
      <w:r>
        <w:t xml:space="preserve">- For</w:t>
      </w:r>
      <w:r>
        <w:t xml:space="preserve"> </w:t>
      </w:r>
      <m:oMath>
        <m:sSub>
          <m:e>
            <m:r>
              <m:t>r</m:t>
            </m:r>
          </m:e>
          <m:sub>
            <m:r>
              <m:rPr>
                <m:nor/>
                <m:sty m:val="p"/>
              </m:rPr>
              <m:t>ox</m:t>
            </m:r>
          </m:sub>
        </m:sSub>
        <m:r>
          <m:rPr>
            <m:sty m:val="p"/>
          </m:rPr>
          <m:t>=</m:t>
        </m:r>
        <m:r>
          <m:t>180</m:t>
        </m:r>
        <m:r>
          <m:t> </m:t>
        </m:r>
        <m:r>
          <m:t>μ</m:t>
        </m:r>
        <m:r>
          <m:rPr>
            <m:nor/>
            <m:sty m:val="p"/>
          </m:rPr>
          <m:t>m</m:t>
        </m:r>
      </m:oMath>
      <w:r>
        <w:t xml:space="preserve">:</w:t>
      </w:r>
      <w:r>
        <w:t xml:space="preserve"> </w:t>
      </w:r>
      <m:oMath>
        <m:r>
          <m:t>Δ</m:t>
        </m:r>
        <m:r>
          <m:t>r</m:t>
        </m:r>
        <m:r>
          <m:rPr>
            <m:sty m:val="p"/>
          </m:rPr>
          <m:t>=</m:t>
        </m:r>
        <m:r>
          <m:t>180</m:t>
        </m:r>
        <m:r>
          <m:rPr>
            <m:sty m:val="p"/>
          </m:rPr>
          <m:t>−</m:t>
        </m:r>
        <m:r>
          <m:t>165.9</m:t>
        </m:r>
        <m:r>
          <m:rPr>
            <m:sty m:val="p"/>
          </m:rPr>
          <m:t>=</m:t>
        </m:r>
        <m:r>
          <m:t>14.1</m:t>
        </m:r>
        <m:r>
          <m:t> </m:t>
        </m:r>
        <m:r>
          <m:t>μ</m:t>
        </m:r>
        <m:r>
          <m:rPr>
            <m:nor/>
            <m:sty m:val="p"/>
          </m:rPr>
          <m:t>m</m:t>
        </m:r>
      </m:oMath>
    </w:p>
    <w:bookmarkStart w:id="27" w:name="X162f76553634e120d399206786a9c03d6941145"/>
    <w:p>
      <w:pPr>
        <w:pStyle w:val="Heading4"/>
      </w:pPr>
      <w:r>
        <w:t xml:space="preserve">Sigmoidal Dose-Response and Residual Inhibition</w:t>
      </w:r>
    </w:p>
    <w:p>
      <w:pPr>
        <w:pStyle w:val="FirstParagraph"/>
      </w:pPr>
      <w:r>
        <w:t xml:space="preserve">Within the sanctuary shell, concentration drops from</w:t>
      </w:r>
      <w:r>
        <w:t xml:space="preserve"> </w:t>
      </w:r>
      <m:oMath>
        <m:r>
          <m:t>0.35</m:t>
        </m:r>
        <m:r>
          <m:t> </m:t>
        </m:r>
        <m:sSub>
          <m:e>
            <m:r>
              <m:t>C</m:t>
            </m:r>
          </m:e>
          <m:sub>
            <m:r>
              <m:t>0</m:t>
            </m:r>
          </m:sub>
        </m:sSub>
      </m:oMath>
      <w:r>
        <w:t xml:space="preserve"> </w:t>
      </w:r>
      <w:r>
        <w:t xml:space="preserve">at</w:t>
      </w:r>
      <w:r>
        <w:t xml:space="preserve"> </w:t>
      </w:r>
      <m:oMath>
        <m:sSub>
          <m:e>
            <m:r>
              <m:t>r</m:t>
            </m:r>
          </m:e>
          <m:sub>
            <m:r>
              <m:rPr>
                <m:nor/>
                <m:sty m:val="p"/>
              </m:rPr>
              <m:t>crit</m:t>
            </m:r>
          </m:sub>
        </m:sSub>
        <m:r>
          <m:rPr>
            <m:sty m:val="p"/>
          </m:rPr>
          <m:t>=</m:t>
        </m:r>
        <m:r>
          <m:t>165.9</m:t>
        </m:r>
        <m:r>
          <m:t> </m:t>
        </m:r>
        <m:r>
          <m:t>μ</m:t>
        </m:r>
        <m:r>
          <m:rPr>
            <m:nor/>
            <m:sty m:val="p"/>
          </m:rPr>
          <m:t>m</m:t>
        </m:r>
      </m:oMath>
      <w:r>
        <w:t xml:space="preserve"> </w:t>
      </w:r>
      <w:r>
        <w:t xml:space="preserve">to</w:t>
      </w:r>
      <w:r>
        <w:t xml:space="preserve"> </w:t>
      </w:r>
      <m:oMath>
        <m:r>
          <m:t>0.314</m:t>
        </m:r>
        <m:r>
          <m:t> </m:t>
        </m:r>
        <m:sSub>
          <m:e>
            <m:r>
              <m:t>C</m:t>
            </m:r>
          </m:e>
          <m:sub>
            <m:r>
              <m:t>0</m:t>
            </m:r>
          </m:sub>
        </m:sSub>
      </m:oMath>
      <w:r>
        <w:t xml:space="preserve"> </w:t>
      </w:r>
      <w:r>
        <w:t xml:space="preserve">at</w:t>
      </w:r>
      <w:r>
        <w:t xml:space="preserve"> </w:t>
      </w:r>
      <m:oMath>
        <m:sSub>
          <m:e>
            <m:r>
              <m:t>r</m:t>
            </m:r>
          </m:e>
          <m:sub>
            <m:r>
              <m:rPr>
                <m:nor/>
                <m:sty m:val="p"/>
              </m:rPr>
              <m:t>ox</m:t>
            </m:r>
          </m:sub>
        </m:sSub>
        <m:r>
          <m:rPr>
            <m:sty m:val="p"/>
          </m:rPr>
          <m:t>=</m:t>
        </m:r>
        <m:r>
          <m:t>200</m:t>
        </m:r>
        <m:r>
          <m:t> </m:t>
        </m:r>
        <m:r>
          <m:t>μ</m:t>
        </m:r>
        <m:r>
          <m:rPr>
            <m:nor/>
            <m:sty m:val="p"/>
          </m:rPr>
          <m:t>m</m:t>
        </m:r>
      </m:oMath>
      <w:r>
        <w:t xml:space="preserve"> </w:t>
      </w:r>
      <w:r>
        <w:t xml:space="preserve">(since</w:t>
      </w:r>
      <w:r>
        <w:t xml:space="preserve"> </w:t>
      </w:r>
      <m:oMath>
        <m:sSub>
          <m:e>
            <m:r>
              <m:t>K</m:t>
            </m:r>
          </m:e>
          <m:sub>
            <m:r>
              <m:t>0</m:t>
            </m:r>
          </m:sub>
        </m:sSub>
        <m:d>
          <m:dPr>
            <m:begChr m:val="("/>
            <m:endChr m:val=")"/>
            <m:sepChr m:val=""/>
            <m:grow/>
          </m:dPr>
          <m:e>
            <m:r>
              <m:t>200</m:t>
            </m:r>
            <m:r>
              <m:rPr>
                <m:sty m:val="p"/>
              </m:rPr>
              <m:t>/</m:t>
            </m:r>
            <m:r>
              <m:t>627.6</m:t>
            </m:r>
          </m:e>
        </m:d>
        <m:r>
          <m:rPr>
            <m:sty m:val="p"/>
          </m:rPr>
          <m:t>/</m:t>
        </m:r>
        <m:sSub>
          <m:e>
            <m:r>
              <m:t>K</m:t>
            </m:r>
          </m:e>
          <m:sub>
            <m:r>
              <m:t>0</m:t>
            </m:r>
          </m:sub>
        </m:sSub>
        <m:d>
          <m:dPr>
            <m:begChr m:val="("/>
            <m:endChr m:val=")"/>
            <m:sepChr m:val=""/>
            <m:grow/>
          </m:dPr>
          <m:e>
            <m:r>
              <m:t>10</m:t>
            </m:r>
            <m:r>
              <m:rPr>
                <m:sty m:val="p"/>
              </m:rPr>
              <m:t>/</m:t>
            </m:r>
            <m:r>
              <m:t>627.6</m:t>
            </m:r>
          </m:e>
        </m:d>
        <m:r>
          <m:rPr>
            <m:sty m:val="p"/>
          </m:rPr>
          <m:t>=</m:t>
        </m:r>
        <m:r>
          <m:t>0.3138</m:t>
        </m:r>
      </m:oMath>
      <w:r>
        <w:t xml:space="preserve">). Assuming therapeutic steady-state unbound plasma concentration</w:t>
      </w:r>
      <w:r>
        <w:t xml:space="preserve"> </w:t>
      </w:r>
      <m:oMath>
        <m:sSub>
          <m:e>
            <m:r>
              <m:t>C</m:t>
            </m:r>
          </m:e>
          <m:sub>
            <m:r>
              <m:t>0</m:t>
            </m:r>
          </m:sub>
        </m:sSub>
        <m:r>
          <m:rPr>
            <m:sty m:val="p"/>
          </m:rPr>
          <m:t>≈</m:t>
        </m:r>
        <m:r>
          <m:t>45</m:t>
        </m:r>
        <m:r>
          <m:t> </m:t>
        </m:r>
        <m:r>
          <m:rPr>
            <m:nor/>
            <m:sty m:val="p"/>
          </m:rPr>
          <m:t>nM</m:t>
        </m:r>
      </m:oMath>
      <w:r>
        <w:t xml:space="preserve"> </w:t>
      </w:r>
      <w:r>
        <w:t xml:space="preserve">and</w:t>
      </w:r>
      <w:r>
        <w:t xml:space="preserve"> </w:t>
      </w:r>
      <m:oMath>
        <m:sSub>
          <m:e>
            <m:r>
              <m:rPr>
                <m:nor/>
                <m:sty m:val="p"/>
              </m:rPr>
              <m:t>IC</m:t>
            </m:r>
          </m:e>
          <m:sub>
            <m:r>
              <m:t>50</m:t>
            </m:r>
          </m:sub>
        </m:sSub>
        <m:r>
          <m:rPr>
            <m:sty m:val="p"/>
          </m:rPr>
          <m:t>≈</m:t>
        </m:r>
        <m:r>
          <m:t>15</m:t>
        </m:r>
        <m:r>
          <m:t> </m:t>
        </m:r>
        <m:r>
          <m:rPr>
            <m:nor/>
            <m:sty m:val="p"/>
          </m:rPr>
          <m:t>nM</m:t>
        </m:r>
      </m:oMath>
      <w:r>
        <w:t xml:space="preserve"> </w:t>
      </w:r>
      <w:r>
        <w:t xml:space="preserve">(</w:t>
      </w:r>
      <m:oMath>
        <m:r>
          <m:t>θ</m:t>
        </m:r>
        <m:r>
          <m:rPr>
            <m:sty m:val="p"/>
          </m:rPr>
          <m:t>=</m:t>
        </m:r>
        <m:r>
          <m:t>0.35</m:t>
        </m:r>
      </m:oMath>
      <w:r>
        <w:t xml:space="preserve">), the drug level throughout the shell remains at</w:t>
      </w:r>
      <w:r>
        <w:t xml:space="preserve"> </w:t>
      </w:r>
      <m:oMath>
        <m:r>
          <m:t>14</m:t>
        </m:r>
        <m:r>
          <m:rPr>
            <m:nor/>
            <m:sty m:val="p"/>
          </m:rPr>
          <m:t>–</m:t>
        </m:r>
        <m:r>
          <m:t>15</m:t>
        </m:r>
        <m:r>
          <m:t> </m:t>
        </m:r>
        <m:r>
          <m:rPr>
            <m:nor/>
            <m:sty m:val="p"/>
          </m:rPr>
          <m:t>nM</m:t>
        </m:r>
      </m:oMath>
      <w:r>
        <w:t xml:space="preserve">. Under a standard Hill pharmacodynamic model:</w:t>
      </w:r>
    </w:p>
    <w:p>
      <w:pPr>
        <w:pStyle w:val="BodyText"/>
      </w:pPr>
      <m:oMathPara>
        <m:oMathParaPr>
          <m:jc m:val="center"/>
        </m:oMathParaPr>
        <m:oMath>
          <m:r>
            <m:t>E</m:t>
          </m:r>
          <m:d>
            <m:dPr>
              <m:begChr m:val="("/>
              <m:endChr m:val=")"/>
              <m:sepChr m:val=""/>
              <m:grow/>
            </m:dPr>
            <m:e>
              <m:r>
                <m:t>C</m:t>
              </m:r>
            </m:e>
          </m:d>
          <m:r>
            <m:rPr>
              <m:sty m:val="p"/>
            </m:rPr>
            <m:t>=</m:t>
          </m:r>
          <m:sSub>
            <m:e>
              <m:r>
                <m:t>E</m:t>
              </m:r>
            </m:e>
            <m:sub>
              <m:r>
                <m:rPr>
                  <m:nor/>
                  <m:sty m:val="p"/>
                </m:rPr>
                <m:t>max</m:t>
              </m:r>
            </m:sub>
          </m:sSub>
          <m:f>
            <m:fPr>
              <m:type m:val="bar"/>
            </m:fPr>
            <m:num>
              <m:sSup>
                <m:e>
                  <m:r>
                    <m:t>C</m:t>
                  </m:r>
                </m:e>
                <m:sup>
                  <m:r>
                    <m:t>h</m:t>
                  </m:r>
                </m:sup>
              </m:sSup>
            </m:num>
            <m:den>
              <m:sSubSup>
                <m:e>
                  <m:r>
                    <m:rPr>
                      <m:nor/>
                      <m:sty m:val="p"/>
                    </m:rPr>
                    <m:t>IC</m:t>
                  </m:r>
                </m:e>
                <m:sub>
                  <m:r>
                    <m:t>50</m:t>
                  </m:r>
                </m:sub>
                <m:sup>
                  <m:r>
                    <m:t>h</m:t>
                  </m:r>
                </m:sup>
              </m:sSubSup>
              <m:r>
                <m:rPr>
                  <m:sty m:val="p"/>
                </m:rPr>
                <m:t>+</m:t>
              </m:r>
              <m:sSup>
                <m:e>
                  <m:r>
                    <m:t>C</m:t>
                  </m:r>
                </m:e>
                <m:sup>
                  <m:r>
                    <m:t>h</m:t>
                  </m:r>
                </m:sup>
              </m:sSup>
            </m:den>
          </m:f>
        </m:oMath>
      </m:oMathPara>
    </w:p>
    <w:p>
      <w:pPr>
        <w:pStyle w:val="FirstParagraph"/>
      </w:pPr>
      <w:r>
        <w:t xml:space="preserve">with Hill coefficient</w:t>
      </w:r>
      <w:r>
        <w:t xml:space="preserve"> </w:t>
      </w:r>
      <m:oMath>
        <m:r>
          <m:t>h</m:t>
        </m:r>
        <m:r>
          <m:rPr>
            <m:sty m:val="p"/>
          </m:rPr>
          <m:t>≈</m:t>
        </m:r>
        <m:r>
          <m:t>1.5</m:t>
        </m:r>
      </m:oMath>
      <w:r>
        <w:t xml:space="preserve">, local target inhibition remains at approximately</w:t>
      </w:r>
      <w:r>
        <w:t xml:space="preserve"> </w:t>
      </w:r>
      <m:oMath>
        <m:r>
          <m:t>45</m:t>
        </m:r>
        <m:r>
          <m:rPr>
            <m:sty m:val="p"/>
          </m:rPr>
          <m:t>%</m:t>
        </m:r>
        <m:r>
          <m:rPr>
            <m:nor/>
            <m:sty m:val="p"/>
          </m:rPr>
          <m:t>–</m:t>
        </m:r>
        <m:r>
          <m:t>50</m:t>
        </m:r>
        <m:r>
          <m:rPr>
            <m:sty m:val="p"/>
          </m:rPr>
          <m:t>%</m:t>
        </m:r>
      </m:oMath>
      <w:r>
        <w:t xml:space="preserve">. The net cellular growth rate is:</w:t>
      </w:r>
    </w:p>
    <w:p>
      <w:pPr>
        <w:pStyle w:val="BodyText"/>
      </w:pPr>
      <m:oMathPara>
        <m:oMathParaPr>
          <m:jc m:val="center"/>
        </m:oMathParaPr>
        <m:oMath>
          <m:sSub>
            <m:e>
              <m:r>
                <m:t>g</m:t>
              </m:r>
            </m:e>
            <m:sub>
              <m:r>
                <m:rPr>
                  <m:nor/>
                  <m:sty m:val="p"/>
                </m:rPr>
                <m:t>net</m:t>
              </m:r>
            </m:sub>
          </m:sSub>
          <m:d>
            <m:dPr>
              <m:begChr m:val="("/>
              <m:endChr m:val=")"/>
              <m:sepChr m:val=""/>
              <m:grow/>
            </m:dPr>
            <m:e>
              <m:r>
                <m:t>C</m:t>
              </m:r>
            </m:e>
          </m:d>
          <m:r>
            <m:rPr>
              <m:sty m:val="p"/>
            </m:rPr>
            <m:t>=</m:t>
          </m:r>
          <m:sSub>
            <m:e>
              <m:r>
                <m:t>g</m:t>
              </m:r>
            </m:e>
            <m:sub>
              <m:r>
                <m:t>0</m:t>
              </m:r>
            </m:sub>
          </m:sSub>
          <m:d>
            <m:dPr>
              <m:begChr m:val="["/>
              <m:endChr m:val="]"/>
              <m:sepChr m:val=""/>
              <m:grow/>
            </m:dPr>
            <m:e>
              <m:r>
                <m:t>1</m:t>
              </m:r>
              <m:r>
                <m:rPr>
                  <m:sty m:val="p"/>
                </m:rPr>
                <m:t>−</m:t>
              </m:r>
              <m:r>
                <m:t>E</m:t>
              </m:r>
              <m:d>
                <m:dPr>
                  <m:begChr m:val="("/>
                  <m:endChr m:val=")"/>
                  <m:sepChr m:val=""/>
                  <m:grow/>
                </m:dPr>
                <m:e>
                  <m:r>
                    <m:t>C</m:t>
                  </m:r>
                </m:e>
              </m:d>
            </m:e>
          </m:d>
          <m:r>
            <m:rPr>
              <m:sty m:val="p"/>
            </m:rPr>
            <m:t>−</m:t>
          </m:r>
          <m:sSub>
            <m:e>
              <m:r>
                <m:t>d</m:t>
              </m:r>
            </m:e>
            <m:sub>
              <m:r>
                <m:t>0</m:t>
              </m:r>
            </m:sub>
          </m:sSub>
        </m:oMath>
      </m:oMathPara>
    </w:p>
    <w:p>
      <w:pPr>
        <w:pStyle w:val="FirstParagraph"/>
      </w:pPr>
      <w:r>
        <w:t xml:space="preserve">Where baseline apoptosis/clearance</w:t>
      </w:r>
      <w:r>
        <w:t xml:space="preserve"> </w:t>
      </w:r>
      <m:oMath>
        <m:sSub>
          <m:e>
            <m:r>
              <m:t>d</m:t>
            </m:r>
          </m:e>
          <m:sub>
            <m:r>
              <m:t>0</m:t>
            </m:r>
          </m:sub>
        </m:sSub>
      </m:oMath>
      <w:r>
        <w:t xml:space="preserve"> </w:t>
      </w:r>
      <w:r>
        <w:t xml:space="preserve">accounts for</w:t>
      </w:r>
      <w:r>
        <w:t xml:space="preserve"> </w:t>
      </w:r>
      <m:oMath>
        <m:r>
          <m:t>40</m:t>
        </m:r>
        <m:r>
          <m:rPr>
            <m:sty m:val="p"/>
          </m:rPr>
          <m:t>%</m:t>
        </m:r>
        <m:r>
          <m:rPr>
            <m:nor/>
            <m:sty m:val="p"/>
          </m:rPr>
          <m:t>–</m:t>
        </m:r>
        <m:r>
          <m:t>50</m:t>
        </m:r>
        <m:r>
          <m:rPr>
            <m:sty m:val="p"/>
          </m:rPr>
          <m:t>%</m:t>
        </m:r>
      </m:oMath>
      <w:r>
        <w:t xml:space="preserve"> </w:t>
      </w:r>
      <w:r>
        <w:t xml:space="preserve">of maximum uninhibited proliferation</w:t>
      </w:r>
      <w:r>
        <w:t xml:space="preserve"> </w:t>
      </w:r>
      <m:oMath>
        <m:sSub>
          <m:e>
            <m:r>
              <m:t>g</m:t>
            </m:r>
          </m:e>
          <m:sub>
            <m:r>
              <m:t>0</m:t>
            </m:r>
          </m:sub>
        </m:sSub>
      </m:oMath>
      <w:r>
        <w:t xml:space="preserve">, net growth</w:t>
      </w:r>
      <w:r>
        <w:t xml:space="preserve"> </w:t>
      </w:r>
      <m:oMath>
        <m:sSub>
          <m:e>
            <m:r>
              <m:t>g</m:t>
            </m:r>
          </m:e>
          <m:sub>
            <m:r>
              <m:rPr>
                <m:nor/>
                <m:sty m:val="p"/>
              </m:rPr>
              <m:t>net</m:t>
            </m:r>
          </m:sub>
        </m:sSub>
      </m:oMath>
      <w:r>
        <w:t xml:space="preserve"> </w:t>
      </w:r>
      <w:r>
        <w:t xml:space="preserve">is driven close to zero. This cytostatic suppression explains why sanctuary cells do not expand into overt macroscopic tumors during the 36-month period of continuous daily drug administration.</w:t>
      </w:r>
    </w:p>
    <w:bookmarkEnd w:id="27"/>
    <w:bookmarkStart w:id="28" w:name="X35bc3757d9b5d8c41dbd792a7fb1e39f50f2529"/>
    <w:p>
      <w:pPr>
        <w:pStyle w:val="Heading4"/>
      </w:pPr>
      <w:r>
        <w:t xml:space="preserve">Volumetric Scaling: From Cord Shell to Initial Residual Burden</w:t>
      </w:r>
      <w:r>
        <w:t xml:space="preserve"> </w:t>
      </w:r>
      <m:oMath>
        <m:sSub>
          <m:e>
            <m:r>
              <m:t>N</m:t>
            </m:r>
          </m:e>
          <m:sub>
            <m:r>
              <m:t>0</m:t>
            </m:r>
          </m:sub>
        </m:sSub>
      </m:oMath>
    </w:p>
    <w:p>
      <w:pPr>
        <w:pStyle w:val="FirstParagraph"/>
      </w:pPr>
      <w:r>
        <w:t xml:space="preserve">In a cylindrical perivascular cord of unit length</w:t>
      </w:r>
      <w:r>
        <w:t xml:space="preserve"> </w:t>
      </w:r>
      <m:oMath>
        <m:r>
          <m:t>L</m:t>
        </m:r>
        <m:r>
          <m:rPr>
            <m:sty m:val="p"/>
          </m:rPr>
          <m:t>=</m:t>
        </m:r>
        <m:r>
          <m:t>1</m:t>
        </m:r>
        <m:r>
          <m:t> </m:t>
        </m:r>
        <m:r>
          <m:rPr>
            <m:nor/>
            <m:sty m:val="p"/>
          </m:rPr>
          <m:t>mm</m:t>
        </m:r>
        <m:r>
          <m:rPr>
            <m:sty m:val="p"/>
          </m:rPr>
          <m:t>=</m:t>
        </m:r>
        <m:r>
          <m:t>1000</m:t>
        </m:r>
        <m:r>
          <m:t> </m:t>
        </m:r>
        <m:r>
          <m:t>μ</m:t>
        </m:r>
        <m:r>
          <m:rPr>
            <m:nor/>
            <m:sty m:val="p"/>
          </m:rPr>
          <m:t>m</m:t>
        </m:r>
      </m:oMath>
      <w:r>
        <w:t xml:space="preserve">, the volume of the sanctuary shell is:</w:t>
      </w:r>
    </w:p>
    <w:p>
      <w:pPr>
        <w:pStyle w:val="BodyText"/>
      </w:pPr>
      <m:oMathPara>
        <m:oMathParaPr>
          <m:jc m:val="center"/>
        </m:oMathParaPr>
        <m:oMath>
          <m:sSub>
            <m:e>
              <m:r>
                <m:t>V</m:t>
              </m:r>
            </m:e>
            <m:sub>
              <m:r>
                <m:rPr>
                  <m:nor/>
                  <m:sty m:val="p"/>
                </m:rPr>
                <m:t>shell</m:t>
              </m:r>
            </m:sub>
          </m:sSub>
          <m:r>
            <m:rPr>
              <m:sty m:val="p"/>
            </m:rPr>
            <m:t>=</m:t>
          </m:r>
          <m:r>
            <m:t>π</m:t>
          </m:r>
          <m:d>
            <m:dPr>
              <m:begChr m:val="("/>
              <m:endChr m:val=")"/>
              <m:sepChr m:val=""/>
              <m:grow/>
            </m:dPr>
            <m:e>
              <m:sSubSup>
                <m:e>
                  <m:r>
                    <m:t>r</m:t>
                  </m:r>
                </m:e>
                <m:sub>
                  <m:r>
                    <m:rPr>
                      <m:nor/>
                      <m:sty m:val="p"/>
                    </m:rPr>
                    <m:t>ox</m:t>
                  </m:r>
                </m:sub>
                <m:sup>
                  <m:r>
                    <m:t>2</m:t>
                  </m:r>
                </m:sup>
              </m:sSubSup>
              <m:r>
                <m:rPr>
                  <m:sty m:val="p"/>
                </m:rPr>
                <m:t>−</m:t>
              </m:r>
              <m:sSubSup>
                <m:e>
                  <m:r>
                    <m:t>r</m:t>
                  </m:r>
                </m:e>
                <m:sub>
                  <m:r>
                    <m:rPr>
                      <m:nor/>
                      <m:sty m:val="p"/>
                    </m:rPr>
                    <m:t>crit</m:t>
                  </m:r>
                </m:sub>
                <m:sup>
                  <m:r>
                    <m:t>2</m:t>
                  </m:r>
                </m:sup>
              </m:sSubSup>
            </m:e>
          </m:d>
          <m:r>
            <m:t>L</m:t>
          </m:r>
          <m:r>
            <m:rPr>
              <m:sty m:val="p"/>
            </m:rPr>
            <m:t>=</m:t>
          </m:r>
          <m:r>
            <m:t>π</m:t>
          </m:r>
          <m:d>
            <m:dPr>
              <m:begChr m:val="("/>
              <m:endChr m:val=")"/>
              <m:sepChr m:val=""/>
              <m:grow/>
            </m:dPr>
            <m:e>
              <m:sSup>
                <m:e>
                  <m:r>
                    <m:t>200</m:t>
                  </m:r>
                </m:e>
                <m:sup>
                  <m:r>
                    <m:t>2</m:t>
                  </m:r>
                </m:sup>
              </m:sSup>
              <m:r>
                <m:rPr>
                  <m:sty m:val="p"/>
                </m:rPr>
                <m:t>−</m:t>
              </m:r>
              <m:sSup>
                <m:e>
                  <m:r>
                    <m:t>165.9</m:t>
                  </m:r>
                </m:e>
                <m:sup>
                  <m:r>
                    <m:t>2</m:t>
                  </m:r>
                </m:sup>
              </m:sSup>
            </m:e>
          </m:d>
          <m:r>
            <m:rPr>
              <m:sty m:val="p"/>
            </m:rPr>
            <m:t>×</m:t>
          </m:r>
          <m:r>
            <m:t>1000</m:t>
          </m:r>
          <m:r>
            <m:rPr>
              <m:sty m:val="p"/>
            </m:rPr>
            <m:t>≈</m:t>
          </m:r>
          <m:r>
            <m:t>3.92</m:t>
          </m:r>
          <m:r>
            <m:rPr>
              <m:sty m:val="p"/>
            </m:rPr>
            <m:t>×</m:t>
          </m:r>
          <m:sSup>
            <m:e>
              <m:r>
                <m:t>10</m:t>
              </m:r>
            </m:e>
            <m:sup>
              <m:r>
                <m:t>7</m:t>
              </m:r>
            </m:sup>
          </m:sSup>
          <m:r>
            <m:t> </m:t>
          </m:r>
          <m:r>
            <m:t>μ</m:t>
          </m:r>
          <m:sSup>
            <m:e>
              <m:r>
                <m:rPr>
                  <m:nor/>
                  <m:sty m:val="p"/>
                </m:rPr>
                <m:t>m</m:t>
              </m:r>
            </m:e>
            <m:sup>
              <m:r>
                <m:t>3</m:t>
              </m:r>
            </m:sup>
          </m:sSup>
        </m:oMath>
      </m:oMathPara>
    </w:p>
    <w:p>
      <w:pPr>
        <w:pStyle w:val="FirstParagraph"/>
      </w:pPr>
      <w:r>
        <w:t xml:space="preserve">Assuming a mean tumor cell diameter of</w:t>
      </w:r>
      <w:r>
        <w:t xml:space="preserve"> </w:t>
      </w:r>
      <m:oMath>
        <m:r>
          <m:t>15</m:t>
        </m:r>
        <m:r>
          <m:t> </m:t>
        </m:r>
        <m:r>
          <m:t>μ</m:t>
        </m:r>
        <m:r>
          <m:rPr>
            <m:nor/>
            <m:sty m:val="p"/>
          </m:rPr>
          <m:t>m</m:t>
        </m:r>
      </m:oMath>
      <w:r>
        <w:t xml:space="preserve"> </w:t>
      </w:r>
      <w:r>
        <w:t xml:space="preserve">(cell volume</w:t>
      </w:r>
      <w:r>
        <w:t xml:space="preserve"> </w:t>
      </w:r>
      <m:oMath>
        <m:r>
          <m:rPr>
            <m:sty m:val="p"/>
          </m:rPr>
          <m:t>≈</m:t>
        </m:r>
        <m:r>
          <m:t>1.77</m:t>
        </m:r>
        <m:r>
          <m:rPr>
            <m:sty m:val="p"/>
          </m:rPr>
          <m:t>×</m:t>
        </m:r>
        <m:sSup>
          <m:e>
            <m:r>
              <m:t>10</m:t>
            </m:r>
          </m:e>
          <m:sup>
            <m:r>
              <m:t>3</m:t>
            </m:r>
          </m:sup>
        </m:sSup>
        <m:r>
          <m:t> </m:t>
        </m:r>
        <m:r>
          <m:t>μ</m:t>
        </m:r>
        <m:sSup>
          <m:e>
            <m:r>
              <m:rPr>
                <m:nor/>
                <m:sty m:val="p"/>
              </m:rPr>
              <m:t>m</m:t>
            </m:r>
          </m:e>
          <m:sup>
            <m:r>
              <m:t>3</m:t>
            </m:r>
          </m:sup>
        </m:sSup>
      </m:oMath>
      <w:r>
        <w:t xml:space="preserve">, corresponding to packing density</w:t>
      </w:r>
      <w:r>
        <w:t xml:space="preserve"> </w:t>
      </w:r>
      <m:oMath>
        <m:r>
          <m:rPr>
            <m:sty m:val="p"/>
          </m:rPr>
          <m:t>∼</m:t>
        </m:r>
        <m:r>
          <m:t>5</m:t>
        </m:r>
        <m:r>
          <m:rPr>
            <m:sty m:val="p"/>
          </m:rPr>
          <m:t>×</m:t>
        </m:r>
        <m:sSup>
          <m:e>
            <m:r>
              <m:t>10</m:t>
            </m:r>
          </m:e>
          <m:sup>
            <m:r>
              <m:t>8</m:t>
            </m:r>
          </m:sup>
        </m:sSup>
        <m:r>
          <m:t> </m:t>
        </m:r>
        <m:sSup>
          <m:e>
            <m:r>
              <m:rPr>
                <m:nor/>
                <m:sty m:val="p"/>
              </m:rPr>
              <m:t>cells/cm</m:t>
            </m:r>
          </m:e>
          <m:sup>
            <m:r>
              <m:t>3</m:t>
            </m:r>
          </m:sup>
        </m:sSup>
        <m:r>
          <m:rPr>
            <m:sty m:val="p"/>
          </m:rPr>
          <m:t>=</m:t>
        </m:r>
        <m:r>
          <m:t>5</m:t>
        </m:r>
        <m:r>
          <m:rPr>
            <m:sty m:val="p"/>
          </m:rPr>
          <m:t>×</m:t>
        </m:r>
        <m:sSup>
          <m:e>
            <m:r>
              <m:t>10</m:t>
            </m:r>
          </m:e>
          <m:sup>
            <m:r>
              <m:rPr>
                <m:sty m:val="p"/>
              </m:rPr>
              <m:t>−</m:t>
            </m:r>
            <m:r>
              <m:t>4</m:t>
            </m:r>
          </m:sup>
        </m:sSup>
        <m:r>
          <m:t> </m:t>
        </m:r>
        <m:r>
          <m:rPr>
            <m:nor/>
            <m:sty m:val="p"/>
          </m:rPr>
          <m:t>cells</m:t>
        </m:r>
        <m:r>
          <m:rPr>
            <m:sty m:val="p"/>
          </m:rPr>
          <m:t>/</m:t>
        </m:r>
        <m:r>
          <m:t>μ</m:t>
        </m:r>
        <m:sSup>
          <m:e>
            <m:r>
              <m:rPr>
                <m:nor/>
                <m:sty m:val="p"/>
              </m:rPr>
              <m:t>m</m:t>
            </m:r>
          </m:e>
          <m:sup>
            <m:r>
              <m:t>3</m:t>
            </m:r>
          </m:sup>
        </m:sSup>
      </m:oMath>
      <w:r>
        <w:t xml:space="preserve">), the shell contains:</w:t>
      </w:r>
    </w:p>
    <w:p>
      <w:pPr>
        <w:pStyle w:val="BodyText"/>
      </w:pPr>
      <m:oMathPara>
        <m:oMathParaPr>
          <m:jc m:val="center"/>
        </m:oMathParaPr>
        <m:oMath>
          <m:sSub>
            <m:e>
              <m:r>
                <m:t>N</m:t>
              </m:r>
            </m:e>
            <m:sub>
              <m:r>
                <m:rPr>
                  <m:nor/>
                  <m:sty m:val="p"/>
                </m:rPr>
                <m:t>cord</m:t>
              </m:r>
            </m:sub>
          </m:sSub>
          <m:r>
            <m:rPr>
              <m:sty m:val="p"/>
            </m:rPr>
            <m:t>≈</m:t>
          </m:r>
          <m:r>
            <m:t>3.92</m:t>
          </m:r>
          <m:r>
            <m:rPr>
              <m:sty m:val="p"/>
            </m:rPr>
            <m:t>×</m:t>
          </m:r>
          <m:sSup>
            <m:e>
              <m:r>
                <m:t>10</m:t>
              </m:r>
            </m:e>
            <m:sup>
              <m:r>
                <m:t>7</m:t>
              </m:r>
            </m:sup>
          </m:sSup>
          <m:r>
            <m:rPr>
              <m:sty m:val="p"/>
            </m:rPr>
            <m:t>×</m:t>
          </m:r>
          <m:r>
            <m:t>5</m:t>
          </m:r>
          <m:r>
            <m:rPr>
              <m:sty m:val="p"/>
            </m:rPr>
            <m:t>×</m:t>
          </m:r>
          <m:sSup>
            <m:e>
              <m:r>
                <m:t>10</m:t>
              </m:r>
            </m:e>
            <m:sup>
              <m:r>
                <m:rPr>
                  <m:sty m:val="p"/>
                </m:rPr>
                <m:t>−</m:t>
              </m:r>
              <m:r>
                <m:t>4</m:t>
              </m:r>
            </m:sup>
          </m:sSup>
          <m:r>
            <m:rPr>
              <m:sty m:val="p"/>
            </m:rPr>
            <m:t>≈</m:t>
          </m:r>
          <m:r>
            <m:t>1.96</m:t>
          </m:r>
          <m:r>
            <m:rPr>
              <m:sty m:val="p"/>
            </m:rPr>
            <m:t>×</m:t>
          </m:r>
          <m:sSup>
            <m:e>
              <m:r>
                <m:t>10</m:t>
              </m:r>
            </m:e>
            <m:sup>
              <m:r>
                <m:t>4</m:t>
              </m:r>
            </m:sup>
          </m:sSup>
          <m:r>
            <m:t> </m:t>
          </m:r>
          <m:r>
            <m:rPr>
              <m:nor/>
              <m:sty m:val="p"/>
            </m:rPr>
            <m:t>cells per mm of cord</m:t>
          </m:r>
        </m:oMath>
      </m:oMathPara>
    </w:p>
    <w:p>
      <w:pPr>
        <w:pStyle w:val="FirstParagraph"/>
      </w:pPr>
      <w:r>
        <w:t xml:space="preserve">For microscopic residual disease consisting of a few surviving cords following surgical resection, this physical volume corresponds directly to an initial residual cell pool of</w:t>
      </w:r>
      <w:r>
        <w:t xml:space="preserve"> </w:t>
      </w:r>
      <m:oMath>
        <m:sSub>
          <m:e>
            <m:r>
              <m:t>N</m:t>
            </m:r>
          </m:e>
          <m:sub>
            <m:r>
              <m:t>0</m:t>
            </m:r>
          </m:sub>
        </m:sSub>
        <m:r>
          <m:rPr>
            <m:sty m:val="p"/>
          </m:rPr>
          <m:t>≈</m:t>
        </m:r>
        <m:sSup>
          <m:e>
            <m:r>
              <m:t>10</m:t>
            </m:r>
          </m:e>
          <m:sup>
            <m:r>
              <m:t>3</m:t>
            </m:r>
          </m:sup>
        </m:sSup>
        <m:r>
          <m:rPr>
            <m:nor/>
            <m:sty m:val="p"/>
          </m:rPr>
          <m:t>–</m:t>
        </m:r>
        <m:sSup>
          <m:e>
            <m:r>
              <m:t>10</m:t>
            </m:r>
          </m:e>
          <m:sup>
            <m:r>
              <m:t>5</m:t>
            </m:r>
          </m:sup>
        </m:sSup>
        <m:r>
          <m:t> </m:t>
        </m:r>
        <m:r>
          <m:rPr>
            <m:nor/>
            <m:sty m:val="p"/>
          </m:rPr>
          <m:t>cells</m:t>
        </m:r>
      </m:oMath>
      <w:r>
        <w:t xml:space="preserve">.</w:t>
      </w:r>
    </w:p>
    <w:p>
      <w:r>
        <w:pict>
          <v:rect style="width:0;height:1.5pt" o:hralign="center" o:hrstd="t" o:hr="t"/>
        </w:pict>
      </w:r>
    </w:p>
    <w:bookmarkEnd w:id="28"/>
    <w:bookmarkEnd w:id="29"/>
    <w:bookmarkStart w:id="36" w:name="sensitivity-analysis-parameter-bounds"/>
    <w:p>
      <w:pPr>
        <w:pStyle w:val="Heading3"/>
      </w:pPr>
      <w:r>
        <w:t xml:space="preserve">2.3 Sensitivity Analysis &amp; Parameter Bounds</w:t>
      </w:r>
    </w:p>
    <w:bookmarkStart w:id="30" w:name="X16fef474a1adfa99cd199cb69ee0dfab649980b"/>
    <w:p>
      <w:pPr>
        <w:pStyle w:val="Heading4"/>
      </w:pPr>
      <w:r>
        <w:t xml:space="preserve">Table 1. Outward Perivascular Cord Sensitivity (Baseline:</w:t>
      </w:r>
      <w:r>
        <w:t xml:space="preserve"> </w:t>
      </w:r>
      <m:oMath>
        <m:r>
          <m:t>θ</m:t>
        </m:r>
        <m:r>
          <m:rPr>
            <m:sty m:val="p"/>
          </m:rPr>
          <m:t>=</m:t>
        </m:r>
        <m:r>
          <m:t>0.35</m:t>
        </m:r>
        <m:r>
          <m:rPr>
            <m:sty m:val="p"/>
          </m:rPr>
          <m:t>,</m:t>
        </m:r>
        <m:sSub>
          <m:e>
            <m:r>
              <m:t>r</m:t>
            </m:r>
          </m:e>
          <m:sub>
            <m:r>
              <m:t>0</m:t>
            </m:r>
          </m:sub>
        </m:sSub>
        <m:r>
          <m:rPr>
            <m:sty m:val="p"/>
          </m:rPr>
          <m:t>=</m:t>
        </m:r>
        <m:r>
          <m:t>10</m:t>
        </m:r>
        <m:r>
          <m:t> </m:t>
        </m:r>
        <m:r>
          <m:t>μ</m:t>
        </m:r>
        <m:r>
          <m:rPr>
            <m:nor/>
            <m:sty m:val="p"/>
          </m:rPr>
          <m:t>m</m:t>
        </m:r>
        <m:r>
          <m:rPr>
            <m:sty m:val="p"/>
          </m:rPr>
          <m:t>,</m:t>
        </m:r>
        <m:sSub>
          <m:e>
            <m:r>
              <m:t>r</m:t>
            </m:r>
          </m:e>
          <m:sub>
            <m:r>
              <m:rPr>
                <m:nor/>
                <m:sty m:val="p"/>
              </m:rPr>
              <m:t>ox</m:t>
            </m:r>
          </m:sub>
        </m:sSub>
        <m:r>
          <m:rPr>
            <m:sty m:val="p"/>
          </m:rPr>
          <m:t>=</m:t>
        </m:r>
        <m:r>
          <m:t>200</m:t>
        </m:r>
        <m:r>
          <m:t> </m:t>
        </m:r>
        <m:r>
          <m:t>μ</m:t>
        </m:r>
        <m:r>
          <m:rPr>
            <m:nor/>
            <m:sty m:val="p"/>
          </m:rPr>
          <m:t>m</m:t>
        </m:r>
      </m:oMath>
      <w:r>
        <w:t xml:space="preserve">)</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Scenario</w:t>
            </w:r>
          </w:p>
        </w:tc>
        <w:tc>
          <w:tcPr/>
          <w:p>
            <w:pPr>
              <w:pStyle w:val="Compact"/>
              <w:jc w:val="center"/>
            </w:pPr>
            <m:oMath>
              <m:r>
                <m:t>λ</m:t>
              </m:r>
            </m:oMath>
            <w:r>
              <w:t xml:space="preserve"> </w:t>
            </w:r>
            <w:r>
              <w:t xml:space="preserve">(</w:t>
            </w:r>
            <m:oMath>
              <m:r>
                <m:t>μ</m:t>
              </m:r>
              <m:r>
                <m:rPr>
                  <m:nor/>
                  <m:sty m:val="p"/>
                </m:rPr>
                <m:t>m</m:t>
              </m:r>
            </m:oMath>
            <w:r>
              <w:t xml:space="preserve">)</w:t>
            </w:r>
          </w:p>
        </w:tc>
        <w:tc>
          <w:tcPr/>
          <w:p>
            <w:pPr>
              <w:pStyle w:val="Compact"/>
              <w:jc w:val="center"/>
            </w:pPr>
            <m:oMath>
              <m:sSub>
                <m:e>
                  <m:r>
                    <m:t>r</m:t>
                  </m:r>
                </m:e>
                <m:sub>
                  <m:r>
                    <m:rPr>
                      <m:nor/>
                      <m:sty m:val="p"/>
                    </m:rPr>
                    <m:t>crit</m:t>
                  </m:r>
                </m:sub>
              </m:sSub>
            </m:oMath>
            <w:r>
              <w:t xml:space="preserve"> </w:t>
            </w:r>
            <w:r>
              <w:t xml:space="preserve">(</w:t>
            </w:r>
            <m:oMath>
              <m:r>
                <m:t>μ</m:t>
              </m:r>
              <m:r>
                <m:rPr>
                  <m:nor/>
                  <m:sty m:val="p"/>
                </m:rPr>
                <m:t>m</m:t>
              </m:r>
            </m:oMath>
            <w:r>
              <w:t xml:space="preserve">)</w:t>
            </w:r>
          </w:p>
        </w:tc>
        <w:tc>
          <w:tcPr/>
          <w:p>
            <w:pPr>
              <w:pStyle w:val="Compact"/>
              <w:jc w:val="center"/>
            </w:pPr>
            <w:r>
              <w:t xml:space="preserve">Shell Width</w:t>
            </w:r>
            <w:r>
              <w:t xml:space="preserve"> </w:t>
            </w:r>
            <m:oMath>
              <m:r>
                <m:t>Δ</m:t>
              </m:r>
              <m:r>
                <m:t>r</m:t>
              </m:r>
            </m:oMath>
            <w:r>
              <w:t xml:space="preserve"> </w:t>
            </w:r>
            <w:r>
              <w:t xml:space="preserve">(</w:t>
            </w:r>
            <m:oMath>
              <m:sSub>
                <m:e>
                  <m:r>
                    <m:t>r</m:t>
                  </m:r>
                </m:e>
                <m:sub>
                  <m:r>
                    <m:rPr>
                      <m:nor/>
                      <m:sty m:val="p"/>
                    </m:rPr>
                    <m:t>ox</m:t>
                  </m:r>
                </m:sub>
              </m:sSub>
              <m:r>
                <m:rPr>
                  <m:sty m:val="p"/>
                </m:rPr>
                <m:t>=</m:t>
              </m:r>
              <m:r>
                <m:t>200</m:t>
              </m:r>
              <m:r>
                <m:t> </m:t>
              </m:r>
              <m:r>
                <m:t>μ</m:t>
              </m:r>
              <m:r>
                <m:rPr>
                  <m:nor/>
                  <m:sty m:val="p"/>
                </m:rPr>
                <m:t>m</m:t>
              </m:r>
            </m:oMath>
            <w:r>
              <w:t xml:space="preserve">)</w:t>
            </w:r>
          </w:p>
        </w:tc>
        <w:tc>
          <w:tcPr/>
          <w:p>
            <w:pPr>
              <w:pStyle w:val="Compact"/>
              <w:jc w:val="center"/>
            </w:pPr>
            <w:r>
              <w:t xml:space="preserve">Shell Width</w:t>
            </w:r>
            <w:r>
              <w:t xml:space="preserve"> </w:t>
            </w:r>
            <m:oMath>
              <m:r>
                <m:t>Δ</m:t>
              </m:r>
              <m:r>
                <m:t>r</m:t>
              </m:r>
            </m:oMath>
            <w:r>
              <w:t xml:space="preserve"> </w:t>
            </w:r>
            <w:r>
              <w:t xml:space="preserve">(</w:t>
            </w:r>
            <m:oMath>
              <m:sSub>
                <m:e>
                  <m:r>
                    <m:t>r</m:t>
                  </m:r>
                </m:e>
                <m:sub>
                  <m:r>
                    <m:rPr>
                      <m:nor/>
                      <m:sty m:val="p"/>
                    </m:rPr>
                    <m:t>ox</m:t>
                  </m:r>
                </m:sub>
              </m:sSub>
              <m:r>
                <m:rPr>
                  <m:sty m:val="p"/>
                </m:rPr>
                <m:t>=</m:t>
              </m:r>
              <m:r>
                <m:t>180</m:t>
              </m:r>
              <m:r>
                <m:t> </m:t>
              </m:r>
              <m:r>
                <m:t>μ</m:t>
              </m:r>
              <m:r>
                <m:rPr>
                  <m:nor/>
                  <m:sty m:val="p"/>
                </m:rPr>
                <m:t>m</m:t>
              </m:r>
            </m:oMath>
            <w:r>
              <w:t xml:space="preserve">)</w:t>
            </w:r>
          </w:p>
        </w:tc>
      </w:tr>
      <w:tr>
        <w:tc>
          <w:tcPr/>
          <w:p>
            <w:pPr>
              <w:pStyle w:val="Compact"/>
              <w:jc w:val="left"/>
            </w:pPr>
            <w:r>
              <w:rPr>
                <w:b/>
                <w:bCs/>
              </w:rPr>
              <w:t xml:space="preserve">Baseline</w:t>
            </w:r>
          </w:p>
        </w:tc>
        <w:tc>
          <w:tcPr/>
          <w:p>
            <w:pPr>
              <w:pStyle w:val="Compact"/>
              <w:jc w:val="center"/>
            </w:pPr>
            <w:r>
              <w:rPr>
                <w:b/>
                <w:bCs/>
              </w:rPr>
              <w:t xml:space="preserve">627.6</w:t>
            </w:r>
          </w:p>
        </w:tc>
        <w:tc>
          <w:tcPr/>
          <w:p>
            <w:pPr>
              <w:pStyle w:val="Compact"/>
              <w:jc w:val="center"/>
            </w:pPr>
            <w:r>
              <w:rPr>
                <w:b/>
                <w:bCs/>
              </w:rPr>
              <w:t xml:space="preserve">165.9</w:t>
            </w:r>
          </w:p>
        </w:tc>
        <w:tc>
          <w:tcPr/>
          <w:p>
            <w:pPr>
              <w:pStyle w:val="Compact"/>
              <w:jc w:val="center"/>
            </w:pPr>
            <w:r>
              <w:rPr>
                <w:b/>
                <w:bCs/>
              </w:rPr>
              <w:t xml:space="preserve">34.1</w:t>
            </w:r>
          </w:p>
        </w:tc>
        <w:tc>
          <w:tcPr/>
          <w:p>
            <w:pPr>
              <w:pStyle w:val="Compact"/>
              <w:jc w:val="center"/>
            </w:pPr>
            <w:r>
              <w:rPr>
                <w:b/>
                <w:bCs/>
              </w:rPr>
              <w:t xml:space="preserve">14.1</w:t>
            </w:r>
          </w:p>
        </w:tc>
      </w:tr>
      <w:tr>
        <w:tc>
          <w:tcPr/>
          <w:p>
            <w:pPr>
              <w:pStyle w:val="Compact"/>
              <w:jc w:val="left"/>
            </w:pPr>
            <m:oMath>
              <m:r>
                <m:t>D</m:t>
              </m:r>
            </m:oMath>
            <w:r>
              <w:t xml:space="preserve"> </w:t>
            </w:r>
            <w:r>
              <w:t xml:space="preserve">+30%</w:t>
            </w:r>
          </w:p>
        </w:tc>
        <w:tc>
          <w:tcPr/>
          <w:p>
            <w:pPr>
              <w:pStyle w:val="Compact"/>
              <w:jc w:val="center"/>
            </w:pPr>
            <w:r>
              <w:t xml:space="preserve">715.6</w:t>
            </w:r>
          </w:p>
        </w:tc>
        <w:tc>
          <w:tcPr/>
          <w:p>
            <w:pPr>
              <w:pStyle w:val="Compact"/>
              <w:jc w:val="center"/>
            </w:pPr>
            <w:r>
              <w:t xml:space="preserve">180.1</w:t>
            </w:r>
          </w:p>
        </w:tc>
        <w:tc>
          <w:tcPr/>
          <w:p>
            <w:pPr>
              <w:pStyle w:val="Compact"/>
              <w:jc w:val="center"/>
            </w:pPr>
            <w:r>
              <w:t xml:space="preserve">19.9</w:t>
            </w:r>
          </w:p>
        </w:tc>
        <w:tc>
          <w:tcPr/>
          <w:p>
            <w:pPr>
              <w:pStyle w:val="Compact"/>
              <w:jc w:val="center"/>
            </w:pPr>
            <w:r>
              <w:t xml:space="preserve">None</w:t>
            </w:r>
          </w:p>
        </w:tc>
      </w:tr>
      <w:tr>
        <w:tc>
          <w:tcPr/>
          <w:p>
            <w:pPr>
              <w:pStyle w:val="Compact"/>
              <w:jc w:val="left"/>
            </w:pPr>
            <m:oMath>
              <m:r>
                <m:t>D</m:t>
              </m:r>
            </m:oMath>
            <w:r>
              <w:t xml:space="preserve"> </w:t>
            </w:r>
            <w:r>
              <w:t xml:space="preserve">-30%</w:t>
            </w:r>
          </w:p>
        </w:tc>
        <w:tc>
          <w:tcPr/>
          <w:p>
            <w:pPr>
              <w:pStyle w:val="Compact"/>
              <w:jc w:val="center"/>
            </w:pPr>
            <w:r>
              <w:t xml:space="preserve">525.1</w:t>
            </w:r>
          </w:p>
        </w:tc>
        <w:tc>
          <w:tcPr/>
          <w:p>
            <w:pPr>
              <w:pStyle w:val="Compact"/>
              <w:jc w:val="center"/>
            </w:pPr>
            <w:r>
              <w:t xml:space="preserve">148.5</w:t>
            </w:r>
          </w:p>
        </w:tc>
        <w:tc>
          <w:tcPr/>
          <w:p>
            <w:pPr>
              <w:pStyle w:val="Compact"/>
              <w:jc w:val="center"/>
            </w:pPr>
            <w:r>
              <w:t xml:space="preserve">51.5</w:t>
            </w:r>
          </w:p>
        </w:tc>
        <w:tc>
          <w:tcPr/>
          <w:p>
            <w:pPr>
              <w:pStyle w:val="Compact"/>
              <w:jc w:val="center"/>
            </w:pPr>
            <w:r>
              <w:t xml:space="preserve">31.5</w:t>
            </w:r>
          </w:p>
        </w:tc>
      </w:tr>
      <w:tr>
        <w:tc>
          <w:tcPr/>
          <w:p>
            <w:pPr>
              <w:pStyle w:val="Compact"/>
              <w:jc w:val="left"/>
            </w:pPr>
            <m:oMath>
              <m:r>
                <m:t>k</m:t>
              </m:r>
            </m:oMath>
            <w:r>
              <w:t xml:space="preserve"> </w:t>
            </w:r>
            <w:r>
              <w:t xml:space="preserve">+30%</w:t>
            </w:r>
          </w:p>
        </w:tc>
        <w:tc>
          <w:tcPr/>
          <w:p>
            <w:pPr>
              <w:pStyle w:val="Compact"/>
              <w:jc w:val="center"/>
            </w:pPr>
            <w:r>
              <w:t xml:space="preserve">550.5</w:t>
            </w:r>
          </w:p>
        </w:tc>
        <w:tc>
          <w:tcPr/>
          <w:p>
            <w:pPr>
              <w:pStyle w:val="Compact"/>
              <w:jc w:val="center"/>
            </w:pPr>
            <w:r>
              <w:t xml:space="preserve">152.9</w:t>
            </w:r>
          </w:p>
        </w:tc>
        <w:tc>
          <w:tcPr/>
          <w:p>
            <w:pPr>
              <w:pStyle w:val="Compact"/>
              <w:jc w:val="center"/>
            </w:pPr>
            <w:r>
              <w:t xml:space="preserve">47.1</w:t>
            </w:r>
          </w:p>
        </w:tc>
        <w:tc>
          <w:tcPr/>
          <w:p>
            <w:pPr>
              <w:pStyle w:val="Compact"/>
              <w:jc w:val="center"/>
            </w:pPr>
            <w:r>
              <w:t xml:space="preserve">27.1</w:t>
            </w:r>
          </w:p>
        </w:tc>
      </w:tr>
      <w:tr>
        <w:tc>
          <w:tcPr/>
          <w:p>
            <w:pPr>
              <w:pStyle w:val="Compact"/>
              <w:jc w:val="left"/>
            </w:pPr>
            <m:oMath>
              <m:r>
                <m:t>k</m:t>
              </m:r>
            </m:oMath>
            <w:r>
              <w:t xml:space="preserve"> </w:t>
            </w:r>
            <w:r>
              <w:t xml:space="preserve">-30%</w:t>
            </w:r>
          </w:p>
        </w:tc>
        <w:tc>
          <w:tcPr/>
          <w:p>
            <w:pPr>
              <w:pStyle w:val="Compact"/>
              <w:jc w:val="center"/>
            </w:pPr>
            <w:r>
              <w:t xml:space="preserve">750.2</w:t>
            </w:r>
          </w:p>
        </w:tc>
        <w:tc>
          <w:tcPr/>
          <w:p>
            <w:pPr>
              <w:pStyle w:val="Compact"/>
              <w:jc w:val="center"/>
            </w:pPr>
            <w:r>
              <w:t xml:space="preserve">185.5</w:t>
            </w:r>
          </w:p>
        </w:tc>
        <w:tc>
          <w:tcPr/>
          <w:p>
            <w:pPr>
              <w:pStyle w:val="Compact"/>
              <w:jc w:val="center"/>
            </w:pPr>
            <w:r>
              <w:t xml:space="preserve">14.5</w:t>
            </w:r>
          </w:p>
        </w:tc>
        <w:tc>
          <w:tcPr/>
          <w:p>
            <w:pPr>
              <w:pStyle w:val="Compact"/>
              <w:jc w:val="center"/>
            </w:pPr>
            <w:r>
              <w:t xml:space="preserve">None</w:t>
            </w:r>
          </w:p>
        </w:tc>
      </w:tr>
      <w:tr>
        <w:tc>
          <w:tcPr/>
          <w:p>
            <w:pPr>
              <w:pStyle w:val="Compact"/>
              <w:jc w:val="left"/>
            </w:pPr>
            <m:oMath>
              <m:r>
                <m:t>D</m:t>
              </m:r>
            </m:oMath>
            <w:r>
              <w:t xml:space="preserve"> </w:t>
            </w:r>
            <w:r>
              <w:t xml:space="preserve">+30% and</w:t>
            </w:r>
            <w:r>
              <w:t xml:space="preserve"> </w:t>
            </w:r>
            <m:oMath>
              <m:r>
                <m:t>k</m:t>
              </m:r>
            </m:oMath>
            <w:r>
              <w:t xml:space="preserve"> </w:t>
            </w:r>
            <w:r>
              <w:t xml:space="preserve">-30%</w:t>
            </w:r>
          </w:p>
        </w:tc>
        <w:tc>
          <w:tcPr/>
          <w:p>
            <w:pPr>
              <w:pStyle w:val="Compact"/>
              <w:jc w:val="center"/>
            </w:pPr>
            <w:r>
              <w:t xml:space="preserve">855.3</w:t>
            </w:r>
          </w:p>
        </w:tc>
        <w:tc>
          <w:tcPr/>
          <w:p>
            <w:pPr>
              <w:pStyle w:val="Compact"/>
              <w:jc w:val="center"/>
            </w:pPr>
            <w:r>
              <w:t xml:space="preserve">201.4</w:t>
            </w:r>
          </w:p>
        </w:tc>
        <w:tc>
          <w:tcPr/>
          <w:p>
            <w:pPr>
              <w:pStyle w:val="Compact"/>
              <w:jc w:val="center"/>
            </w:pPr>
            <w:r>
              <w:t xml:space="preserve">None</w:t>
            </w:r>
          </w:p>
        </w:tc>
        <w:tc>
          <w:tcPr/>
          <w:p>
            <w:pPr>
              <w:pStyle w:val="Compact"/>
              <w:jc w:val="center"/>
            </w:pPr>
            <w:r>
              <w:t xml:space="preserve">None</w:t>
            </w:r>
          </w:p>
        </w:tc>
      </w:tr>
      <w:tr>
        <w:tc>
          <w:tcPr/>
          <w:p>
            <w:pPr>
              <w:pStyle w:val="Compact"/>
              <w:jc w:val="left"/>
            </w:pPr>
            <m:oMath>
              <m:r>
                <m:t>D</m:t>
              </m:r>
            </m:oMath>
            <w:r>
              <w:t xml:space="preserve"> </w:t>
            </w:r>
            <w:r>
              <w:t xml:space="preserve">-30% and</w:t>
            </w:r>
            <w:r>
              <w:t xml:space="preserve"> </w:t>
            </w:r>
            <m:oMath>
              <m:r>
                <m:t>k</m:t>
              </m:r>
            </m:oMath>
            <w:r>
              <w:t xml:space="preserve"> </w:t>
            </w:r>
            <w:r>
              <w:t xml:space="preserve">+30%</w:t>
            </w:r>
          </w:p>
        </w:tc>
        <w:tc>
          <w:tcPr/>
          <w:p>
            <w:pPr>
              <w:pStyle w:val="Compact"/>
              <w:jc w:val="center"/>
            </w:pPr>
            <w:r>
              <w:t xml:space="preserve">460.6</w:t>
            </w:r>
          </w:p>
        </w:tc>
        <w:tc>
          <w:tcPr/>
          <w:p>
            <w:pPr>
              <w:pStyle w:val="Compact"/>
              <w:jc w:val="center"/>
            </w:pPr>
            <w:r>
              <w:t xml:space="preserve">136.9</w:t>
            </w:r>
          </w:p>
        </w:tc>
        <w:tc>
          <w:tcPr/>
          <w:p>
            <w:pPr>
              <w:pStyle w:val="Compact"/>
              <w:jc w:val="center"/>
            </w:pPr>
            <w:r>
              <w:t xml:space="preserve">63.1</w:t>
            </w:r>
          </w:p>
        </w:tc>
        <w:tc>
          <w:tcPr/>
          <w:p>
            <w:pPr>
              <w:pStyle w:val="Compact"/>
              <w:jc w:val="center"/>
            </w:pPr>
            <w:r>
              <w:t xml:space="preserve">43.1</w:t>
            </w:r>
          </w:p>
        </w:tc>
      </w:tr>
      <w:tr>
        <w:tc>
          <w:tcPr/>
          <w:p>
            <w:pPr>
              <w:pStyle w:val="Compact"/>
              <w:jc w:val="left"/>
            </w:pPr>
            <w:r>
              <w:t xml:space="preserve">Vessel radius</w:t>
            </w:r>
            <w:r>
              <w:t xml:space="preserve"> </w:t>
            </w:r>
            <m:oMath>
              <m:sSub>
                <m:e>
                  <m:r>
                    <m:t>r</m:t>
                  </m:r>
                </m:e>
                <m:sub>
                  <m:r>
                    <m:t>0</m:t>
                  </m:r>
                </m:sub>
              </m:sSub>
              <m:r>
                <m:rPr>
                  <m:sty m:val="p"/>
                </m:rPr>
                <m:t>=</m:t>
              </m:r>
              <m:r>
                <m:t>5</m:t>
              </m:r>
              <m:r>
                <m:t> </m:t>
              </m:r>
              <m:r>
                <m:t>μ</m:t>
              </m:r>
              <m:r>
                <m:rPr>
                  <m:nor/>
                  <m:sty m:val="p"/>
                </m:rPr>
                <m:t>m</m:t>
              </m:r>
            </m:oMath>
          </w:p>
        </w:tc>
        <w:tc>
          <w:tcPr/>
          <w:p>
            <w:pPr>
              <w:pStyle w:val="Compact"/>
              <w:jc w:val="center"/>
            </w:pPr>
            <w:r>
              <w:t xml:space="preserve">627.6</w:t>
            </w:r>
          </w:p>
        </w:tc>
        <w:tc>
          <w:tcPr/>
          <w:p>
            <w:pPr>
              <w:pStyle w:val="Compact"/>
              <w:jc w:val="center"/>
            </w:pPr>
            <w:r>
              <w:t xml:space="preserve">128.3</w:t>
            </w:r>
          </w:p>
        </w:tc>
        <w:tc>
          <w:tcPr/>
          <w:p>
            <w:pPr>
              <w:pStyle w:val="Compact"/>
              <w:jc w:val="center"/>
            </w:pPr>
            <w:r>
              <w:t xml:space="preserve">71.7</w:t>
            </w:r>
          </w:p>
        </w:tc>
        <w:tc>
          <w:tcPr/>
          <w:p>
            <w:pPr>
              <w:pStyle w:val="Compact"/>
              <w:jc w:val="center"/>
            </w:pPr>
            <w:r>
              <w:t xml:space="preserve">51.7</w:t>
            </w:r>
          </w:p>
        </w:tc>
      </w:tr>
      <w:tr>
        <w:tc>
          <w:tcPr/>
          <w:p>
            <w:pPr>
              <w:pStyle w:val="Compact"/>
              <w:jc w:val="left"/>
            </w:pPr>
            <w:r>
              <w:t xml:space="preserve">Vessel radius</w:t>
            </w:r>
            <w:r>
              <w:t xml:space="preserve"> </w:t>
            </w:r>
            <m:oMath>
              <m:sSub>
                <m:e>
                  <m:r>
                    <m:t>r</m:t>
                  </m:r>
                </m:e>
                <m:sub>
                  <m:r>
                    <m:t>0</m:t>
                  </m:r>
                </m:sub>
              </m:sSub>
              <m:r>
                <m:rPr>
                  <m:sty m:val="p"/>
                </m:rPr>
                <m:t>=</m:t>
              </m:r>
              <m:r>
                <m:t>20</m:t>
              </m:r>
              <m:r>
                <m:t> </m:t>
              </m:r>
              <m:r>
                <m:t>μ</m:t>
              </m:r>
              <m:r>
                <m:rPr>
                  <m:nor/>
                  <m:sty m:val="p"/>
                </m:rPr>
                <m:t>m</m:t>
              </m:r>
            </m:oMath>
          </w:p>
        </w:tc>
        <w:tc>
          <w:tcPr/>
          <w:p>
            <w:pPr>
              <w:pStyle w:val="Compact"/>
              <w:jc w:val="center"/>
            </w:pPr>
            <w:r>
              <w:t xml:space="preserve">627.6</w:t>
            </w:r>
          </w:p>
        </w:tc>
        <w:tc>
          <w:tcPr/>
          <w:p>
            <w:pPr>
              <w:pStyle w:val="Compact"/>
              <w:jc w:val="center"/>
            </w:pPr>
            <w:r>
              <w:t xml:space="preserve">216.2</w:t>
            </w:r>
          </w:p>
        </w:tc>
        <w:tc>
          <w:tcPr/>
          <w:p>
            <w:pPr>
              <w:pStyle w:val="Compact"/>
              <w:jc w:val="center"/>
            </w:pPr>
            <w:r>
              <w:t xml:space="preserve">None</w:t>
            </w:r>
          </w:p>
        </w:tc>
        <w:tc>
          <w:tcPr/>
          <w:p>
            <w:pPr>
              <w:pStyle w:val="Compact"/>
              <w:jc w:val="center"/>
            </w:pPr>
            <w:r>
              <w:t xml:space="preserve">None</w:t>
            </w:r>
          </w:p>
        </w:tc>
      </w:tr>
    </w:tbl>
    <w:p>
      <w:pPr>
        <w:pStyle w:val="BodyText"/>
      </w:pPr>
      <w:r>
        <w:t xml:space="preserve">As shown in</w:t>
      </w:r>
      <w:r>
        <w:t xml:space="preserve"> </w:t>
      </w:r>
      <w:r>
        <w:rPr>
          <w:b/>
          <w:bCs/>
        </w:rPr>
        <w:t xml:space="preserve">Table 1</w:t>
      </w:r>
      <w:r>
        <w:t xml:space="preserve">, the sanctuary shell persists across isolated</w:t>
      </w:r>
      <w:r>
        <w:t xml:space="preserve"> </w:t>
      </w:r>
      <m:oMath>
        <m:r>
          <m:rPr>
            <m:sty m:val="p"/>
          </m:rPr>
          <m:t>±</m:t>
        </m:r>
        <m:r>
          <m:t>30</m:t>
        </m:r>
        <m:r>
          <m:rPr>
            <m:sty m:val="p"/>
          </m:rPr>
          <m:t>%</m:t>
        </m:r>
      </m:oMath>
      <w:r>
        <w:t xml:space="preserve"> </w:t>
      </w:r>
      <w:r>
        <w:t xml:space="preserve">parameter variations, but disappears when</w:t>
      </w:r>
      <w:r>
        <w:t xml:space="preserve"> </w:t>
      </w:r>
      <m:oMath>
        <m:r>
          <m:t>D</m:t>
        </m:r>
      </m:oMath>
      <w:r>
        <w:t xml:space="preserve"> </w:t>
      </w:r>
      <w:r>
        <w:t xml:space="preserve">is increased and</w:t>
      </w:r>
      <w:r>
        <w:t xml:space="preserve"> </w:t>
      </w:r>
      <m:oMath>
        <m:r>
          <m:t>k</m:t>
        </m:r>
      </m:oMath>
      <w:r>
        <w:t xml:space="preserve"> </w:t>
      </w:r>
      <w:r>
        <w:t xml:space="preserve">is decreased simultaneously (</w:t>
      </w:r>
      <m:oMath>
        <m:sSub>
          <m:e>
            <m:r>
              <m:t>r</m:t>
            </m:r>
          </m:e>
          <m:sub>
            <m:r>
              <m:rPr>
                <m:nor/>
                <m:sty m:val="p"/>
              </m:rPr>
              <m:t>crit</m:t>
            </m:r>
          </m:sub>
        </m:sSub>
        <m:r>
          <m:rPr>
            <m:sty m:val="p"/>
          </m:rPr>
          <m:t>=</m:t>
        </m:r>
        <m:r>
          <m:t>201.4</m:t>
        </m:r>
        <m:r>
          <m:t> </m:t>
        </m:r>
        <m:r>
          <m:t>μ</m:t>
        </m:r>
        <m:r>
          <m:rPr>
            <m:nor/>
            <m:sty m:val="p"/>
          </m:rPr>
          <m:t>m</m:t>
        </m:r>
        <m:r>
          <m:rPr>
            <m:sty m:val="p"/>
          </m:rPr>
          <m:t>&gt;</m:t>
        </m:r>
        <m:sSub>
          <m:e>
            <m:r>
              <m:t>r</m:t>
            </m:r>
          </m:e>
          <m:sub>
            <m:r>
              <m:rPr>
                <m:nor/>
                <m:sty m:val="p"/>
              </m:rPr>
              <m:t>ox</m:t>
            </m:r>
          </m:sub>
        </m:sSub>
      </m:oMath>
      <w:r>
        <w:t xml:space="preserve">).</w:t>
      </w:r>
    </w:p>
    <w:bookmarkEnd w:id="30"/>
    <w:bookmarkStart w:id="31" w:name="X6b17b717b40621e5c8ccbbc2926d94008867e5b"/>
    <w:p>
      <w:pPr>
        <w:pStyle w:val="Heading4"/>
      </w:pPr>
      <w:r>
        <w:t xml:space="preserve">Table 2. Inward Avascular Nest Geometry: Central Core Concentration</w:t>
      </w:r>
      <w:r>
        <w:t xml:space="preserve"> </w:t>
      </w:r>
      <m:oMath>
        <m:sSub>
          <m:e>
            <m:r>
              <m:t>C</m:t>
            </m:r>
          </m:e>
          <m:sub>
            <m:r>
              <m:rPr>
                <m:nor/>
                <m:sty m:val="p"/>
              </m:rPr>
              <m:t>in</m:t>
            </m:r>
          </m:sub>
        </m:sSub>
        <m:d>
          <m:dPr>
            <m:begChr m:val="("/>
            <m:endChr m:val=")"/>
            <m:sepChr m:val=""/>
            <m:grow/>
          </m:dPr>
          <m:e>
            <m:r>
              <m:t>0</m:t>
            </m:r>
          </m:e>
        </m:d>
        <m:r>
          <m:rPr>
            <m:sty m:val="p"/>
          </m:rPr>
          <m:t>/</m:t>
        </m:r>
        <m:sSub>
          <m:e>
            <m:r>
              <m:t>C</m:t>
            </m:r>
          </m:e>
          <m:sub>
            <m:r>
              <m:t>0</m:t>
            </m:r>
          </m:sub>
        </m:sSub>
        <m:r>
          <m:rPr>
            <m:sty m:val="p"/>
          </m:rPr>
          <m:t>=</m:t>
        </m:r>
        <m:r>
          <m:t>1</m:t>
        </m:r>
        <m:r>
          <m:rPr>
            <m:sty m:val="p"/>
          </m:rPr>
          <m:t>/</m:t>
        </m:r>
        <m:sSub>
          <m:e>
            <m:r>
              <m:t>I</m:t>
            </m:r>
          </m:e>
          <m:sub>
            <m:r>
              <m:t>0</m:t>
            </m:r>
          </m:sub>
        </m:sSub>
        <m:d>
          <m:dPr>
            <m:begChr m:val="("/>
            <m:endChr m:val=")"/>
            <m:sepChr m:val=""/>
            <m:grow/>
          </m:dPr>
          <m:e>
            <m:r>
              <m:t>R</m:t>
            </m:r>
            <m:r>
              <m:rPr>
                <m:sty m:val="p"/>
              </m:rPr>
              <m:t>/</m:t>
            </m:r>
            <m:r>
              <m:t>λ</m:t>
            </m:r>
          </m:e>
        </m:d>
      </m:oMath>
    </w:p>
    <w:tbl>
      <w:tblPr>
        <w:tblStyle w:val="Table"/>
        <w:tblW w:type="pct" w:w="5000"/>
        <w:jc w:val="left"/>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t xml:space="preserve">Nest Outer Radius</w:t>
            </w:r>
            <w:r>
              <w:t xml:space="preserve"> </w:t>
            </w:r>
            <m:oMath>
              <m:r>
                <m:t>R</m:t>
              </m:r>
            </m:oMath>
            <w:r>
              <w:t xml:space="preserve"> </w:t>
            </w:r>
            <w:r>
              <w:t xml:space="preserve">(</w:t>
            </w:r>
            <m:oMath>
              <m:r>
                <m:t>μ</m:t>
              </m:r>
              <m:r>
                <m:rPr>
                  <m:nor/>
                  <m:sty m:val="p"/>
                </m:rPr>
                <m:t>m</m:t>
              </m:r>
            </m:oMath>
            <w:r>
              <w:t xml:space="preserve">)</w:t>
            </w:r>
          </w:p>
        </w:tc>
        <w:tc>
          <w:tcPr/>
          <w:p>
            <w:pPr>
              <w:pStyle w:val="Compact"/>
              <w:jc w:val="center"/>
            </w:pPr>
            <w:r>
              <w:t xml:space="preserve">Osimertinib (</w:t>
            </w:r>
            <m:oMath>
              <m:r>
                <m:t>λ</m:t>
              </m:r>
              <m:r>
                <m:rPr>
                  <m:sty m:val="p"/>
                </m:rPr>
                <m:t>=</m:t>
              </m:r>
              <m:r>
                <m:t>627.6</m:t>
              </m:r>
              <m:r>
                <m:t> </m:t>
              </m:r>
              <m:r>
                <m:t>μ</m:t>
              </m:r>
              <m:r>
                <m:rPr>
                  <m:nor/>
                  <m:sty m:val="p"/>
                </m:rPr>
                <m:t>m</m:t>
              </m:r>
            </m:oMath>
            <w:r>
              <w:t xml:space="preserve">)</w:t>
            </w:r>
          </w:p>
        </w:tc>
        <w:tc>
          <w:tcPr/>
          <w:p>
            <w:pPr>
              <w:pStyle w:val="Compact"/>
              <w:jc w:val="center"/>
            </w:pPr>
            <w:r>
              <w:t xml:space="preserve">Macromolecule ADC (</w:t>
            </w:r>
            <m:oMath>
              <m:r>
                <m:t>λ</m:t>
              </m:r>
              <m:r>
                <m:rPr>
                  <m:sty m:val="p"/>
                </m:rPr>
                <m:t>=</m:t>
              </m:r>
              <m:r>
                <m:t>77.5</m:t>
              </m:r>
              <m:r>
                <m:t> </m:t>
              </m:r>
              <m:r>
                <m:t>μ</m:t>
              </m:r>
              <m:r>
                <m:rPr>
                  <m:nor/>
                  <m:sty m:val="p"/>
                </m:rPr>
                <m:t>m</m:t>
              </m:r>
            </m:oMath>
            <w:r>
              <w:t xml:space="preserve">)</w:t>
            </w:r>
          </w:p>
        </w:tc>
        <w:tc>
          <w:tcPr/>
          <w:p>
            <w:pPr>
              <w:pStyle w:val="Compact"/>
              <w:jc w:val="left"/>
            </w:pPr>
            <w:r>
              <w:t xml:space="preserve">Tissue Viability Status</w:t>
            </w:r>
          </w:p>
        </w:tc>
      </w:tr>
      <w:tr>
        <w:tc>
          <w:tcPr/>
          <w:p>
            <w:pPr>
              <w:pStyle w:val="Compact"/>
              <w:jc w:val="center"/>
            </w:pPr>
            <m:oMath>
              <m:r>
                <m:t>100</m:t>
              </m:r>
              <m:r>
                <m:t> </m:t>
              </m:r>
              <m:r>
                <m:t>μ</m:t>
              </m:r>
              <m:r>
                <m:rPr>
                  <m:nor/>
                  <m:sty m:val="p"/>
                </m:rPr>
                <m:t>m</m:t>
              </m:r>
            </m:oMath>
          </w:p>
        </w:tc>
        <w:tc>
          <w:tcPr/>
          <w:p>
            <w:pPr>
              <w:pStyle w:val="Compact"/>
              <w:jc w:val="center"/>
            </w:pPr>
            <w:r>
              <w:rPr>
                <w:b/>
                <w:bCs/>
              </w:rPr>
              <w:t xml:space="preserve">0.994</w:t>
            </w:r>
            <w:r>
              <w:t xml:space="preserve"> </w:t>
            </w:r>
            <w:r>
              <w:t xml:space="preserve">(99.4%)</w:t>
            </w:r>
          </w:p>
        </w:tc>
        <w:tc>
          <w:tcPr/>
          <w:p>
            <w:pPr>
              <w:pStyle w:val="Compact"/>
              <w:jc w:val="center"/>
            </w:pPr>
            <w:r>
              <w:t xml:space="preserve">0.684 (68.4%)</w:t>
            </w:r>
          </w:p>
        </w:tc>
        <w:tc>
          <w:tcPr/>
          <w:p>
            <w:pPr>
              <w:pStyle w:val="Compact"/>
              <w:jc w:val="left"/>
            </w:pPr>
            <w:r>
              <w:t xml:space="preserve">Viable throughout (</w:t>
            </w:r>
            <m:oMath>
              <m:r>
                <m:t>R</m:t>
              </m:r>
              <m:r>
                <m:rPr>
                  <m:sty m:val="p"/>
                </m:rPr>
                <m:t>&lt;</m:t>
              </m:r>
              <m:sSub>
                <m:e>
                  <m:r>
                    <m:t>R</m:t>
                  </m:r>
                </m:e>
                <m:sub>
                  <m:r>
                    <m:rPr>
                      <m:nor/>
                      <m:sty m:val="p"/>
                    </m:rPr>
                    <m:t>crit,ox</m:t>
                  </m:r>
                </m:sub>
              </m:sSub>
            </m:oMath>
            <w:r>
              <w:t xml:space="preserve">)</w:t>
            </w:r>
          </w:p>
        </w:tc>
      </w:tr>
      <w:tr>
        <w:tc>
          <w:tcPr/>
          <w:p>
            <w:pPr>
              <w:pStyle w:val="Compact"/>
              <w:jc w:val="center"/>
            </w:pPr>
            <m:oMath>
              <m:r>
                <m:t>150</m:t>
              </m:r>
              <m:r>
                <m:t> </m:t>
              </m:r>
              <m:r>
                <m:t>μ</m:t>
              </m:r>
              <m:r>
                <m:rPr>
                  <m:nor/>
                  <m:sty m:val="p"/>
                </m:rPr>
                <m:t>m</m:t>
              </m:r>
            </m:oMath>
          </w:p>
        </w:tc>
        <w:tc>
          <w:tcPr/>
          <w:p>
            <w:pPr>
              <w:pStyle w:val="Compact"/>
              <w:jc w:val="center"/>
            </w:pPr>
            <w:r>
              <w:rPr>
                <w:b/>
                <w:bCs/>
              </w:rPr>
              <w:t xml:space="preserve">0.986</w:t>
            </w:r>
            <w:r>
              <w:t xml:space="preserve"> </w:t>
            </w:r>
            <w:r>
              <w:t xml:space="preserve">(98.6%)</w:t>
            </w:r>
          </w:p>
        </w:tc>
        <w:tc>
          <w:tcPr/>
          <w:p>
            <w:pPr>
              <w:pStyle w:val="Compact"/>
              <w:jc w:val="center"/>
            </w:pPr>
            <w:r>
              <w:t xml:space="preserve">0.459 (45.9%)</w:t>
            </w:r>
          </w:p>
        </w:tc>
        <w:tc>
          <w:tcPr/>
          <w:p>
            <w:pPr>
              <w:pStyle w:val="Compact"/>
              <w:jc w:val="left"/>
            </w:pPr>
            <w:r>
              <w:t xml:space="preserve">Viable throughout (</w:t>
            </w:r>
            <m:oMath>
              <m:r>
                <m:t>R</m:t>
              </m:r>
              <m:r>
                <m:rPr>
                  <m:sty m:val="p"/>
                </m:rPr>
                <m:t>≈</m:t>
              </m:r>
              <m:sSub>
                <m:e>
                  <m:r>
                    <m:t>R</m:t>
                  </m:r>
                </m:e>
                <m:sub>
                  <m:r>
                    <m:rPr>
                      <m:nor/>
                      <m:sty m:val="p"/>
                    </m:rPr>
                    <m:t>crit,ox</m:t>
                  </m:r>
                </m:sub>
              </m:sSub>
            </m:oMath>
            <w:r>
              <w:t xml:space="preserve">)</w:t>
            </w:r>
          </w:p>
        </w:tc>
      </w:tr>
      <w:tr>
        <w:tc>
          <w:tcPr/>
          <w:p>
            <w:pPr>
              <w:pStyle w:val="Compact"/>
              <w:jc w:val="center"/>
            </w:pPr>
            <m:oMath>
              <m:r>
                <m:t>200</m:t>
              </m:r>
              <m:r>
                <m:t> </m:t>
              </m:r>
              <m:r>
                <m:t>μ</m:t>
              </m:r>
              <m:r>
                <m:rPr>
                  <m:nor/>
                  <m:sty m:val="p"/>
                </m:rPr>
                <m:t>m</m:t>
              </m:r>
            </m:oMath>
          </w:p>
        </w:tc>
        <w:tc>
          <w:tcPr/>
          <w:p>
            <w:pPr>
              <w:pStyle w:val="Compact"/>
              <w:jc w:val="center"/>
            </w:pPr>
            <w:r>
              <w:rPr>
                <w:b/>
                <w:bCs/>
              </w:rPr>
              <w:t xml:space="preserve">0.975</w:t>
            </w:r>
            <w:r>
              <w:t xml:space="preserve"> </w:t>
            </w:r>
            <w:r>
              <w:t xml:space="preserve">(97.5%)</w:t>
            </w:r>
          </w:p>
        </w:tc>
        <w:tc>
          <w:tcPr/>
          <w:p>
            <w:pPr>
              <w:pStyle w:val="Compact"/>
              <w:jc w:val="center"/>
            </w:pPr>
            <w:r>
              <w:t xml:space="preserve">0.286 (28.6%)</w:t>
            </w:r>
          </w:p>
        </w:tc>
        <w:tc>
          <w:tcPr/>
          <w:p>
            <w:pPr>
              <w:pStyle w:val="Compact"/>
              <w:jc w:val="left"/>
            </w:pPr>
            <w:r>
              <w:t xml:space="preserve">Core hypoxic/necrotic (</w:t>
            </w:r>
            <m:oMath>
              <m:r>
                <m:t>R</m:t>
              </m:r>
              <m:r>
                <m:rPr>
                  <m:sty m:val="p"/>
                </m:rPr>
                <m:t>&gt;</m:t>
              </m:r>
              <m:sSub>
                <m:e>
                  <m:r>
                    <m:t>R</m:t>
                  </m:r>
                </m:e>
                <m:sub>
                  <m:r>
                    <m:rPr>
                      <m:nor/>
                      <m:sty m:val="p"/>
                    </m:rPr>
                    <m:t>crit,ox</m:t>
                  </m:r>
                </m:sub>
              </m:sSub>
            </m:oMath>
            <w:r>
              <w:t xml:space="preserve">)</w:t>
            </w:r>
          </w:p>
        </w:tc>
      </w:tr>
      <w:tr>
        <w:tc>
          <w:tcPr/>
          <w:p>
            <w:pPr>
              <w:pStyle w:val="Compact"/>
              <w:jc w:val="center"/>
            </w:pPr>
            <m:oMath>
              <m:r>
                <m:t>300</m:t>
              </m:r>
              <m:r>
                <m:t> </m:t>
              </m:r>
              <m:r>
                <m:t>μ</m:t>
              </m:r>
              <m:r>
                <m:rPr>
                  <m:nor/>
                  <m:sty m:val="p"/>
                </m:rPr>
                <m:t>m</m:t>
              </m:r>
            </m:oMath>
          </w:p>
        </w:tc>
        <w:tc>
          <w:tcPr/>
          <w:p>
            <w:pPr>
              <w:pStyle w:val="Compact"/>
              <w:jc w:val="center"/>
            </w:pPr>
            <w:r>
              <w:rPr>
                <w:b/>
                <w:bCs/>
              </w:rPr>
              <w:t xml:space="preserve">0.945</w:t>
            </w:r>
            <w:r>
              <w:t xml:space="preserve"> </w:t>
            </w:r>
            <w:r>
              <w:t xml:space="preserve">(94.5%)</w:t>
            </w:r>
          </w:p>
        </w:tc>
        <w:tc>
          <w:tcPr/>
          <w:p>
            <w:pPr>
              <w:pStyle w:val="Compact"/>
              <w:jc w:val="center"/>
            </w:pPr>
            <w:r>
              <w:t xml:space="preserve">0.099 (9.9%)</w:t>
            </w:r>
          </w:p>
        </w:tc>
        <w:tc>
          <w:tcPr/>
          <w:p>
            <w:pPr>
              <w:pStyle w:val="Compact"/>
              <w:jc w:val="left"/>
            </w:pPr>
            <w:r>
              <w:t xml:space="preserve">Extensive central necrosis</w:t>
            </w:r>
          </w:p>
        </w:tc>
      </w:tr>
      <w:tr>
        <w:tc>
          <w:tcPr/>
          <w:p>
            <w:pPr>
              <w:pStyle w:val="Compact"/>
              <w:jc w:val="center"/>
            </w:pPr>
            <m:oMath>
              <m:r>
                <m:t>400</m:t>
              </m:r>
              <m:r>
                <m:t> </m:t>
              </m:r>
              <m:r>
                <m:t>μ</m:t>
              </m:r>
              <m:r>
                <m:rPr>
                  <m:nor/>
                  <m:sty m:val="p"/>
                </m:rPr>
                <m:t>m</m:t>
              </m:r>
            </m:oMath>
          </w:p>
        </w:tc>
        <w:tc>
          <w:tcPr/>
          <w:p>
            <w:pPr>
              <w:pStyle w:val="Compact"/>
              <w:jc w:val="center"/>
            </w:pPr>
            <w:r>
              <w:rPr>
                <w:b/>
                <w:bCs/>
              </w:rPr>
              <w:t xml:space="preserve">0.906</w:t>
            </w:r>
            <w:r>
              <w:t xml:space="preserve"> </w:t>
            </w:r>
            <w:r>
              <w:t xml:space="preserve">(90.6%)</w:t>
            </w:r>
          </w:p>
        </w:tc>
        <w:tc>
          <w:tcPr/>
          <w:p>
            <w:pPr>
              <w:pStyle w:val="Compact"/>
              <w:jc w:val="center"/>
            </w:pPr>
            <w:r>
              <w:t xml:space="preserve">0.032 (3.2%)</w:t>
            </w:r>
          </w:p>
        </w:tc>
        <w:tc>
          <w:tcPr/>
          <w:p>
            <w:pPr>
              <w:pStyle w:val="Compact"/>
              <w:jc w:val="left"/>
            </w:pPr>
            <w:r>
              <w:t xml:space="preserve">Extensive central necrosis</w:t>
            </w:r>
          </w:p>
        </w:tc>
      </w:tr>
    </w:tbl>
    <w:p>
      <w:pPr>
        <w:pStyle w:val="BodyText"/>
      </w:pPr>
      <w:r>
        <w:t xml:space="preserve">Crucially, as shown in</w:t>
      </w:r>
      <w:r>
        <w:t xml:space="preserve"> </w:t>
      </w:r>
      <w:r>
        <w:rPr>
          <w:b/>
          <w:bCs/>
        </w:rPr>
        <w:t xml:space="preserve">Table 2</w:t>
      </w:r>
      <w:r>
        <w:t xml:space="preserve">, in viable avascular nests (</w:t>
      </w:r>
      <m:oMath>
        <m:r>
          <m:t>R</m:t>
        </m:r>
        <m:r>
          <m:rPr>
            <m:sty m:val="p"/>
          </m:rPr>
          <m:t>≤</m:t>
        </m:r>
        <m:r>
          <m:t>150</m:t>
        </m:r>
        <m:r>
          <m:t> </m:t>
        </m:r>
        <m:r>
          <m:t>μ</m:t>
        </m:r>
        <m:r>
          <m:rPr>
            <m:nor/>
            <m:sty m:val="p"/>
          </m:rPr>
          <m:t>m</m:t>
        </m:r>
      </m:oMath>
      <w:r>
        <w:t xml:space="preserve">), central core concentration remains at</w:t>
      </w:r>
      <w:r>
        <w:t xml:space="preserve"> </w:t>
      </w:r>
      <m:oMath>
        <m:r>
          <m:rPr>
            <m:sty m:val="p"/>
          </m:rPr>
          <m:t>≥</m:t>
        </m:r>
        <m:r>
          <m:t>98.6</m:t>
        </m:r>
        <m:r>
          <m:rPr>
            <m:sty m:val="p"/>
          </m:rPr>
          <m:t>%</m:t>
        </m:r>
      </m:oMath>
      <w:r>
        <w:t xml:space="preserve"> </w:t>
      </w:r>
      <w:r>
        <w:t xml:space="preserve">for osimertinib and</w:t>
      </w:r>
      <w:r>
        <w:t xml:space="preserve"> </w:t>
      </w:r>
      <m:oMath>
        <m:r>
          <m:rPr>
            <m:sty m:val="p"/>
          </m:rPr>
          <m:t>≥</m:t>
        </m:r>
        <m:r>
          <m:t>45.9</m:t>
        </m:r>
        <m:r>
          <m:rPr>
            <m:sty m:val="p"/>
          </m:rPr>
          <m:t>%</m:t>
        </m:r>
      </m:oMath>
      <w:r>
        <w:t xml:space="preserve"> </w:t>
      </w:r>
      <w:r>
        <w:t xml:space="preserve">for macromolecular ADCs, both exceeding the inhibitory threshold</w:t>
      </w:r>
      <w:r>
        <w:t xml:space="preserve"> </w:t>
      </w:r>
      <m:oMath>
        <m:r>
          <m:t>θ</m:t>
        </m:r>
        <m:r>
          <m:rPr>
            <m:sty m:val="p"/>
          </m:rPr>
          <m:t>=</m:t>
        </m:r>
        <m:r>
          <m:t>0.35</m:t>
        </m:r>
      </m:oMath>
      <w:r>
        <w:t xml:space="preserve">. While ADCs experience severe central depletion in large nests (</w:t>
      </w:r>
      <m:oMath>
        <m:r>
          <m:t>R</m:t>
        </m:r>
        <m:r>
          <m:rPr>
            <m:sty m:val="p"/>
          </m:rPr>
          <m:t>≥</m:t>
        </m:r>
        <m:r>
          <m:t>200</m:t>
        </m:r>
        <m:r>
          <m:t> </m:t>
        </m:r>
        <m:r>
          <m:t>μ</m:t>
        </m:r>
        <m:r>
          <m:rPr>
            <m:nor/>
            <m:sty m:val="p"/>
          </m:rPr>
          <m:t>m</m:t>
        </m:r>
      </m:oMath>
      <w:r>
        <w:t xml:space="preserve">, dropping to</w:t>
      </w:r>
      <w:r>
        <w:t xml:space="preserve"> </w:t>
      </w:r>
      <m:oMath>
        <m:r>
          <m:t>28.6</m:t>
        </m:r>
        <m:r>
          <m:rPr>
            <m:sty m:val="p"/>
          </m:rPr>
          <m:t>%</m:t>
        </m:r>
      </m:oMath>
      <w:r>
        <w:t xml:space="preserve">), those inner core regions are already non-viable due to oxygen depletion (</w:t>
      </w:r>
      <m:oMath>
        <m:r>
          <m:t>R</m:t>
        </m:r>
        <m:r>
          <m:rPr>
            <m:sty m:val="p"/>
          </m:rPr>
          <m:t>&gt;</m:t>
        </m:r>
        <m:sSub>
          <m:e>
            <m:r>
              <m:t>R</m:t>
            </m:r>
          </m:e>
          <m:sub>
            <m:r>
              <m:rPr>
                <m:nor/>
                <m:sty m:val="p"/>
              </m:rPr>
              <m:t>crit,ox</m:t>
            </m:r>
          </m:sub>
        </m:sSub>
        <m:r>
          <m:rPr>
            <m:sty m:val="p"/>
          </m:rPr>
          <m:t>≈</m:t>
        </m:r>
        <m:r>
          <m:t>140</m:t>
        </m:r>
        <m:r>
          <m:rPr>
            <m:nor/>
            <m:sty m:val="p"/>
          </m:rPr>
          <m:t>–</m:t>
        </m:r>
        <m:r>
          <m:t>160</m:t>
        </m:r>
        <m:r>
          <m:t> </m:t>
        </m:r>
        <m:r>
          <m:t>μ</m:t>
        </m:r>
        <m:r>
          <m:rPr>
            <m:nor/>
            <m:sty m:val="p"/>
          </m:rPr>
          <m:t>m</m:t>
        </m:r>
      </m:oMath>
      <w:r>
        <w:t xml:space="preserve">). Consequently,</w:t>
      </w:r>
      <w:r>
        <w:t xml:space="preserve"> </w:t>
      </w:r>
      <w:r>
        <w:rPr>
          <w:b/>
          <w:bCs/>
        </w:rPr>
        <w:t xml:space="preserve">avascular tumor nests do not establish viable pharmacological sanctuaries for either small-molecule TKIs or macromolecular ADCs</w:t>
      </w:r>
      <w:r>
        <w:t xml:space="preserve">. Viable sanctuaries are strictly a geometric property of outward perivascular cords.</w:t>
      </w:r>
    </w:p>
    <w:bookmarkEnd w:id="31"/>
    <w:bookmarkStart w:id="35" w:name="X91b0839a1eb4c04ad7c61f3c8d5e2b08a69e2df"/>
    <w:p>
      <w:pPr>
        <w:pStyle w:val="Heading4"/>
      </w:pPr>
      <w:r>
        <w:t xml:space="preserve">Monte Carlo Analysis of Parameter Uncertainty</w:t>
      </w:r>
    </w:p>
    <w:p>
      <w:pPr>
        <w:pStyle w:val="FirstParagraph"/>
      </w:pPr>
      <w:r>
        <w:t xml:space="preserve">Because tissue transport parameters cannot be measured non-invasively in individual patients, we evaluated the prior probability of sanctuary existence using Monte Carlo sampling (</w:t>
      </w:r>
      <m:oMath>
        <m:r>
          <m:t>N</m:t>
        </m:r>
        <m:r>
          <m:rPr>
            <m:sty m:val="p"/>
          </m:rPr>
          <m:t>=</m:t>
        </m:r>
        <m:r>
          <m:t>10</m:t>
        </m:r>
        <m:r>
          <m:rPr>
            <m:sty m:val="p"/>
          </m:rPr>
          <m:t>,</m:t>
        </m:r>
        <m:r>
          <m:t>000</m:t>
        </m:r>
      </m:oMath>
      <w:r>
        <w:t xml:space="preserve"> </w:t>
      </w:r>
      <w:r>
        <w:t xml:space="preserve">draws, fixed pseudorandom seed = 2). Parameters were sampled from log-normal distributions centered at baseline values:</w:t>
      </w:r>
      <w:r>
        <w:t xml:space="preserve"> </w:t>
      </w:r>
      <m:oMath>
        <m:r>
          <m:t>D</m:t>
        </m:r>
      </m:oMath>
      <w:r>
        <w:t xml:space="preserve"> </w:t>
      </w:r>
      <w:r>
        <w:t xml:space="preserve">and</w:t>
      </w:r>
      <w:r>
        <w:t xml:space="preserve"> </w:t>
      </w:r>
      <m:oMath>
        <m:r>
          <m:t>k</m:t>
        </m:r>
      </m:oMath>
      <w:r>
        <w:t xml:space="preserve"> </w:t>
      </w:r>
      <w:r>
        <w:t xml:space="preserve">with 90% confidence spans spanning a 3-fold factor (</w:t>
      </w:r>
      <m:oMath>
        <m:r>
          <m:t>σ</m:t>
        </m:r>
        <m:r>
          <m:rPr>
            <m:sty m:val="p"/>
          </m:rPr>
          <m:t>=</m:t>
        </m:r>
        <m:r>
          <m:rPr>
            <m:sty m:val="p"/>
          </m:rPr>
          <m:t>ln</m:t>
        </m:r>
        <m:d>
          <m:dPr>
            <m:begChr m:val="("/>
            <m:endChr m:val=")"/>
            <m:sepChr m:val=""/>
            <m:grow/>
          </m:dPr>
          <m:e>
            <m:r>
              <m:t>3</m:t>
            </m:r>
          </m:e>
        </m:d>
        <m:r>
          <m:rPr>
            <m:sty m:val="p"/>
          </m:rPr>
          <m:t>/</m:t>
        </m:r>
        <m:r>
          <m:t>1.645</m:t>
        </m:r>
        <m:r>
          <m:rPr>
            <m:sty m:val="p"/>
          </m:rPr>
          <m:t>≈</m:t>
        </m:r>
        <m:r>
          <m:t>0.668</m:t>
        </m:r>
      </m:oMath>
      <w:r>
        <w:t xml:space="preserve">),</w:t>
      </w:r>
      <w:r>
        <w:t xml:space="preserve"> </w:t>
      </w:r>
      <m:oMath>
        <m:r>
          <m:t>θ</m:t>
        </m:r>
      </m:oMath>
      <w:r>
        <w:t xml:space="preserve"> </w:t>
      </w:r>
      <w:r>
        <w:t xml:space="preserve">log-normally distributed with a 2-fold factor (</w:t>
      </w:r>
      <m:oMath>
        <m:r>
          <m:t>σ</m:t>
        </m:r>
        <m:r>
          <m:rPr>
            <m:sty m:val="p"/>
          </m:rPr>
          <m:t>=</m:t>
        </m:r>
        <m:r>
          <m:rPr>
            <m:sty m:val="p"/>
          </m:rPr>
          <m:t>ln</m:t>
        </m:r>
        <m:d>
          <m:dPr>
            <m:begChr m:val="("/>
            <m:endChr m:val=")"/>
            <m:sepChr m:val=""/>
            <m:grow/>
          </m:dPr>
          <m:e>
            <m:r>
              <m:t>2</m:t>
            </m:r>
          </m:e>
        </m:d>
        <m:r>
          <m:rPr>
            <m:sty m:val="p"/>
          </m:rPr>
          <m:t>/</m:t>
        </m:r>
        <m:r>
          <m:t>1.645</m:t>
        </m:r>
        <m:r>
          <m:rPr>
            <m:sty m:val="p"/>
          </m:rPr>
          <m:t>≈</m:t>
        </m:r>
        <m:r>
          <m:t>0.421</m:t>
        </m:r>
      </m:oMath>
      <w:r>
        <w:t xml:space="preserve">), and oxygen limit</w:t>
      </w:r>
      <w:r>
        <w:t xml:space="preserve"> </w:t>
      </w:r>
      <m:oMath>
        <m:sSub>
          <m:e>
            <m:r>
              <m:t>r</m:t>
            </m:r>
          </m:e>
          <m:sub>
            <m:r>
              <m:rPr>
                <m:nor/>
                <m:sty m:val="p"/>
              </m:rPr>
              <m:t>ox</m:t>
            </m:r>
          </m:sub>
        </m:sSub>
      </m:oMath>
      <w:r>
        <w:t xml:space="preserve"> </w:t>
      </w:r>
      <w:r>
        <w:t xml:space="preserve">distributed uniformly between</w:t>
      </w:r>
      <w:r>
        <w:t xml:space="preserve"> </w:t>
      </w:r>
      <m:oMath>
        <m:r>
          <m:t>100</m:t>
        </m:r>
      </m:oMath>
      <w:r>
        <w:t xml:space="preserve"> </w:t>
      </w:r>
      <w:r>
        <w:t xml:space="preserve">and</w:t>
      </w:r>
      <w:r>
        <w:t xml:space="preserve"> </w:t>
      </w:r>
      <m:oMath>
        <m:r>
          <m:t>200</m:t>
        </m:r>
        <m:r>
          <m:t> </m:t>
        </m:r>
        <m:r>
          <m:t>μ</m:t>
        </m:r>
        <m:r>
          <m:rPr>
            <m:nor/>
            <m:sty m:val="p"/>
          </m:rPr>
          <m:t>m</m:t>
        </m:r>
      </m:oMath>
      <w:r>
        <w:t xml:space="preserve"> </w:t>
      </w:r>
      <w:r>
        <w:t xml:space="preserve">(Thomlinson &amp; Gray [4]; Worth et al. [13]).</w:t>
      </w:r>
    </w:p>
    <w:p>
      <w:pPr>
        <w:pStyle w:val="BodyText"/>
      </w:pPr>
      <w:r>
        <w:t xml:space="preserve">Under this prior distribution, an outward perivascular sanctuary shell existed in</w:t>
      </w:r>
      <w:r>
        <w:t xml:space="preserve"> </w:t>
      </w:r>
      <w:r>
        <w:rPr>
          <w:b/>
          <w:bCs/>
        </w:rPr>
        <w:t xml:space="preserve">46.1% of parameter draws</w:t>
      </w:r>
      <w:r>
        <w:t xml:space="preserve"> </w:t>
      </w:r>
      <w:r>
        <w:t xml:space="preserve">(and in</w:t>
      </w:r>
      <w:r>
        <w:t xml:space="preserve"> </w:t>
      </w:r>
      <w:r>
        <w:rPr>
          <w:b/>
          <w:bCs/>
        </w:rPr>
        <w:t xml:space="preserve">62.8% of draws</w:t>
      </w:r>
      <w:r>
        <w:t xml:space="preserve"> </w:t>
      </w:r>
      <w:r>
        <w:t xml:space="preserve">if</w:t>
      </w:r>
      <w:r>
        <w:t xml:space="preserve"> </w:t>
      </w:r>
      <m:oMath>
        <m:sSub>
          <m:e>
            <m:r>
              <m:t>r</m:t>
            </m:r>
          </m:e>
          <m:sub>
            <m:r>
              <m:rPr>
                <m:nor/>
                <m:sty m:val="p"/>
              </m:rPr>
              <m:t>ox</m:t>
            </m:r>
          </m:sub>
        </m:sSub>
      </m:oMath>
      <w:r>
        <w:t xml:space="preserve"> </w:t>
      </w:r>
      <w:r>
        <w:t xml:space="preserve">was held fixed at</w:t>
      </w:r>
      <w:r>
        <w:t xml:space="preserve"> </w:t>
      </w:r>
      <m:oMath>
        <m:r>
          <m:t>200</m:t>
        </m:r>
        <m:r>
          <m:t> </m:t>
        </m:r>
        <m:r>
          <m:t>μ</m:t>
        </m:r>
        <m:r>
          <m:rPr>
            <m:nor/>
            <m:sty m:val="p"/>
          </m:rPr>
          <m:t>m</m:t>
        </m:r>
      </m:oMath>
      <w:r>
        <w:t xml:space="preserve">). This 46.1% figure represents the prior probability under our assumed synthetic parameter distributions, rather than an empirical patient prevalence.</w:t>
      </w:r>
    </w:p>
    <w:p>
      <w:pPr>
        <w:pStyle w:val="CaptionedFigure"/>
      </w:pPr>
      <w:r>
        <w:drawing>
          <wp:inline>
            <wp:extent cx="5067300" cy="4053839"/>
            <wp:effectExtent b="0" l="0" r="0" t="0"/>
            <wp:docPr descr="Figure 1. Biophysical Reaction-Diffusion Transport Physics &amp; Parameter Sensitivity. (A) Outward perivascular cord concentration profiles for osimertinib and macromolecular ADC. Shaded orange region indicates the viable pharmacological sanctuary shell (\Delta r = 34.1\,\mu\text{m} for r_{\text{ox}} = 200\,\mu\text{m}; \Delta r = 14.1\,\mu\text{m} at r_{\text{ox}} = 180\,\mu\text{m}). (B) Inward avascular nest central core concentration 1/I_0(R/\lambda). (C) 2D parameter sensitivity heatmap across D and k. (D) Sensitivity of sanctuary shell width to hypoxia threshold r_{\text{ox}} and inhibitory threshold \theta." title="" id="33" name="Picture"/>
            <a:graphic>
              <a:graphicData uri="http://schemas.openxmlformats.org/drawingml/2006/picture">
                <pic:pic>
                  <pic:nvPicPr>
                    <pic:cNvPr descr="Figure1_transport_sensitivity.png" id="34" name="Picture"/>
                    <pic:cNvPicPr>
                      <a:picLocks noChangeArrowheads="1" noChangeAspect="1"/>
                    </pic:cNvPicPr>
                  </pic:nvPicPr>
                  <pic:blipFill>
                    <a:blip r:embed="rId32"/>
                    <a:stretch>
                      <a:fillRect/>
                    </a:stretch>
                  </pic:blipFill>
                  <pic:spPr bwMode="auto">
                    <a:xfrm>
                      <a:off x="0" y="0"/>
                      <a:ext cx="5067300" cy="4053839"/>
                    </a:xfrm>
                    <a:prstGeom prst="rect">
                      <a:avLst/>
                    </a:prstGeom>
                    <a:noFill/>
                    <a:ln w="9525">
                      <a:noFill/>
                      <a:headEnd/>
                      <a:tailEnd/>
                    </a:ln>
                  </pic:spPr>
                </pic:pic>
              </a:graphicData>
            </a:graphic>
          </wp:inline>
        </w:drawing>
      </w:r>
    </w:p>
    <w:p>
      <w:pPr>
        <w:pStyle w:val="ImageCaption"/>
      </w:pPr>
      <w:r>
        <w:rPr>
          <w:b/>
          <w:bCs/>
        </w:rPr>
        <w:t xml:space="preserve">Figure 1. Biophysical Reaction-Diffusion Transport Physics &amp; Parameter Sensitivity.</w:t>
      </w:r>
      <w:r>
        <w:t xml:space="preserve"> </w:t>
      </w:r>
      <w:r>
        <w:t xml:space="preserve">(A) Outward perivascular cord concentration profiles for osimertinib and macromolecular ADC. Shaded orange region indicates the viable pharmacological sanctuary shell (</w:t>
      </w:r>
      <m:oMath>
        <m:r>
          <m:t>Δ</m:t>
        </m:r>
        <m:r>
          <m:t>r</m:t>
        </m:r>
        <m:r>
          <m:rPr>
            <m:sty m:val="p"/>
          </m:rPr>
          <m:t>=</m:t>
        </m:r>
        <m:r>
          <m:t>34.1</m:t>
        </m:r>
        <m:r>
          <m:t> </m:t>
        </m:r>
        <m:r>
          <m:t>μ</m:t>
        </m:r>
        <m:r>
          <m:rPr>
            <m:nor/>
            <m:sty m:val="p"/>
          </m:rPr>
          <m:t>m</m:t>
        </m:r>
      </m:oMath>
      <w:r>
        <w:t xml:space="preserve"> </w:t>
      </w:r>
      <w:r>
        <w:t xml:space="preserve">for</w:t>
      </w:r>
      <w:r>
        <w:t xml:space="preserve"> </w:t>
      </w:r>
      <m:oMath>
        <m:sSub>
          <m:e>
            <m:r>
              <m:t>r</m:t>
            </m:r>
          </m:e>
          <m:sub>
            <m:r>
              <m:rPr>
                <m:nor/>
                <m:sty m:val="p"/>
              </m:rPr>
              <m:t>ox</m:t>
            </m:r>
          </m:sub>
        </m:sSub>
        <m:r>
          <m:rPr>
            <m:sty m:val="p"/>
          </m:rPr>
          <m:t>=</m:t>
        </m:r>
        <m:r>
          <m:t>200</m:t>
        </m:r>
        <m:r>
          <m:t> </m:t>
        </m:r>
        <m:r>
          <m:t>μ</m:t>
        </m:r>
        <m:r>
          <m:rPr>
            <m:nor/>
            <m:sty m:val="p"/>
          </m:rPr>
          <m:t>m</m:t>
        </m:r>
      </m:oMath>
      <w:r>
        <w:t xml:space="preserve">;</w:t>
      </w:r>
      <w:r>
        <w:t xml:space="preserve"> </w:t>
      </w:r>
      <m:oMath>
        <m:r>
          <m:t>Δ</m:t>
        </m:r>
        <m:r>
          <m:t>r</m:t>
        </m:r>
        <m:r>
          <m:rPr>
            <m:sty m:val="p"/>
          </m:rPr>
          <m:t>=</m:t>
        </m:r>
        <m:r>
          <m:t>14.1</m:t>
        </m:r>
        <m:r>
          <m:t> </m:t>
        </m:r>
        <m:r>
          <m:t>μ</m:t>
        </m:r>
        <m:r>
          <m:rPr>
            <m:nor/>
            <m:sty m:val="p"/>
          </m:rPr>
          <m:t>m</m:t>
        </m:r>
      </m:oMath>
      <w:r>
        <w:t xml:space="preserve"> </w:t>
      </w:r>
      <w:r>
        <w:t xml:space="preserve">at</w:t>
      </w:r>
      <w:r>
        <w:t xml:space="preserve"> </w:t>
      </w:r>
      <m:oMath>
        <m:sSub>
          <m:e>
            <m:r>
              <m:t>r</m:t>
            </m:r>
          </m:e>
          <m:sub>
            <m:r>
              <m:rPr>
                <m:nor/>
                <m:sty m:val="p"/>
              </m:rPr>
              <m:t>ox</m:t>
            </m:r>
          </m:sub>
        </m:sSub>
        <m:r>
          <m:rPr>
            <m:sty m:val="p"/>
          </m:rPr>
          <m:t>=</m:t>
        </m:r>
        <m:r>
          <m:t>180</m:t>
        </m:r>
        <m:r>
          <m:t> </m:t>
        </m:r>
        <m:r>
          <m:t>μ</m:t>
        </m:r>
        <m:r>
          <m:rPr>
            <m:nor/>
            <m:sty m:val="p"/>
          </m:rPr>
          <m:t>m</m:t>
        </m:r>
      </m:oMath>
      <w:r>
        <w:t xml:space="preserve">). (B) Inward avascular nest central core concentration</w:t>
      </w:r>
      <w:r>
        <w:t xml:space="preserve"> </w:t>
      </w:r>
      <m:oMath>
        <m:r>
          <m:t>1</m:t>
        </m:r>
        <m:r>
          <m:rPr>
            <m:sty m:val="p"/>
          </m:rPr>
          <m:t>/</m:t>
        </m:r>
        <m:sSub>
          <m:e>
            <m:r>
              <m:t>I</m:t>
            </m:r>
          </m:e>
          <m:sub>
            <m:r>
              <m:t>0</m:t>
            </m:r>
          </m:sub>
        </m:sSub>
        <m:d>
          <m:dPr>
            <m:begChr m:val="("/>
            <m:endChr m:val=")"/>
            <m:sepChr m:val=""/>
            <m:grow/>
          </m:dPr>
          <m:e>
            <m:r>
              <m:t>R</m:t>
            </m:r>
            <m:r>
              <m:rPr>
                <m:sty m:val="p"/>
              </m:rPr>
              <m:t>/</m:t>
            </m:r>
            <m:r>
              <m:t>λ</m:t>
            </m:r>
          </m:e>
        </m:d>
      </m:oMath>
      <w:r>
        <w:t xml:space="preserve">. (C) 2D parameter sensitivity heatmap across</w:t>
      </w:r>
      <w:r>
        <w:t xml:space="preserve"> </w:t>
      </w:r>
      <m:oMath>
        <m:r>
          <m:t>D</m:t>
        </m:r>
      </m:oMath>
      <w:r>
        <w:t xml:space="preserve"> </w:t>
      </w:r>
      <w:r>
        <w:t xml:space="preserve">and</w:t>
      </w:r>
      <w:r>
        <w:t xml:space="preserve"> </w:t>
      </w:r>
      <m:oMath>
        <m:r>
          <m:t>k</m:t>
        </m:r>
      </m:oMath>
      <w:r>
        <w:t xml:space="preserve">. (D) Sensitivity of sanctuary shell width to hypoxia threshold</w:t>
      </w:r>
      <w:r>
        <w:t xml:space="preserve"> </w:t>
      </w:r>
      <m:oMath>
        <m:sSub>
          <m:e>
            <m:r>
              <m:t>r</m:t>
            </m:r>
          </m:e>
          <m:sub>
            <m:r>
              <m:rPr>
                <m:nor/>
                <m:sty m:val="p"/>
              </m:rPr>
              <m:t>ox</m:t>
            </m:r>
          </m:sub>
        </m:sSub>
      </m:oMath>
      <w:r>
        <w:t xml:space="preserve"> </w:t>
      </w:r>
      <w:r>
        <w:t xml:space="preserve">and inhibitory threshold</w:t>
      </w:r>
      <w:r>
        <w:t xml:space="preserve"> </w:t>
      </w:r>
      <m:oMath>
        <m:r>
          <m:t>θ</m:t>
        </m:r>
      </m:oMath>
      <w:r>
        <w:t xml:space="preserve">.</w:t>
      </w:r>
    </w:p>
    <w:p>
      <w:r>
        <w:pict>
          <v:rect style="width:0;height:1.5pt" o:hralign="center" o:hrstd="t" o:hr="t"/>
        </w:pict>
      </w:r>
    </w:p>
    <w:bookmarkEnd w:id="35"/>
    <w:bookmarkEnd w:id="36"/>
    <w:bookmarkEnd w:id="37"/>
    <w:bookmarkStart w:id="45" w:name="X6ad64fed546e4492e13bae558125e09a52c2eae"/>
    <w:p>
      <w:pPr>
        <w:pStyle w:val="Heading2"/>
      </w:pPr>
      <w:r>
        <w:t xml:space="preserve">3. Clonal Regrowth &amp; The Analytical Lead-Time Identity</w:t>
      </w:r>
    </w:p>
    <w:bookmarkStart w:id="38" w:name="X57317046635cdab915e90f567ec9c8493691c46"/>
    <w:p>
      <w:pPr>
        <w:pStyle w:val="Heading3"/>
      </w:pPr>
      <w:r>
        <w:t xml:space="preserve">3.1 Replicator Dynamics as an Exploratory Model of Subclonal Coexistence</w:t>
      </w:r>
    </w:p>
    <w:p>
      <w:pPr>
        <w:pStyle w:val="FirstParagraph"/>
      </w:pPr>
      <w:r>
        <w:t xml:space="preserve">Within the perivascular sanctuary shell during active treatment, sub-inhibitory drug exposure allows sensitive proliferating cells (</w:t>
      </w:r>
      <m:oMath>
        <m:r>
          <m:t>S</m:t>
        </m:r>
      </m:oMath>
      <w:r>
        <w:t xml:space="preserve">) and drug-tolerant persister cells (</w:t>
      </w:r>
      <m:oMath>
        <m:r>
          <m:t>P</m:t>
        </m:r>
      </m:oMath>
      <w:r>
        <w:t xml:space="preserve">) to interact. We formalized this interaction using a continuous replicator equation (Kaznatcheev et al. [8]):</w:t>
      </w:r>
    </w:p>
    <w:p>
      <w:pPr>
        <w:pStyle w:val="BodyText"/>
      </w:pPr>
      <m:oMathPara>
        <m:oMathParaPr>
          <m:jc m:val="center"/>
        </m:oMathParaPr>
        <m:oMath>
          <m:f>
            <m:fPr>
              <m:type m:val="bar"/>
            </m:fPr>
            <m:num>
              <m:r>
                <m:t>d</m:t>
              </m:r>
              <m:r>
                <m:t>x</m:t>
              </m:r>
            </m:num>
            <m:den>
              <m:r>
                <m:t>d</m:t>
              </m:r>
              <m:r>
                <m:t>t</m:t>
              </m:r>
            </m:den>
          </m:f>
          <m:r>
            <m:rPr>
              <m:sty m:val="p"/>
            </m:rPr>
            <m:t>=</m:t>
          </m:r>
          <m:r>
            <m:t>x</m:t>
          </m:r>
          <m:d>
            <m:dPr>
              <m:begChr m:val="("/>
              <m:endChr m:val=")"/>
              <m:sepChr m:val=""/>
              <m:grow/>
            </m:dPr>
            <m:e>
              <m:r>
                <m:t>1</m:t>
              </m:r>
              <m:r>
                <m:rPr>
                  <m:sty m:val="p"/>
                </m:rPr>
                <m:t>−</m:t>
              </m:r>
              <m:r>
                <m:t>x</m:t>
              </m:r>
            </m:e>
          </m:d>
          <m:d>
            <m:dPr>
              <m:begChr m:val="["/>
              <m:endChr m:val="]"/>
              <m:sepChr m:val=""/>
              <m:grow/>
            </m:dPr>
            <m:e>
              <m:sSub>
                <m:e>
                  <m:r>
                    <m:t>f</m:t>
                  </m:r>
                </m:e>
                <m:sub>
                  <m:r>
                    <m:t>S</m:t>
                  </m:r>
                </m:sub>
              </m:sSub>
              <m:d>
                <m:dPr>
                  <m:begChr m:val="("/>
                  <m:endChr m:val=")"/>
                  <m:sepChr m:val=""/>
                  <m:grow/>
                </m:dPr>
                <m:e>
                  <m:r>
                    <m:t>x</m:t>
                  </m:r>
                </m:e>
              </m:d>
              <m:r>
                <m:rPr>
                  <m:sty m:val="p"/>
                </m:rPr>
                <m:t>−</m:t>
              </m:r>
              <m:sSub>
                <m:e>
                  <m:r>
                    <m:t>f</m:t>
                  </m:r>
                </m:e>
                <m:sub>
                  <m:r>
                    <m:t>P</m:t>
                  </m:r>
                </m:sub>
              </m:sSub>
              <m:d>
                <m:dPr>
                  <m:begChr m:val="("/>
                  <m:endChr m:val=")"/>
                  <m:sepChr m:val=""/>
                  <m:grow/>
                </m:dPr>
                <m:e>
                  <m:r>
                    <m:t>x</m:t>
                  </m:r>
                </m:e>
              </m:d>
            </m:e>
          </m:d>
        </m:oMath>
      </m:oMathPara>
    </w:p>
    <w:p>
      <w:pPr>
        <w:pStyle w:val="FirstParagraph"/>
      </w:pPr>
      <w:r>
        <w:t xml:space="preserve">where</w:t>
      </w:r>
      <w:r>
        <w:t xml:space="preserve"> </w:t>
      </w:r>
      <m:oMath>
        <m:r>
          <m:t>x</m:t>
        </m:r>
      </m:oMath>
      <w:r>
        <w:t xml:space="preserve"> </w:t>
      </w:r>
      <w:r>
        <w:t xml:space="preserve">represents the fraction of sensitive cells. To illustrate subclonal coexistence, we adopted an illustrative payoff matrix:</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0.736</m:t>
                    </m:r>
                  </m:e>
                  <m:e>
                    <m:r>
                      <m:t>2.866</m:t>
                    </m:r>
                  </m:e>
                </m:mr>
                <m:mr>
                  <m:e>
                    <m:r>
                      <m:t>2.188</m:t>
                    </m:r>
                  </m:e>
                  <m:e>
                    <m:r>
                      <m:rPr>
                        <m:sty m:val="p"/>
                      </m:rPr>
                      <m:t>−</m:t>
                    </m:r>
                    <m:r>
                      <m:t>1.772</m:t>
                    </m:r>
                  </m:e>
                </m:mr>
              </m:m>
            </m:e>
          </m:d>
        </m:oMath>
      </m:oMathPara>
    </w:p>
    <w:p>
      <w:pPr>
        <w:pStyle w:val="FirstParagraph"/>
      </w:pPr>
      <w:r>
        <w:t xml:space="preserve">yielding</w:t>
      </w:r>
      <w:r>
        <w:t xml:space="preserve"> </w:t>
      </w:r>
      <m:oMath>
        <m:r>
          <m:t>α</m:t>
        </m:r>
        <m:r>
          <m:rPr>
            <m:sty m:val="p"/>
          </m:rPr>
          <m:t>=</m:t>
        </m:r>
        <m:sSub>
          <m:e>
            <m:r>
              <m:t>a</m:t>
            </m:r>
          </m:e>
          <m:sub>
            <m:r>
              <m:t>11</m:t>
            </m:r>
          </m:sub>
        </m:sSub>
        <m:r>
          <m:rPr>
            <m:sty m:val="p"/>
          </m:rPr>
          <m:t>−</m:t>
        </m:r>
        <m:sSub>
          <m:e>
            <m:r>
              <m:t>a</m:t>
            </m:r>
          </m:e>
          <m:sub>
            <m:r>
              <m:t>12</m:t>
            </m:r>
          </m:sub>
        </m:sSub>
        <m:r>
          <m:rPr>
            <m:sty m:val="p"/>
          </m:rPr>
          <m:t>−</m:t>
        </m:r>
        <m:sSub>
          <m:e>
            <m:r>
              <m:t>a</m:t>
            </m:r>
          </m:e>
          <m:sub>
            <m:r>
              <m:t>21</m:t>
            </m:r>
          </m:sub>
        </m:sSub>
        <m:r>
          <m:rPr>
            <m:sty m:val="p"/>
          </m:rPr>
          <m:t>+</m:t>
        </m:r>
        <m:sSub>
          <m:e>
            <m:r>
              <m:t>a</m:t>
            </m:r>
          </m:e>
          <m:sub>
            <m:r>
              <m:t>22</m:t>
            </m:r>
          </m:sub>
        </m:sSub>
        <m:r>
          <m:rPr>
            <m:sty m:val="p"/>
          </m:rPr>
          <m:t>=</m:t>
        </m:r>
        <m:r>
          <m:rPr>
            <m:sty m:val="p"/>
          </m:rPr>
          <m:t>−</m:t>
        </m:r>
        <m:r>
          <m:t>7.562</m:t>
        </m:r>
      </m:oMath>
      <w:r>
        <w:t xml:space="preserve"> </w:t>
      </w:r>
      <w:r>
        <w:t xml:space="preserve">and</w:t>
      </w:r>
      <w:r>
        <w:t xml:space="preserve"> </w:t>
      </w:r>
      <m:oMath>
        <m:r>
          <m:t>β</m:t>
        </m:r>
        <m:r>
          <m:rPr>
            <m:sty m:val="p"/>
          </m:rPr>
          <m:t>=</m:t>
        </m:r>
        <m:sSub>
          <m:e>
            <m:r>
              <m:t>a</m:t>
            </m:r>
          </m:e>
          <m:sub>
            <m:r>
              <m:t>12</m:t>
            </m:r>
          </m:sub>
        </m:sSub>
        <m:r>
          <m:rPr>
            <m:sty m:val="p"/>
          </m:rPr>
          <m:t>−</m:t>
        </m:r>
        <m:sSub>
          <m:e>
            <m:r>
              <m:t>a</m:t>
            </m:r>
          </m:e>
          <m:sub>
            <m:r>
              <m:t>22</m:t>
            </m:r>
          </m:sub>
        </m:sSub>
        <m:r>
          <m:rPr>
            <m:sty m:val="p"/>
          </m:rPr>
          <m:t>=</m:t>
        </m:r>
        <m:r>
          <m:t>4.638</m:t>
        </m:r>
      </m:oMath>
      <w:r>
        <w:t xml:space="preserve">. The interior fixed point is:</w:t>
      </w:r>
    </w:p>
    <w:p>
      <w:pPr>
        <w:pStyle w:val="BodyText"/>
      </w:pPr>
      <m:oMathPara>
        <m:oMathParaPr>
          <m:jc m:val="center"/>
        </m:oMathParaPr>
        <m:oMath>
          <m:sSup>
            <m:e>
              <m:r>
                <m:t>x</m:t>
              </m:r>
            </m:e>
            <m:sup>
              <m:r>
                <m:rPr>
                  <m:sty m:val="p"/>
                </m:rPr>
                <m:t>*</m:t>
              </m:r>
            </m:sup>
          </m:sSup>
          <m:r>
            <m:rPr>
              <m:sty m:val="p"/>
            </m:rPr>
            <m:t>=</m:t>
          </m:r>
          <m:f>
            <m:fPr>
              <m:type m:val="bar"/>
            </m:fPr>
            <m:num>
              <m:r>
                <m:t>β</m:t>
              </m:r>
            </m:num>
            <m:den>
              <m:r>
                <m:rPr>
                  <m:sty m:val="p"/>
                </m:rPr>
                <m:t>−</m:t>
              </m:r>
              <m:r>
                <m:t>α</m:t>
              </m:r>
            </m:den>
          </m:f>
          <m:r>
            <m:rPr>
              <m:sty m:val="p"/>
            </m:rPr>
            <m:t>=</m:t>
          </m:r>
          <m:f>
            <m:fPr>
              <m:type m:val="bar"/>
            </m:fPr>
            <m:num>
              <m:r>
                <m:t>4.638</m:t>
              </m:r>
            </m:num>
            <m:den>
              <m:r>
                <m:t>7.562</m:t>
              </m:r>
            </m:den>
          </m:f>
          <m:r>
            <m:rPr>
              <m:sty m:val="p"/>
            </m:rPr>
            <m:t>=</m:t>
          </m:r>
          <m:r>
            <m:t>0.6133</m:t>
          </m:r>
        </m:oMath>
      </m:oMathPara>
    </w:p>
    <w:p>
      <w:pPr>
        <w:pStyle w:val="FirstParagraph"/>
      </w:pPr>
      <w:r>
        <w:t xml:space="preserve">with Jacobian eigenvalue</w:t>
      </w:r>
      <w:r>
        <w:t xml:space="preserve"> </w:t>
      </w:r>
      <m:oMath>
        <m:sSub>
          <m:e>
            <m:r>
              <m:t>λ</m:t>
            </m:r>
          </m:e>
          <m:sub>
            <m:r>
              <m:rPr>
                <m:nor/>
                <m:sty m:val="p"/>
              </m:rPr>
              <m:t>eig</m:t>
            </m:r>
          </m:sub>
        </m:sSub>
        <m:r>
          <m:rPr>
            <m:sty m:val="p"/>
          </m:rPr>
          <m:t>=</m:t>
        </m:r>
        <m:sSup>
          <m:e>
            <m:r>
              <m:t>x</m:t>
            </m:r>
          </m:e>
          <m:sup>
            <m:r>
              <m:rPr>
                <m:sty m:val="p"/>
              </m:rPr>
              <m:t>*</m:t>
            </m:r>
          </m:sup>
        </m:sSup>
        <m:d>
          <m:dPr>
            <m:begChr m:val="("/>
            <m:endChr m:val=")"/>
            <m:sepChr m:val=""/>
            <m:grow/>
          </m:dPr>
          <m:e>
            <m:r>
              <m:t>1</m:t>
            </m:r>
            <m:r>
              <m:rPr>
                <m:sty m:val="p"/>
              </m:rPr>
              <m:t>−</m:t>
            </m:r>
            <m:sSup>
              <m:e>
                <m:r>
                  <m:t>x</m:t>
                </m:r>
              </m:e>
              <m:sup>
                <m:r>
                  <m:rPr>
                    <m:sty m:val="p"/>
                  </m:rPr>
                  <m:t>*</m:t>
                </m:r>
              </m:sup>
            </m:sSup>
          </m:e>
        </m:d>
        <m:r>
          <m:t>α</m:t>
        </m:r>
        <m:r>
          <m:rPr>
            <m:sty m:val="p"/>
          </m:rPr>
          <m:t>=</m:t>
        </m:r>
        <m:r>
          <m:rPr>
            <m:sty m:val="p"/>
          </m:rPr>
          <m:t>−</m:t>
        </m:r>
        <m:r>
          <m:t>1.793</m:t>
        </m:r>
        <m:r>
          <m:rPr>
            <m:sty m:val="p"/>
          </m:rPr>
          <m:t>&lt;</m:t>
        </m:r>
        <m:r>
          <m:t>0</m:t>
        </m:r>
      </m:oMath>
      <w:r>
        <w:t xml:space="preserve">, confirming asymptotic Lyapunov stability. We emphasize that this game-theoretic formulation is an exploratory, uncalibrated theoretical model used to illustrate stable coexistence; the payoffs are free parameters and do not represent empirical fits from clinical trials.</w:t>
      </w:r>
    </w:p>
    <w:bookmarkEnd w:id="38"/>
    <w:bookmarkStart w:id="44" w:name="X1505ac844ce7909d83f379b589a117dd4d6b057"/>
    <w:p>
      <w:pPr>
        <w:pStyle w:val="Heading3"/>
      </w:pPr>
      <w:r>
        <w:t xml:space="preserve">3.2 Post-Cessation Regrowth &amp; The Lead-Time Identity</w:t>
      </w:r>
    </w:p>
    <w:p>
      <w:pPr>
        <w:pStyle w:val="FirstParagraph"/>
      </w:pPr>
      <w:r>
        <w:t xml:space="preserve">Following adjuvant therapy cessation at month 36, drug clears rapidly from tissue. Residual tumor burden expands from an initial microscopic inoculum</w:t>
      </w:r>
      <w:r>
        <w:t xml:space="preserve"> </w:t>
      </w:r>
      <m:oMath>
        <m:sSub>
          <m:e>
            <m:r>
              <m:t>N</m:t>
            </m:r>
          </m:e>
          <m:sub>
            <m:r>
              <m:t>0</m:t>
            </m:r>
          </m:sub>
        </m:sSub>
      </m:oMath>
      <w:r>
        <w:t xml:space="preserve"> </w:t>
      </w:r>
      <w:r>
        <w:t xml:space="preserve">with sensitive fraction</w:t>
      </w:r>
      <w:r>
        <w:t xml:space="preserve"> </w:t>
      </w:r>
      <m:oMath>
        <m:sSup>
          <m:e>
            <m:r>
              <m:t>x</m:t>
            </m:r>
          </m:e>
          <m:sup>
            <m:r>
              <m:rPr>
                <m:sty m:val="p"/>
              </m:rPr>
              <m:t>*</m:t>
            </m:r>
          </m:sup>
        </m:sSup>
        <m:r>
          <m:rPr>
            <m:sty m:val="p"/>
          </m:rPr>
          <m:t>=</m:t>
        </m:r>
        <m:r>
          <m:t>0.6133</m:t>
        </m:r>
      </m:oMath>
      <w:r>
        <w:t xml:space="preserve">:</w:t>
      </w:r>
    </w:p>
    <w:p>
      <w:pPr>
        <w:pStyle w:val="BodyText"/>
      </w:pPr>
      <m:oMathPara>
        <m:oMathParaPr>
          <m:jc m:val="center"/>
        </m:oMathParaPr>
        <m:oMath>
          <m:r>
            <m:t>N</m:t>
          </m:r>
          <m:d>
            <m:dPr>
              <m:begChr m:val="("/>
              <m:endChr m:val=")"/>
              <m:sepChr m:val=""/>
              <m:grow/>
            </m:dPr>
            <m:e>
              <m:r>
                <m:t>t</m:t>
              </m:r>
            </m:e>
          </m:d>
          <m:r>
            <m:rPr>
              <m:sty m:val="p"/>
            </m:rPr>
            <m:t>=</m:t>
          </m:r>
          <m:sSub>
            <m:e>
              <m:r>
                <m:t>N</m:t>
              </m:r>
            </m:e>
            <m:sub>
              <m:r>
                <m:t>0</m:t>
              </m:r>
            </m:sub>
          </m:sSub>
          <m:d>
            <m:dPr>
              <m:begChr m:val="["/>
              <m:endChr m:val="]"/>
              <m:sepChr m:val=""/>
              <m:grow/>
            </m:dPr>
            <m:e>
              <m:sSup>
                <m:e>
                  <m:r>
                    <m:t>x</m:t>
                  </m:r>
                </m:e>
                <m:sup>
                  <m:r>
                    <m:rPr>
                      <m:sty m:val="p"/>
                    </m:rPr>
                    <m:t>*</m:t>
                  </m:r>
                </m:sup>
              </m:sSup>
              <m:r>
                <m:rPr>
                  <m:sty m:val="p"/>
                </m:rPr>
                <m:t>⋅</m:t>
              </m:r>
              <m:sSup>
                <m:e>
                  <m:r>
                    <m:t>2</m:t>
                  </m:r>
                </m:e>
                <m:sup>
                  <m:r>
                    <m:t>t</m:t>
                  </m:r>
                  <m:r>
                    <m:rPr>
                      <m:sty m:val="p"/>
                    </m:rPr>
                    <m:t>/</m:t>
                  </m:r>
                  <m:sSub>
                    <m:e>
                      <m:r>
                        <m:t>T</m:t>
                      </m:r>
                    </m:e>
                    <m:sub>
                      <m:r>
                        <m:t>s</m:t>
                      </m:r>
                    </m:sub>
                  </m:sSub>
                </m:sup>
              </m:sSup>
              <m:r>
                <m:rPr>
                  <m:sty m:val="p"/>
                </m:rPr>
                <m:t>+</m:t>
              </m:r>
              <m:d>
                <m:dPr>
                  <m:begChr m:val="("/>
                  <m:endChr m:val=")"/>
                  <m:sepChr m:val=""/>
                  <m:grow/>
                </m:dPr>
                <m:e>
                  <m:r>
                    <m:t>1</m:t>
                  </m:r>
                  <m:r>
                    <m:rPr>
                      <m:sty m:val="p"/>
                    </m:rPr>
                    <m:t>−</m:t>
                  </m:r>
                  <m:sSup>
                    <m:e>
                      <m:r>
                        <m:t>x</m:t>
                      </m:r>
                    </m:e>
                    <m:sup>
                      <m:r>
                        <m:rPr>
                          <m:sty m:val="p"/>
                        </m:rPr>
                        <m:t>*</m:t>
                      </m:r>
                    </m:sup>
                  </m:sSup>
                </m:e>
              </m:d>
              <m:r>
                <m:rPr>
                  <m:sty m:val="p"/>
                </m:rPr>
                <m:t>⋅</m:t>
              </m:r>
              <m:sSup>
                <m:e>
                  <m:r>
                    <m:t>2</m:t>
                  </m:r>
                </m:e>
                <m:sup>
                  <m:r>
                    <m:t>t</m:t>
                  </m:r>
                  <m:r>
                    <m:rPr>
                      <m:sty m:val="p"/>
                    </m:rPr>
                    <m:t>/</m:t>
                  </m:r>
                  <m:sSub>
                    <m:e>
                      <m:r>
                        <m:t>T</m:t>
                      </m:r>
                    </m:e>
                    <m:sub>
                      <m:r>
                        <m:t>p</m:t>
                      </m:r>
                    </m:sub>
                  </m:sSub>
                </m:sup>
              </m:sSup>
            </m:e>
          </m:d>
        </m:oMath>
      </m:oMathPara>
    </w:p>
    <w:p>
      <w:pPr>
        <w:pStyle w:val="FirstParagraph"/>
      </w:pPr>
      <w:r>
        <w:t xml:space="preserve">where</w:t>
      </w:r>
      <w:r>
        <w:t xml:space="preserve"> </w:t>
      </w:r>
      <m:oMath>
        <m:sSub>
          <m:e>
            <m:r>
              <m:t>T</m:t>
            </m:r>
          </m:e>
          <m:sub>
            <m:r>
              <m:t>s</m:t>
            </m:r>
          </m:sub>
        </m:sSub>
        <m:r>
          <m:rPr>
            <m:sty m:val="p"/>
          </m:rPr>
          <m:t>=</m:t>
        </m:r>
        <m:r>
          <m:t>25.0</m:t>
        </m:r>
        <m:r>
          <m:t> </m:t>
        </m:r>
        <m:r>
          <m:rPr>
            <m:nor/>
            <m:sty m:val="p"/>
          </m:rPr>
          <m:t>days</m:t>
        </m:r>
      </m:oMath>
      <w:r>
        <w:t xml:space="preserve"> </w:t>
      </w:r>
      <w:r>
        <w:t xml:space="preserve">is the doubling time of sensitive cells and</w:t>
      </w:r>
      <w:r>
        <w:t xml:space="preserve"> </w:t>
      </w:r>
      <m:oMath>
        <m:sSub>
          <m:e>
            <m:r>
              <m:t>T</m:t>
            </m:r>
          </m:e>
          <m:sub>
            <m:r>
              <m:t>p</m:t>
            </m:r>
          </m:sub>
        </m:sSub>
        <m:r>
          <m:rPr>
            <m:sty m:val="p"/>
          </m:rPr>
          <m:t>=</m:t>
        </m:r>
        <m:r>
          <m:t>120.0</m:t>
        </m:r>
        <m:r>
          <m:t> </m:t>
        </m:r>
        <m:r>
          <m:rPr>
            <m:nor/>
            <m:sty m:val="p"/>
          </m:rPr>
          <m:t>days</m:t>
        </m:r>
      </m:oMath>
      <w:r>
        <w:t xml:space="preserve"> </w:t>
      </w:r>
      <w:r>
        <w:t xml:space="preserve">is the doubling time of persister cells.</w:t>
      </w:r>
    </w:p>
    <w:p>
      <w:pPr>
        <w:pStyle w:val="BodyText"/>
      </w:pPr>
      <w:r>
        <w:t xml:space="preserve">Because</w:t>
      </w:r>
      <w:r>
        <w:t xml:space="preserve"> </w:t>
      </w:r>
      <m:oMath>
        <m:sSub>
          <m:e>
            <m:r>
              <m:t>T</m:t>
            </m:r>
          </m:e>
          <m:sub>
            <m:r>
              <m:t>s</m:t>
            </m:r>
          </m:sub>
        </m:sSub>
        <m:r>
          <m:rPr>
            <m:sty m:val="p"/>
          </m:rPr>
          <m:t>≪</m:t>
        </m:r>
        <m:sSub>
          <m:e>
            <m:r>
              <m:t>T</m:t>
            </m:r>
          </m:e>
          <m:sub>
            <m:r>
              <m:t>p</m:t>
            </m:r>
          </m:sub>
        </m:sSub>
      </m:oMath>
      <w:r>
        <w:t xml:space="preserve">, the sensitive clone rapidly expands to comprise</w:t>
      </w:r>
      <w:r>
        <w:t xml:space="preserve"> </w:t>
      </w:r>
      <m:oMath>
        <m:r>
          <m:rPr>
            <m:sty m:val="p"/>
          </m:rPr>
          <m:t>&gt;</m:t>
        </m:r>
        <m:r>
          <m:t>99.9</m:t>
        </m:r>
        <m:r>
          <m:rPr>
            <m:sty m:val="p"/>
          </m:rPr>
          <m:t>%</m:t>
        </m:r>
      </m:oMath>
      <w:r>
        <w:t xml:space="preserve"> </w:t>
      </w:r>
      <w:r>
        <w:t xml:space="preserve">of the tumor burden within 150 days. Consequently, post-cessation regrowth between the molecular detection threshold (</w:t>
      </w:r>
      <m:oMath>
        <m:sSub>
          <m:e>
            <m:r>
              <m:t>N</m:t>
            </m:r>
          </m:e>
          <m:sub>
            <m:r>
              <m:t>1</m:t>
            </m:r>
          </m:sub>
        </m:sSub>
        <m:r>
          <m:rPr>
            <m:sty m:val="p"/>
          </m:rPr>
          <m:t>=</m:t>
        </m:r>
        <m:sSup>
          <m:e>
            <m:r>
              <m:t>10</m:t>
            </m:r>
          </m:e>
          <m:sup>
            <m:r>
              <m:t>7</m:t>
            </m:r>
          </m:sup>
        </m:sSup>
      </m:oMath>
      <w:r>
        <w:t xml:space="preserve"> </w:t>
      </w:r>
      <w:r>
        <w:t xml:space="preserve">cells, corresponding approximately to ctDNA detection) and radiologic imaging detection (</w:t>
      </w:r>
      <m:oMath>
        <m:sSub>
          <m:e>
            <m:r>
              <m:t>N</m:t>
            </m:r>
          </m:e>
          <m:sub>
            <m:r>
              <m:t>2</m:t>
            </m:r>
          </m:sub>
        </m:sSub>
        <m:r>
          <m:rPr>
            <m:sty m:val="p"/>
          </m:rPr>
          <m:t>=</m:t>
        </m:r>
        <m:sSup>
          <m:e>
            <m:r>
              <m:t>10</m:t>
            </m:r>
          </m:e>
          <m:sup>
            <m:r>
              <m:t>9</m:t>
            </m:r>
          </m:sup>
        </m:sSup>
      </m:oMath>
      <w:r>
        <w:t xml:space="preserve"> </w:t>
      </w:r>
      <w:r>
        <w:t xml:space="preserve">cells,</w:t>
      </w:r>
      <w:r>
        <w:t xml:space="preserve"> </w:t>
      </w:r>
      <m:oMath>
        <m:r>
          <m:rPr>
            <m:sty m:val="p"/>
          </m:rPr>
          <m:t>≈</m:t>
        </m:r>
        <m:r>
          <m:t>1</m:t>
        </m:r>
        <m:r>
          <m:t> </m:t>
        </m:r>
        <m:sSup>
          <m:e>
            <m:r>
              <m:rPr>
                <m:nor/>
                <m:sty m:val="p"/>
              </m:rPr>
              <m:t>cm</m:t>
            </m:r>
          </m:e>
          <m:sup>
            <m:r>
              <m:t>3</m:t>
            </m:r>
          </m:sup>
        </m:sSup>
      </m:oMath>
      <w:r>
        <w:t xml:space="preserve">) is governed strictly by the exponential growth of the sensitive clone:</w:t>
      </w:r>
    </w:p>
    <w:p>
      <w:pPr>
        <w:pStyle w:val="BodyText"/>
      </w:pPr>
      <m:oMathPara>
        <m:oMathParaPr>
          <m:jc m:val="center"/>
        </m:oMathParaPr>
        <m:oMath>
          <m:r>
            <m:t>N</m:t>
          </m:r>
          <m:d>
            <m:dPr>
              <m:begChr m:val="("/>
              <m:endChr m:val=")"/>
              <m:sepChr m:val=""/>
              <m:grow/>
            </m:dPr>
            <m:e>
              <m:r>
                <m:t>t</m:t>
              </m:r>
            </m:e>
          </m:d>
          <m:r>
            <m:rPr>
              <m:sty m:val="p"/>
            </m:rPr>
            <m:t>≈</m:t>
          </m:r>
          <m:sSub>
            <m:e>
              <m:r>
                <m:t>N</m:t>
              </m:r>
            </m:e>
            <m:sub>
              <m:r>
                <m:t>0</m:t>
              </m:r>
            </m:sub>
          </m:sSub>
          <m:sSup>
            <m:e>
              <m:r>
                <m:t>x</m:t>
              </m:r>
            </m:e>
            <m:sup>
              <m:r>
                <m:rPr>
                  <m:sty m:val="p"/>
                </m:rPr>
                <m:t>*</m:t>
              </m:r>
            </m:sup>
          </m:sSup>
          <m:r>
            <m:rPr>
              <m:sty m:val="p"/>
            </m:rPr>
            <m:t>⋅</m:t>
          </m:r>
          <m:sSup>
            <m:e>
              <m:r>
                <m:t>2</m:t>
              </m:r>
            </m:e>
            <m:sup>
              <m:r>
                <m:t>t</m:t>
              </m:r>
              <m:r>
                <m:rPr>
                  <m:sty m:val="p"/>
                </m:rPr>
                <m:t>/</m:t>
              </m:r>
              <m:sSub>
                <m:e>
                  <m:r>
                    <m:t>T</m:t>
                  </m:r>
                </m:e>
                <m:sub>
                  <m:r>
                    <m:t>s</m:t>
                  </m:r>
                </m:sub>
              </m:sSub>
            </m:sup>
          </m:sSup>
        </m:oMath>
      </m:oMathPara>
    </w:p>
    <w:p>
      <w:pPr>
        <w:pStyle w:val="FirstParagraph"/>
      </w:pPr>
      <w:r>
        <w:t xml:space="preserve">The diagnostic lead time</w:t>
      </w:r>
      <w:r>
        <w:t xml:space="preserve"> </w:t>
      </w:r>
      <m:oMath>
        <m:r>
          <m:t>Δ</m:t>
        </m:r>
        <m:r>
          <m:t>t</m:t>
        </m:r>
      </m:oMath>
      <w:r>
        <w:t xml:space="preserve"> </w:t>
      </w:r>
      <w:r>
        <w:t xml:space="preserve">between ctDNA detection (</w:t>
      </w:r>
      <m:oMath>
        <m:sSub>
          <m:e>
            <m:r>
              <m:t>t</m:t>
            </m:r>
          </m:e>
          <m:sub>
            <m:r>
              <m:t>1</m:t>
            </m:r>
          </m:sub>
        </m:sSub>
      </m:oMath>
      <w:r>
        <w:t xml:space="preserve">) and radiologic detection (</w:t>
      </w:r>
      <m:oMath>
        <m:sSub>
          <m:e>
            <m:r>
              <m:t>t</m:t>
            </m:r>
          </m:e>
          <m:sub>
            <m:r>
              <m:t>2</m:t>
            </m:r>
          </m:sub>
        </m:sSub>
      </m:oMath>
      <w:r>
        <w:t xml:space="preserve">) is:</w:t>
      </w:r>
    </w:p>
    <w:p>
      <w:pPr>
        <w:pStyle w:val="BodyText"/>
      </w:pPr>
      <m:oMathPara>
        <m:oMathParaPr>
          <m:jc m:val="center"/>
        </m:oMathParaPr>
        <m:oMath>
          <m:r>
            <m:t>Δ</m:t>
          </m:r>
          <m:r>
            <m:t>t</m:t>
          </m:r>
          <m:r>
            <m:rPr>
              <m:sty m:val="p"/>
            </m:rPr>
            <m:t>=</m:t>
          </m:r>
          <m:sSub>
            <m:e>
              <m:r>
                <m:t>t</m:t>
              </m:r>
            </m:e>
            <m:sub>
              <m:r>
                <m:t>2</m:t>
              </m:r>
            </m:sub>
          </m:sSub>
          <m:r>
            <m:rPr>
              <m:sty m:val="p"/>
            </m:rPr>
            <m:t>−</m:t>
          </m:r>
          <m:sSub>
            <m:e>
              <m:r>
                <m:t>t</m:t>
              </m:r>
            </m:e>
            <m:sub>
              <m:r>
                <m:t>1</m:t>
              </m:r>
            </m:sub>
          </m:sSub>
          <m:r>
            <m:rPr>
              <m:sty m:val="p"/>
            </m:rPr>
            <m:t>=</m:t>
          </m:r>
          <m:sSub>
            <m:e>
              <m:r>
                <m:t>T</m:t>
              </m:r>
            </m:e>
            <m:sub>
              <m:r>
                <m:t>s</m:t>
              </m:r>
            </m:sub>
          </m:sSub>
          <m:r>
            <m:rPr>
              <m:sty m:val="p"/>
            </m:rPr>
            <m:t>⋅</m:t>
          </m:r>
          <m:sSub>
            <m:e>
              <m:r>
                <m:rPr>
                  <m:sty m:val="p"/>
                </m:rPr>
                <m:t>log</m:t>
              </m:r>
            </m:e>
            <m:sub>
              <m:r>
                <m:t>2</m:t>
              </m:r>
            </m:sub>
          </m:sSub>
          <m:d>
            <m:dPr>
              <m:begChr m:val="("/>
              <m:endChr m:val=")"/>
              <m:sepChr m:val=""/>
              <m:grow/>
            </m:dPr>
            <m:e>
              <m:f>
                <m:fPr>
                  <m:type m:val="bar"/>
                </m:fPr>
                <m:num>
                  <m:sSub>
                    <m:e>
                      <m:r>
                        <m:t>N</m:t>
                      </m:r>
                    </m:e>
                    <m:sub>
                      <m:r>
                        <m:t>2</m:t>
                      </m:r>
                    </m:sub>
                  </m:sSub>
                </m:num>
                <m:den>
                  <m:sSub>
                    <m:e>
                      <m:r>
                        <m:t>N</m:t>
                      </m:r>
                    </m:e>
                    <m:sub>
                      <m:r>
                        <m:t>1</m:t>
                      </m:r>
                    </m:sub>
                  </m:sSub>
                </m:den>
              </m:f>
            </m:e>
          </m:d>
          <m:r>
            <m:rPr>
              <m:sty m:val="p"/>
            </m:rPr>
            <m:t>=</m:t>
          </m:r>
          <m:sSub>
            <m:e>
              <m:r>
                <m:t>T</m:t>
              </m:r>
            </m:e>
            <m:sub>
              <m:r>
                <m:t>s</m:t>
              </m:r>
            </m:sub>
          </m:sSub>
          <m:r>
            <m:rPr>
              <m:sty m:val="p"/>
            </m:rPr>
            <m:t>⋅</m:t>
          </m:r>
          <m:sSub>
            <m:e>
              <m:r>
                <m:rPr>
                  <m:sty m:val="p"/>
                </m:rPr>
                <m:t>log</m:t>
              </m:r>
            </m:e>
            <m:sub>
              <m:r>
                <m:t>2</m:t>
              </m:r>
            </m:sub>
          </m:sSub>
          <m:d>
            <m:dPr>
              <m:begChr m:val="("/>
              <m:endChr m:val=")"/>
              <m:sepChr m:val=""/>
              <m:grow/>
            </m:dPr>
            <m:e>
              <m:r>
                <m:t>100</m:t>
              </m:r>
            </m:e>
          </m:d>
          <m:r>
            <m:rPr>
              <m:sty m:val="p"/>
            </m:rPr>
            <m:t>≈</m:t>
          </m:r>
          <m:r>
            <m:t>6.6439</m:t>
          </m:r>
          <m:r>
            <m:rPr>
              <m:sty m:val="p"/>
            </m:rPr>
            <m:t>⋅</m:t>
          </m:r>
          <m:sSub>
            <m:e>
              <m:r>
                <m:t>T</m:t>
              </m:r>
            </m:e>
            <m:sub>
              <m:r>
                <m:t>s</m:t>
              </m:r>
            </m:sub>
          </m:sSub>
        </m:oMath>
      </m:oMathPara>
    </w:p>
    <w:p>
      <w:pPr>
        <w:pStyle w:val="FirstParagraph"/>
      </w:pPr>
      <w:r>
        <w:t xml:space="preserve">This result is an exact algebraic identity of exponential growth. It is strictly invariant to initial burden</w:t>
      </w:r>
      <w:r>
        <w:t xml:space="preserve"> </w:t>
      </w:r>
      <m:oMath>
        <m:sSub>
          <m:e>
            <m:r>
              <m:t>N</m:t>
            </m:r>
          </m:e>
          <m:sub>
            <m:r>
              <m:t>0</m:t>
            </m:r>
          </m:sub>
        </m:sSub>
      </m:oMath>
      <w:r>
        <w:t xml:space="preserve">, invariant to persister frequency</w:t>
      </w:r>
      <w:r>
        <w:t xml:space="preserve"> </w:t>
      </w:r>
      <m:oMath>
        <m:r>
          <m:t>1</m:t>
        </m:r>
        <m:r>
          <m:rPr>
            <m:sty m:val="p"/>
          </m:rPr>
          <m:t>−</m:t>
        </m:r>
        <m:sSup>
          <m:e>
            <m:r>
              <m:t>x</m:t>
            </m:r>
          </m:e>
          <m:sup>
            <m:r>
              <m:rPr>
                <m:sty m:val="p"/>
              </m:rPr>
              <m:t>*</m:t>
            </m:r>
          </m:sup>
        </m:sSup>
      </m:oMath>
      <w:r>
        <w:t xml:space="preserve">, and independent of any spatial mechanism.</w:t>
      </w:r>
    </w:p>
    <w:bookmarkStart w:id="39" w:name="X6e8ed3e6d06871131dff2bc0f024195dfce322c"/>
    <w:p>
      <w:pPr>
        <w:pStyle w:val="Heading4"/>
      </w:pPr>
      <w:r>
        <w:t xml:space="preserve">Table 3A. The Analytical Lead-Time Identity Across Doubling Times</w:t>
      </w:r>
      <w:r>
        <w:t xml:space="preserve"> </w:t>
      </w:r>
      <m:oMath>
        <m:sSub>
          <m:e>
            <m:r>
              <m:t>T</m:t>
            </m:r>
          </m:e>
          <m:sub>
            <m:r>
              <m:t>s</m:t>
            </m:r>
          </m:sub>
        </m:sSub>
      </m:oMath>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Assumed Sensitive Doubling Time</w:t>
            </w:r>
            <w:r>
              <w:t xml:space="preserve"> </w:t>
            </w:r>
            <m:oMath>
              <m:sSub>
                <m:e>
                  <m:r>
                    <m:t>T</m:t>
                  </m:r>
                </m:e>
                <m:sub>
                  <m:r>
                    <m:t>s</m:t>
                  </m:r>
                </m:sub>
              </m:sSub>
            </m:oMath>
          </w:p>
        </w:tc>
        <w:tc>
          <w:tcPr/>
          <w:p>
            <w:pPr>
              <w:pStyle w:val="Compact"/>
              <w:jc w:val="center"/>
            </w:pPr>
            <w:r>
              <w:t xml:space="preserve">Diagnostic Lead Time</w:t>
            </w:r>
            <w:r>
              <w:t xml:space="preserve"> </w:t>
            </w:r>
            <m:oMath>
              <m:r>
                <m:t>Δ</m:t>
              </m:r>
              <m:r>
                <m:t>t</m:t>
              </m:r>
            </m:oMath>
            <w:r>
              <w:t xml:space="preserve"> </w:t>
            </w:r>
            <w:r>
              <w:t xml:space="preserve">(Days)</w:t>
            </w:r>
          </w:p>
        </w:tc>
        <w:tc>
          <w:tcPr/>
          <w:p>
            <w:pPr>
              <w:pStyle w:val="Compact"/>
              <w:jc w:val="center"/>
            </w:pPr>
            <w:r>
              <w:t xml:space="preserve">Diagnostic Lead Time</w:t>
            </w:r>
            <w:r>
              <w:t xml:space="preserve"> </w:t>
            </w:r>
            <m:oMath>
              <m:r>
                <m:t>Δ</m:t>
              </m:r>
              <m:r>
                <m:t>t</m:t>
              </m:r>
            </m:oMath>
            <w:r>
              <w:t xml:space="preserve"> </w:t>
            </w:r>
            <w:r>
              <w:t xml:space="preserve">(Months)</w:t>
            </w:r>
          </w:p>
        </w:tc>
      </w:tr>
      <w:tr>
        <w:tc>
          <w:tcPr/>
          <w:p>
            <w:pPr>
              <w:pStyle w:val="Compact"/>
              <w:jc w:val="center"/>
            </w:pPr>
            <w:r>
              <w:t xml:space="preserve">10.0 days</w:t>
            </w:r>
          </w:p>
        </w:tc>
        <w:tc>
          <w:tcPr/>
          <w:p>
            <w:pPr>
              <w:pStyle w:val="Compact"/>
              <w:jc w:val="center"/>
            </w:pPr>
            <w:r>
              <w:t xml:space="preserve">66.4 days</w:t>
            </w:r>
          </w:p>
        </w:tc>
        <w:tc>
          <w:tcPr/>
          <w:p>
            <w:pPr>
              <w:pStyle w:val="Compact"/>
              <w:jc w:val="center"/>
            </w:pPr>
            <w:r>
              <w:t xml:space="preserve">2.18 months</w:t>
            </w:r>
          </w:p>
        </w:tc>
      </w:tr>
      <w:tr>
        <w:tc>
          <w:tcPr/>
          <w:p>
            <w:pPr>
              <w:pStyle w:val="Compact"/>
              <w:jc w:val="center"/>
            </w:pPr>
            <w:r>
              <w:t xml:space="preserve">15.0 days</w:t>
            </w:r>
          </w:p>
        </w:tc>
        <w:tc>
          <w:tcPr/>
          <w:p>
            <w:pPr>
              <w:pStyle w:val="Compact"/>
              <w:jc w:val="center"/>
            </w:pPr>
            <w:r>
              <w:t xml:space="preserve">99.7 days</w:t>
            </w:r>
          </w:p>
        </w:tc>
        <w:tc>
          <w:tcPr/>
          <w:p>
            <w:pPr>
              <w:pStyle w:val="Compact"/>
              <w:jc w:val="center"/>
            </w:pPr>
            <w:r>
              <w:t xml:space="preserve">3.27 months</w:t>
            </w:r>
          </w:p>
        </w:tc>
      </w:tr>
      <w:tr>
        <w:tc>
          <w:tcPr/>
          <w:p>
            <w:pPr>
              <w:pStyle w:val="Compact"/>
              <w:jc w:val="center"/>
            </w:pPr>
            <w:r>
              <w:t xml:space="preserve">20.0 days</w:t>
            </w:r>
          </w:p>
        </w:tc>
        <w:tc>
          <w:tcPr/>
          <w:p>
            <w:pPr>
              <w:pStyle w:val="Compact"/>
              <w:jc w:val="center"/>
            </w:pPr>
            <w:r>
              <w:t xml:space="preserve">132.9 days</w:t>
            </w:r>
          </w:p>
        </w:tc>
        <w:tc>
          <w:tcPr/>
          <w:p>
            <w:pPr>
              <w:pStyle w:val="Compact"/>
              <w:jc w:val="center"/>
            </w:pPr>
            <w:r>
              <w:t xml:space="preserve">4.37 months</w:t>
            </w:r>
          </w:p>
        </w:tc>
      </w:tr>
      <w:tr>
        <w:tc>
          <w:tcPr/>
          <w:p>
            <w:pPr>
              <w:pStyle w:val="Compact"/>
              <w:jc w:val="center"/>
            </w:pPr>
            <w:r>
              <w:rPr>
                <w:b/>
                <w:bCs/>
              </w:rPr>
              <w:t xml:space="preserve">21.5 days</w:t>
            </w:r>
            <w:r>
              <w:t xml:space="preserve"> </w:t>
            </w:r>
            <w:r>
              <w:t xml:space="preserve">(matches Herbst median)</w:t>
            </w:r>
          </w:p>
        </w:tc>
        <w:tc>
          <w:tcPr/>
          <w:p>
            <w:pPr>
              <w:pStyle w:val="Compact"/>
              <w:jc w:val="center"/>
            </w:pPr>
            <w:r>
              <w:rPr>
                <w:b/>
                <w:bCs/>
              </w:rPr>
              <w:t xml:space="preserve">142.8 days</w:t>
            </w:r>
          </w:p>
        </w:tc>
        <w:tc>
          <w:tcPr/>
          <w:p>
            <w:pPr>
              <w:pStyle w:val="Compact"/>
              <w:jc w:val="center"/>
            </w:pPr>
            <w:r>
              <w:rPr>
                <w:b/>
                <w:bCs/>
              </w:rPr>
              <w:t xml:space="preserve">4.70 months</w:t>
            </w:r>
          </w:p>
        </w:tc>
      </w:tr>
      <w:tr>
        <w:tc>
          <w:tcPr/>
          <w:p>
            <w:pPr>
              <w:pStyle w:val="Compact"/>
              <w:jc w:val="center"/>
            </w:pPr>
            <w:r>
              <w:rPr>
                <w:b/>
                <w:bCs/>
              </w:rPr>
              <w:t xml:space="preserve">25.0 days</w:t>
            </w:r>
            <w:r>
              <w:t xml:space="preserve"> </w:t>
            </w:r>
            <w:r>
              <w:t xml:space="preserve">(baseline assumed)</w:t>
            </w:r>
          </w:p>
        </w:tc>
        <w:tc>
          <w:tcPr/>
          <w:p>
            <w:pPr>
              <w:pStyle w:val="Compact"/>
              <w:jc w:val="center"/>
            </w:pPr>
            <w:r>
              <w:rPr>
                <w:b/>
                <w:bCs/>
              </w:rPr>
              <w:t xml:space="preserve">166.1 days</w:t>
            </w:r>
          </w:p>
        </w:tc>
        <w:tc>
          <w:tcPr/>
          <w:p>
            <w:pPr>
              <w:pStyle w:val="Compact"/>
              <w:jc w:val="center"/>
            </w:pPr>
            <w:r>
              <w:rPr>
                <w:b/>
                <w:bCs/>
              </w:rPr>
              <w:t xml:space="preserve">5.46 months</w:t>
            </w:r>
          </w:p>
        </w:tc>
      </w:tr>
      <w:tr>
        <w:tc>
          <w:tcPr/>
          <w:p>
            <w:pPr>
              <w:pStyle w:val="Compact"/>
              <w:jc w:val="center"/>
            </w:pPr>
            <w:r>
              <w:t xml:space="preserve">30.0 days</w:t>
            </w:r>
          </w:p>
        </w:tc>
        <w:tc>
          <w:tcPr/>
          <w:p>
            <w:pPr>
              <w:pStyle w:val="Compact"/>
              <w:jc w:val="center"/>
            </w:pPr>
            <w:r>
              <w:t xml:space="preserve">199.3 days</w:t>
            </w:r>
          </w:p>
        </w:tc>
        <w:tc>
          <w:tcPr/>
          <w:p>
            <w:pPr>
              <w:pStyle w:val="Compact"/>
              <w:jc w:val="center"/>
            </w:pPr>
            <w:r>
              <w:t xml:space="preserve">6.55 months</w:t>
            </w:r>
          </w:p>
        </w:tc>
      </w:tr>
      <w:tr>
        <w:tc>
          <w:tcPr/>
          <w:p>
            <w:pPr>
              <w:pStyle w:val="Compact"/>
              <w:jc w:val="center"/>
            </w:pPr>
            <w:r>
              <w:t xml:space="preserve">40.0 days</w:t>
            </w:r>
          </w:p>
        </w:tc>
        <w:tc>
          <w:tcPr/>
          <w:p>
            <w:pPr>
              <w:pStyle w:val="Compact"/>
              <w:jc w:val="center"/>
            </w:pPr>
            <w:r>
              <w:t xml:space="preserve">265.8 days</w:t>
            </w:r>
          </w:p>
        </w:tc>
        <w:tc>
          <w:tcPr/>
          <w:p>
            <w:pPr>
              <w:pStyle w:val="Compact"/>
              <w:jc w:val="center"/>
            </w:pPr>
            <w:r>
              <w:t xml:space="preserve">8.73 months</w:t>
            </w:r>
          </w:p>
        </w:tc>
      </w:tr>
    </w:tbl>
    <w:bookmarkEnd w:id="39"/>
    <w:bookmarkStart w:id="43" w:name="X21ba447206779c054068536a3fd7af364643b9f"/>
    <w:p>
      <w:pPr>
        <w:pStyle w:val="Heading4"/>
      </w:pPr>
      <w:r>
        <w:t xml:space="preserve">Table 3B. Relapse Timing from Cessation Across Residual Inocula</w:t>
      </w:r>
      <w:r>
        <w:t xml:space="preserve"> </w:t>
      </w:r>
      <m:oMath>
        <m:sSub>
          <m:e>
            <m:r>
              <m:t>N</m:t>
            </m:r>
          </m:e>
          <m:sub>
            <m:r>
              <m:t>0</m:t>
            </m:r>
          </m:sub>
        </m:sSub>
      </m:oMath>
      <w:r>
        <w:t xml:space="preserve"> </w:t>
      </w:r>
      <w:r>
        <w:t xml:space="preserve">(</w:t>
      </w:r>
      <m:oMath>
        <m:sSub>
          <m:e>
            <m:r>
              <m:t>T</m:t>
            </m:r>
          </m:e>
          <m:sub>
            <m:r>
              <m:t>s</m:t>
            </m:r>
          </m:sub>
        </m:sSub>
        <m:r>
          <m:rPr>
            <m:sty m:val="p"/>
          </m:rPr>
          <m:t>=</m:t>
        </m:r>
        <m:r>
          <m:t>25</m:t>
        </m:r>
        <m:r>
          <m:t> </m:t>
        </m:r>
        <m:r>
          <m:rPr>
            <m:nor/>
            <m:sty m:val="p"/>
          </m:rPr>
          <m:t>days</m:t>
        </m:r>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Initial Inoculum</w:t>
            </w:r>
            <w:r>
              <w:t xml:space="preserve"> </w:t>
            </w:r>
            <m:oMath>
              <m:sSub>
                <m:e>
                  <m:r>
                    <m:t>N</m:t>
                  </m:r>
                </m:e>
                <m:sub>
                  <m:r>
                    <m:t>0</m:t>
                  </m:r>
                </m:sub>
              </m:sSub>
            </m:oMath>
          </w:p>
        </w:tc>
        <w:tc>
          <w:tcPr/>
          <w:p>
            <w:pPr>
              <w:pStyle w:val="Compact"/>
              <w:jc w:val="center"/>
            </w:pPr>
            <w:r>
              <w:t xml:space="preserve">ctDNA Time</w:t>
            </w:r>
            <w:r>
              <w:t xml:space="preserve"> </w:t>
            </w:r>
            <m:oMath>
              <m:sSub>
                <m:e>
                  <m:r>
                    <m:t>t</m:t>
                  </m:r>
                </m:e>
                <m:sub>
                  <m:r>
                    <m:t>1</m:t>
                  </m:r>
                </m:sub>
              </m:sSub>
            </m:oMath>
            <w:r>
              <w:t xml:space="preserve"> </w:t>
            </w:r>
            <w:r>
              <w:t xml:space="preserve">(</w:t>
            </w:r>
            <m:oMath>
              <m:sSup>
                <m:e>
                  <m:r>
                    <m:t>10</m:t>
                  </m:r>
                </m:e>
                <m:sup>
                  <m:r>
                    <m:t>7</m:t>
                  </m:r>
                </m:sup>
              </m:sSup>
            </m:oMath>
            <w:r>
              <w:t xml:space="preserve"> </w:t>
            </w:r>
            <w:r>
              <w:t xml:space="preserve">cells)</w:t>
            </w:r>
          </w:p>
        </w:tc>
        <w:tc>
          <w:tcPr/>
          <w:p>
            <w:pPr>
              <w:pStyle w:val="Compact"/>
              <w:jc w:val="center"/>
            </w:pPr>
            <w:r>
              <w:t xml:space="preserve">Imaging Time</w:t>
            </w:r>
            <w:r>
              <w:t xml:space="preserve"> </w:t>
            </w:r>
            <m:oMath>
              <m:sSub>
                <m:e>
                  <m:r>
                    <m:t>t</m:t>
                  </m:r>
                </m:e>
                <m:sub>
                  <m:r>
                    <m:t>2</m:t>
                  </m:r>
                </m:sub>
              </m:sSub>
            </m:oMath>
            <w:r>
              <w:t xml:space="preserve"> </w:t>
            </w:r>
            <w:r>
              <w:t xml:space="preserve">(</w:t>
            </w:r>
            <m:oMath>
              <m:sSup>
                <m:e>
                  <m:r>
                    <m:t>10</m:t>
                  </m:r>
                </m:e>
                <m:sup>
                  <m:r>
                    <m:t>9</m:t>
                  </m:r>
                </m:sup>
              </m:sSup>
            </m:oMath>
            <w:r>
              <w:t xml:space="preserve"> </w:t>
            </w:r>
            <w:r>
              <w:t xml:space="preserve">cells)</w:t>
            </w:r>
          </w:p>
        </w:tc>
        <w:tc>
          <w:tcPr/>
          <w:p>
            <w:pPr>
              <w:pStyle w:val="Compact"/>
              <w:jc w:val="center"/>
            </w:pPr>
            <w:r>
              <w:t xml:space="preserve">Lead Time</w:t>
            </w:r>
            <w:r>
              <w:t xml:space="preserve"> </w:t>
            </w:r>
            <m:oMath>
              <m:r>
                <m:t>Δ</m:t>
              </m:r>
              <m:r>
                <m:t>t</m:t>
              </m:r>
            </m:oMath>
            <w:r>
              <w:t xml:space="preserve"> </w:t>
            </w:r>
            <w:r>
              <w:t xml:space="preserve">(</w:t>
            </w:r>
            <m:oMath>
              <m:sSub>
                <m:e>
                  <m:r>
                    <m:t>t</m:t>
                  </m:r>
                </m:e>
                <m:sub>
                  <m:r>
                    <m:t>2</m:t>
                  </m:r>
                </m:sub>
              </m:sSub>
              <m:r>
                <m:rPr>
                  <m:sty m:val="p"/>
                </m:rPr>
                <m:t>−</m:t>
              </m:r>
              <m:sSub>
                <m:e>
                  <m:r>
                    <m:t>t</m:t>
                  </m:r>
                </m:e>
                <m:sub>
                  <m:r>
                    <m:t>1</m:t>
                  </m:r>
                </m:sub>
              </m:sSub>
            </m:oMath>
            <w:r>
              <w:t xml:space="preserve">)</w:t>
            </w:r>
          </w:p>
        </w:tc>
      </w:tr>
      <w:tr>
        <w:tc>
          <w:tcPr/>
          <w:p>
            <w:pPr>
              <w:pStyle w:val="Compact"/>
              <w:jc w:val="center"/>
            </w:pPr>
            <w:r>
              <w:t xml:space="preserve">100 cells</w:t>
            </w:r>
          </w:p>
        </w:tc>
        <w:tc>
          <w:tcPr/>
          <w:p>
            <w:pPr>
              <w:pStyle w:val="Compact"/>
              <w:jc w:val="center"/>
            </w:pPr>
            <w:r>
              <w:t xml:space="preserve">433.8 days (14.25 mo)</w:t>
            </w:r>
          </w:p>
        </w:tc>
        <w:tc>
          <w:tcPr/>
          <w:p>
            <w:pPr>
              <w:pStyle w:val="Compact"/>
              <w:jc w:val="center"/>
            </w:pPr>
            <w:r>
              <w:t xml:space="preserve">599.9 days (19.71 mo)</w:t>
            </w:r>
          </w:p>
        </w:tc>
        <w:tc>
          <w:tcPr/>
          <w:p>
            <w:pPr>
              <w:pStyle w:val="Compact"/>
              <w:jc w:val="center"/>
            </w:pPr>
            <w:r>
              <w:t xml:space="preserve">166.1 days (5.46 mo)</w:t>
            </w:r>
          </w:p>
        </w:tc>
      </w:tr>
      <w:tr>
        <w:tc>
          <w:tcPr/>
          <w:p>
            <w:pPr>
              <w:pStyle w:val="Compact"/>
              <w:jc w:val="center"/>
            </w:pPr>
            <w:r>
              <w:t xml:space="preserve">1,000 cells</w:t>
            </w:r>
          </w:p>
        </w:tc>
        <w:tc>
          <w:tcPr/>
          <w:p>
            <w:pPr>
              <w:pStyle w:val="Compact"/>
              <w:jc w:val="center"/>
            </w:pPr>
            <w:r>
              <w:t xml:space="preserve">350.7 days (11.52 mo)</w:t>
            </w:r>
          </w:p>
        </w:tc>
        <w:tc>
          <w:tcPr/>
          <w:p>
            <w:pPr>
              <w:pStyle w:val="Compact"/>
              <w:jc w:val="center"/>
            </w:pPr>
            <w:r>
              <w:t xml:space="preserve">516.8 days (16.98 mo)</w:t>
            </w:r>
          </w:p>
        </w:tc>
        <w:tc>
          <w:tcPr/>
          <w:p>
            <w:pPr>
              <w:pStyle w:val="Compact"/>
              <w:jc w:val="center"/>
            </w:pPr>
            <w:r>
              <w:t xml:space="preserve">166.1 days (5.46 mo)</w:t>
            </w:r>
          </w:p>
        </w:tc>
      </w:tr>
      <w:tr>
        <w:tc>
          <w:tcPr/>
          <w:p>
            <w:pPr>
              <w:pStyle w:val="Compact"/>
              <w:jc w:val="center"/>
            </w:pPr>
            <w:r>
              <w:rPr>
                <w:b/>
                <w:bCs/>
              </w:rPr>
              <w:t xml:space="preserve">2,000 cells</w:t>
            </w:r>
          </w:p>
        </w:tc>
        <w:tc>
          <w:tcPr/>
          <w:p>
            <w:pPr>
              <w:pStyle w:val="Compact"/>
              <w:jc w:val="center"/>
            </w:pPr>
            <w:r>
              <w:rPr>
                <w:b/>
                <w:bCs/>
              </w:rPr>
              <w:t xml:space="preserve">324.8 days (10.67 mo)</w:t>
            </w:r>
          </w:p>
        </w:tc>
        <w:tc>
          <w:tcPr/>
          <w:p>
            <w:pPr>
              <w:pStyle w:val="Compact"/>
              <w:jc w:val="center"/>
            </w:pPr>
            <w:r>
              <w:rPr>
                <w:b/>
                <w:bCs/>
              </w:rPr>
              <w:t xml:space="preserve">490.9 days (16.13 mo)</w:t>
            </w:r>
          </w:p>
        </w:tc>
        <w:tc>
          <w:tcPr/>
          <w:p>
            <w:pPr>
              <w:pStyle w:val="Compact"/>
              <w:jc w:val="center"/>
            </w:pPr>
            <w:r>
              <w:rPr>
                <w:b/>
                <w:bCs/>
              </w:rPr>
              <w:t xml:space="preserve">166.1 days (5.46 mo)</w:t>
            </w:r>
          </w:p>
        </w:tc>
      </w:tr>
      <w:tr>
        <w:tc>
          <w:tcPr/>
          <w:p>
            <w:pPr>
              <w:pStyle w:val="Compact"/>
              <w:jc w:val="center"/>
            </w:pPr>
            <w:r>
              <w:t xml:space="preserve">10,000 cells</w:t>
            </w:r>
          </w:p>
        </w:tc>
        <w:tc>
          <w:tcPr/>
          <w:p>
            <w:pPr>
              <w:pStyle w:val="Compact"/>
              <w:jc w:val="center"/>
            </w:pPr>
            <w:r>
              <w:t xml:space="preserve">267.6 days (8.79 mo)</w:t>
            </w:r>
          </w:p>
        </w:tc>
        <w:tc>
          <w:tcPr/>
          <w:p>
            <w:pPr>
              <w:pStyle w:val="Compact"/>
              <w:jc w:val="center"/>
            </w:pPr>
            <w:r>
              <w:t xml:space="preserve">433.7 days (14.25 mo)</w:t>
            </w:r>
          </w:p>
        </w:tc>
        <w:tc>
          <w:tcPr/>
          <w:p>
            <w:pPr>
              <w:pStyle w:val="Compact"/>
              <w:jc w:val="center"/>
            </w:pPr>
            <w:r>
              <w:t xml:space="preserve">166.1 days (5.46 mo)</w:t>
            </w:r>
          </w:p>
        </w:tc>
      </w:tr>
      <w:tr>
        <w:tc>
          <w:tcPr/>
          <w:p>
            <w:pPr>
              <w:pStyle w:val="Compact"/>
              <w:jc w:val="center"/>
            </w:pPr>
            <w:r>
              <w:t xml:space="preserve">100,000 cells</w:t>
            </w:r>
          </w:p>
        </w:tc>
        <w:tc>
          <w:tcPr/>
          <w:p>
            <w:pPr>
              <w:pStyle w:val="Compact"/>
              <w:jc w:val="center"/>
            </w:pPr>
            <w:r>
              <w:t xml:space="preserve">184.6 days (6.06 mo)</w:t>
            </w:r>
          </w:p>
        </w:tc>
        <w:tc>
          <w:tcPr/>
          <w:p>
            <w:pPr>
              <w:pStyle w:val="Compact"/>
              <w:jc w:val="center"/>
            </w:pPr>
            <w:r>
              <w:t xml:space="preserve">350.7 days (11.52 mo)</w:t>
            </w:r>
          </w:p>
        </w:tc>
        <w:tc>
          <w:tcPr/>
          <w:p>
            <w:pPr>
              <w:pStyle w:val="Compact"/>
              <w:jc w:val="center"/>
            </w:pPr>
            <w:r>
              <w:t xml:space="preserve">166.1 days (5.46 mo)</w:t>
            </w:r>
          </w:p>
        </w:tc>
      </w:tr>
    </w:tbl>
    <w:p>
      <w:pPr>
        <w:pStyle w:val="BodyText"/>
      </w:pPr>
      <w:r>
        <w:t xml:space="preserve">As shown in</w:t>
      </w:r>
      <w:r>
        <w:t xml:space="preserve"> </w:t>
      </w:r>
      <w:r>
        <w:rPr>
          <w:b/>
          <w:bCs/>
        </w:rPr>
        <w:t xml:space="preserve">Table 3B</w:t>
      </w:r>
      <w:r>
        <w:t xml:space="preserve">, varying</w:t>
      </w:r>
      <w:r>
        <w:t xml:space="preserve"> </w:t>
      </w:r>
      <m:oMath>
        <m:sSub>
          <m:e>
            <m:r>
              <m:t>N</m:t>
            </m:r>
          </m:e>
          <m:sub>
            <m:r>
              <m:t>0</m:t>
            </m:r>
          </m:sub>
        </m:sSub>
      </m:oMath>
      <w:r>
        <w:t xml:space="preserve"> </w:t>
      </w:r>
      <w:r>
        <w:t xml:space="preserve">shifts the calendar timing of recurrence relative to treatment cessation, but leaves the lead time</w:t>
      </w:r>
      <w:r>
        <w:t xml:space="preserve"> </w:t>
      </w:r>
      <m:oMath>
        <m:r>
          <m:t>Δ</m:t>
        </m:r>
        <m:r>
          <m:t>t</m:t>
        </m:r>
        <m:r>
          <m:rPr>
            <m:sty m:val="p"/>
          </m:rPr>
          <m:t>=</m:t>
        </m:r>
        <m:r>
          <m:t>5.46</m:t>
        </m:r>
        <m:r>
          <m:t> </m:t>
        </m:r>
        <m:r>
          <m:rPr>
            <m:nor/>
            <m:sty m:val="p"/>
          </m:rPr>
          <m:t>months</m:t>
        </m:r>
      </m:oMath>
      <w:r>
        <w:t xml:space="preserve"> </w:t>
      </w:r>
      <w:r>
        <w:t xml:space="preserve">invariant. The agreement between our model lead time (5.46 months) and the median lead time reported by Herbst et al. (4.7 months, 95% CI: 2.2–5.6) corresponds to an implied sensitive doubling time of</w:t>
      </w:r>
      <w:r>
        <w:t xml:space="preserve"> </w:t>
      </w:r>
      <m:oMath>
        <m:sSub>
          <m:e>
            <m:r>
              <m:t>T</m:t>
            </m:r>
          </m:e>
          <m:sub>
            <m:r>
              <m:t>s</m:t>
            </m:r>
          </m:sub>
        </m:sSub>
        <m:r>
          <m:rPr>
            <m:sty m:val="p"/>
          </m:rPr>
          <m:t>≈</m:t>
        </m:r>
        <m:r>
          <m:t>21.5</m:t>
        </m:r>
        <m:r>
          <m:t> </m:t>
        </m:r>
        <m:r>
          <m:rPr>
            <m:nor/>
            <m:sty m:val="p"/>
          </m:rPr>
          <m:t>days</m:t>
        </m:r>
      </m:oMath>
      <w:r>
        <w:t xml:space="preserve"> </w:t>
      </w:r>
      <w:r>
        <w:t xml:space="preserve">(range 10–26 days). Inverting the identity to recover a plausible biological doubling time illustrates parameter consistency, rather than an independent mechanistic confirmation of sanctuary dynamics. Furthermore, ctDNA shedding varies across anatomical sites and vascularization, and earlier detection inherently introduces lead-time bias that must not be conflated with genuine therapeutic benefit.</w:t>
      </w:r>
    </w:p>
    <w:p>
      <w:pPr>
        <w:pStyle w:val="CaptionedFigure"/>
      </w:pPr>
      <w:r>
        <w:drawing>
          <wp:inline>
            <wp:extent cx="5067300" cy="1628775"/>
            <wp:effectExtent b="0" l="0" r="0" t="0"/>
            <wp:docPr descr="Figure 2. Clonal Regrowth Dynamics &amp; The Analytical Lead-Time Identity. (A) Simulated post-cessation tumor burden regrowth from residual inoculum N_0 = 2000 cells (T_s = 25.0\,\text{days}, T_p = 120.0\,\text{days}), showing ctDNA (10^7 cells) and CT imaging (10^9 cells) detection thresholds. (B) The diagnostic lead-time identity: \Delta t = 6.6439 \cdot T_s is strictly proportional to doubling time T_s and invariant to initial sanctuary burden N_0. Markers indicate the baseline model (T_s = 25.0\,\text{d} \to \Delta t = 5.46\,\text{mo}) and the Herbst et al. (2025) median (T_s \approx 21.5\,\text{d} \to \Delta t = 4.70\,\text{mo}). (C) Invariance of diagnostic lead time \Delta t across initial residual burdens N_0 \in [10^1, 10^5] cells." title="" id="41" name="Picture"/>
            <a:graphic>
              <a:graphicData uri="http://schemas.openxmlformats.org/drawingml/2006/picture">
                <pic:pic>
                  <pic:nvPicPr>
                    <pic:cNvPr descr="Figure2_regrowth_identity.png" id="42" name="Picture"/>
                    <pic:cNvPicPr>
                      <a:picLocks noChangeArrowheads="1" noChangeAspect="1"/>
                    </pic:cNvPicPr>
                  </pic:nvPicPr>
                  <pic:blipFill>
                    <a:blip r:embed="rId40"/>
                    <a:stretch>
                      <a:fillRect/>
                    </a:stretch>
                  </pic:blipFill>
                  <pic:spPr bwMode="auto">
                    <a:xfrm>
                      <a:off x="0" y="0"/>
                      <a:ext cx="5067300" cy="1628775"/>
                    </a:xfrm>
                    <a:prstGeom prst="rect">
                      <a:avLst/>
                    </a:prstGeom>
                    <a:noFill/>
                    <a:ln w="9525">
                      <a:noFill/>
                      <a:headEnd/>
                      <a:tailEnd/>
                    </a:ln>
                  </pic:spPr>
                </pic:pic>
              </a:graphicData>
            </a:graphic>
          </wp:inline>
        </w:drawing>
      </w:r>
    </w:p>
    <w:p>
      <w:pPr>
        <w:pStyle w:val="ImageCaption"/>
      </w:pPr>
      <w:r>
        <w:rPr>
          <w:b/>
          <w:bCs/>
        </w:rPr>
        <w:t xml:space="preserve">Figure 2. Clonal Regrowth Dynamics &amp; The Analytical Lead-Time Identity.</w:t>
      </w:r>
      <w:r>
        <w:t xml:space="preserve"> </w:t>
      </w:r>
      <w:r>
        <w:t xml:space="preserve">(A) Simulated post-cessation tumor burden regrowth from residual inoculum</w:t>
      </w:r>
      <w:r>
        <w:t xml:space="preserve"> </w:t>
      </w:r>
      <m:oMath>
        <m:sSub>
          <m:e>
            <m:r>
              <m:t>N</m:t>
            </m:r>
          </m:e>
          <m:sub>
            <m:r>
              <m:t>0</m:t>
            </m:r>
          </m:sub>
        </m:sSub>
        <m:r>
          <m:rPr>
            <m:sty m:val="p"/>
          </m:rPr>
          <m:t>=</m:t>
        </m:r>
        <m:r>
          <m:t>2000</m:t>
        </m:r>
      </m:oMath>
      <w:r>
        <w:t xml:space="preserve"> </w:t>
      </w:r>
      <w:r>
        <w:t xml:space="preserve">cells (</w:t>
      </w:r>
      <m:oMath>
        <m:sSub>
          <m:e>
            <m:r>
              <m:t>T</m:t>
            </m:r>
          </m:e>
          <m:sub>
            <m:r>
              <m:t>s</m:t>
            </m:r>
          </m:sub>
        </m:sSub>
        <m:r>
          <m:rPr>
            <m:sty m:val="p"/>
          </m:rPr>
          <m:t>=</m:t>
        </m:r>
        <m:r>
          <m:t>25.0</m:t>
        </m:r>
        <m:r>
          <m:t> </m:t>
        </m:r>
        <m:r>
          <m:rPr>
            <m:nor/>
            <m:sty m:val="p"/>
          </m:rPr>
          <m:t>days</m:t>
        </m:r>
        <m:r>
          <m:rPr>
            <m:sty m:val="p"/>
          </m:rPr>
          <m:t>,</m:t>
        </m:r>
        <m:sSub>
          <m:e>
            <m:r>
              <m:t>T</m:t>
            </m:r>
          </m:e>
          <m:sub>
            <m:r>
              <m:t>p</m:t>
            </m:r>
          </m:sub>
        </m:sSub>
        <m:r>
          <m:rPr>
            <m:sty m:val="p"/>
          </m:rPr>
          <m:t>=</m:t>
        </m:r>
        <m:r>
          <m:t>120.0</m:t>
        </m:r>
        <m:r>
          <m:t> </m:t>
        </m:r>
        <m:r>
          <m:rPr>
            <m:nor/>
            <m:sty m:val="p"/>
          </m:rPr>
          <m:t>days</m:t>
        </m:r>
      </m:oMath>
      <w:r>
        <w:t xml:space="preserve">), showing ctDNA (</w:t>
      </w:r>
      <m:oMath>
        <m:sSup>
          <m:e>
            <m:r>
              <m:t>10</m:t>
            </m:r>
          </m:e>
          <m:sup>
            <m:r>
              <m:t>7</m:t>
            </m:r>
          </m:sup>
        </m:sSup>
      </m:oMath>
      <w:r>
        <w:t xml:space="preserve"> </w:t>
      </w:r>
      <w:r>
        <w:t xml:space="preserve">cells) and CT imaging (</w:t>
      </w:r>
      <m:oMath>
        <m:sSup>
          <m:e>
            <m:r>
              <m:t>10</m:t>
            </m:r>
          </m:e>
          <m:sup>
            <m:r>
              <m:t>9</m:t>
            </m:r>
          </m:sup>
        </m:sSup>
      </m:oMath>
      <w:r>
        <w:t xml:space="preserve"> </w:t>
      </w:r>
      <w:r>
        <w:t xml:space="preserve">cells) detection thresholds. (B) The diagnostic lead-time identity:</w:t>
      </w:r>
      <w:r>
        <w:t xml:space="preserve"> </w:t>
      </w:r>
      <m:oMath>
        <m:r>
          <m:t>Δ</m:t>
        </m:r>
        <m:r>
          <m:t>t</m:t>
        </m:r>
        <m:r>
          <m:rPr>
            <m:sty m:val="p"/>
          </m:rPr>
          <m:t>=</m:t>
        </m:r>
        <m:r>
          <m:t>6.6439</m:t>
        </m:r>
        <m:r>
          <m:rPr>
            <m:sty m:val="p"/>
          </m:rPr>
          <m:t>⋅</m:t>
        </m:r>
        <m:sSub>
          <m:e>
            <m:r>
              <m:t>T</m:t>
            </m:r>
          </m:e>
          <m:sub>
            <m:r>
              <m:t>s</m:t>
            </m:r>
          </m:sub>
        </m:sSub>
      </m:oMath>
      <w:r>
        <w:t xml:space="preserve"> </w:t>
      </w:r>
      <w:r>
        <w:t xml:space="preserve">is strictly proportional to doubling time</w:t>
      </w:r>
      <w:r>
        <w:t xml:space="preserve"> </w:t>
      </w:r>
      <m:oMath>
        <m:sSub>
          <m:e>
            <m:r>
              <m:t>T</m:t>
            </m:r>
          </m:e>
          <m:sub>
            <m:r>
              <m:t>s</m:t>
            </m:r>
          </m:sub>
        </m:sSub>
      </m:oMath>
      <w:r>
        <w:t xml:space="preserve"> </w:t>
      </w:r>
      <w:r>
        <w:t xml:space="preserve">and invariant to initial sanctuary burden</w:t>
      </w:r>
      <w:r>
        <w:t xml:space="preserve"> </w:t>
      </w:r>
      <m:oMath>
        <m:sSub>
          <m:e>
            <m:r>
              <m:t>N</m:t>
            </m:r>
          </m:e>
          <m:sub>
            <m:r>
              <m:t>0</m:t>
            </m:r>
          </m:sub>
        </m:sSub>
      </m:oMath>
      <w:r>
        <w:t xml:space="preserve">. Markers indicate the baseline model (</w:t>
      </w:r>
      <m:oMath>
        <m:sSub>
          <m:e>
            <m:r>
              <m:t>T</m:t>
            </m:r>
          </m:e>
          <m:sub>
            <m:r>
              <m:t>s</m:t>
            </m:r>
          </m:sub>
        </m:sSub>
        <m:r>
          <m:rPr>
            <m:sty m:val="p"/>
          </m:rPr>
          <m:t>=</m:t>
        </m:r>
        <m:r>
          <m:t>25.0</m:t>
        </m:r>
        <m:r>
          <m:t> </m:t>
        </m:r>
        <m:r>
          <m:rPr>
            <m:nor/>
            <m:sty m:val="p"/>
          </m:rPr>
          <m:t>d</m:t>
        </m:r>
        <m:r>
          <m:rPr>
            <m:sty m:val="p"/>
          </m:rPr>
          <m:t>→</m:t>
        </m:r>
        <m:r>
          <m:t>Δ</m:t>
        </m:r>
        <m:r>
          <m:t>t</m:t>
        </m:r>
        <m:r>
          <m:rPr>
            <m:sty m:val="p"/>
          </m:rPr>
          <m:t>=</m:t>
        </m:r>
        <m:r>
          <m:t>5.46</m:t>
        </m:r>
        <m:r>
          <m:t> </m:t>
        </m:r>
        <m:r>
          <m:rPr>
            <m:nor/>
            <m:sty m:val="p"/>
          </m:rPr>
          <m:t>mo</m:t>
        </m:r>
      </m:oMath>
      <w:r>
        <w:t xml:space="preserve">) and the Herbst et al. (2025) median (</w:t>
      </w:r>
      <m:oMath>
        <m:sSub>
          <m:e>
            <m:r>
              <m:t>T</m:t>
            </m:r>
          </m:e>
          <m:sub>
            <m:r>
              <m:t>s</m:t>
            </m:r>
          </m:sub>
        </m:sSub>
        <m:r>
          <m:rPr>
            <m:sty m:val="p"/>
          </m:rPr>
          <m:t>≈</m:t>
        </m:r>
        <m:r>
          <m:t>21.5</m:t>
        </m:r>
        <m:r>
          <m:t> </m:t>
        </m:r>
        <m:r>
          <m:rPr>
            <m:nor/>
            <m:sty m:val="p"/>
          </m:rPr>
          <m:t>d</m:t>
        </m:r>
        <m:r>
          <m:rPr>
            <m:sty m:val="p"/>
          </m:rPr>
          <m:t>→</m:t>
        </m:r>
        <m:r>
          <m:t>Δ</m:t>
        </m:r>
        <m:r>
          <m:t>t</m:t>
        </m:r>
        <m:r>
          <m:rPr>
            <m:sty m:val="p"/>
          </m:rPr>
          <m:t>=</m:t>
        </m:r>
        <m:r>
          <m:t>4.70</m:t>
        </m:r>
        <m:r>
          <m:t> </m:t>
        </m:r>
        <m:r>
          <m:rPr>
            <m:nor/>
            <m:sty m:val="p"/>
          </m:rPr>
          <m:t>mo</m:t>
        </m:r>
      </m:oMath>
      <w:r>
        <w:t xml:space="preserve">). (C) Invariance of diagnostic lead time</w:t>
      </w:r>
      <w:r>
        <w:t xml:space="preserve"> </w:t>
      </w:r>
      <m:oMath>
        <m:r>
          <m:t>Δ</m:t>
        </m:r>
        <m:r>
          <m:t>t</m:t>
        </m:r>
      </m:oMath>
      <w:r>
        <w:t xml:space="preserve"> </w:t>
      </w:r>
      <w:r>
        <w:t xml:space="preserve">across initial residual burdens</w:t>
      </w:r>
      <w:r>
        <w:t xml:space="preserve"> </w:t>
      </w:r>
      <m:oMath>
        <m:sSub>
          <m:e>
            <m:r>
              <m:t>N</m:t>
            </m:r>
          </m:e>
          <m:sub>
            <m:r>
              <m:t>0</m:t>
            </m:r>
          </m:sub>
        </m:sSub>
        <m:r>
          <m:rPr>
            <m:sty m:val="p"/>
          </m:rPr>
          <m:t>∈</m:t>
        </m:r>
        <m:d>
          <m:dPr>
            <m:begChr m:val="["/>
            <m:endChr m:val="]"/>
            <m:sepChr m:val=""/>
            <m:grow/>
          </m:dPr>
          <m:e>
            <m:sSup>
              <m:e>
                <m:r>
                  <m:t>10</m:t>
                </m:r>
              </m:e>
              <m:sup>
                <m:r>
                  <m:t>1</m:t>
                </m:r>
              </m:sup>
            </m:sSup>
            <m:r>
              <m:rPr>
                <m:sty m:val="p"/>
              </m:rPr>
              <m:t>,</m:t>
            </m:r>
            <m:sSup>
              <m:e>
                <m:r>
                  <m:t>10</m:t>
                </m:r>
              </m:e>
              <m:sup>
                <m:r>
                  <m:t>5</m:t>
                </m:r>
              </m:sup>
            </m:sSup>
          </m:e>
        </m:d>
      </m:oMath>
      <w:r>
        <w:t xml:space="preserve"> </w:t>
      </w:r>
      <w:r>
        <w:t xml:space="preserve">cells.</w:t>
      </w:r>
    </w:p>
    <w:p>
      <w:r>
        <w:pict>
          <v:rect style="width:0;height:1.5pt" o:hralign="center" o:hrstd="t" o:hr="t"/>
        </w:pict>
      </w:r>
    </w:p>
    <w:bookmarkEnd w:id="43"/>
    <w:bookmarkEnd w:id="44"/>
    <w:bookmarkEnd w:id="45"/>
    <w:bookmarkStart w:id="54" w:name="Xe8899abaf8d4f6f0a4a36398f5d9d9ea73bc19c"/>
    <w:p>
      <w:pPr>
        <w:pStyle w:val="Heading2"/>
      </w:pPr>
      <w:r>
        <w:t xml:space="preserve">4. Descriptive Survival Analysis of the MSKCC Cohort (</w:t>
      </w:r>
      <m:oMath>
        <m:r>
          <m:t>N</m:t>
        </m:r>
        <m:r>
          <m:rPr>
            <m:sty m:val="p"/>
          </m:rPr>
          <m:t>=</m:t>
        </m:r>
        <m:r>
          <m:t>604</m:t>
        </m:r>
      </m:oMath>
      <w:r>
        <w:t xml:space="preserve">)</w:t>
      </w:r>
    </w:p>
    <w:bookmarkStart w:id="46" w:name="cohort-characteristics-methods"/>
    <w:p>
      <w:pPr>
        <w:pStyle w:val="Heading3"/>
      </w:pPr>
      <w:r>
        <w:t xml:space="preserve">4.1 Cohort Characteristics &amp; Methods</w:t>
      </w:r>
    </w:p>
    <w:p>
      <w:pPr>
        <w:pStyle w:val="FirstParagraph"/>
      </w:pPr>
      <w:r>
        <w:t xml:space="preserve">We conducted a descriptive survival analysis of the authenticated Memorial Sloan Kettering Cancer Center (MSKCC 2020) lung adenocarcinoma cohort (</w:t>
      </w:r>
      <m:oMath>
        <m:r>
          <m:t>N</m:t>
        </m:r>
        <m:r>
          <m:rPr>
            <m:sty m:val="p"/>
          </m:rPr>
          <m:t>=</m:t>
        </m:r>
        <m:r>
          <m:t>604</m:t>
        </m:r>
      </m:oMath>
      <w:r>
        <w:t xml:space="preserve"> </w:t>
      </w:r>
      <w:r>
        <w:t xml:space="preserve">surgically resected patients; Caso et al. [3]). The cohort includes predominant IASLC histologic subtype, pathologic stage (I, II, III),</w:t>
      </w:r>
      <w:r>
        <w:t xml:space="preserve"> </w:t>
      </w:r>
      <w:r>
        <w:rPr>
          <w:i/>
          <w:iCs/>
        </w:rPr>
        <w:t xml:space="preserve">EGFR</w:t>
      </w:r>
      <w:r>
        <w:t xml:space="preserve"> </w:t>
      </w:r>
      <w:r>
        <w:t xml:space="preserve">mutation status, and recurrence-free survival (RFS). The cohort represents surgery-era patients who were chemo/TKI-naive (only 3 patients received adjuvant TKI, none osimertinib). Only the predominant histologic pattern is available, precluding assessment of secondary patterns at the</w:t>
      </w:r>
      <w:r>
        <w:t xml:space="preserve"> </w:t>
      </w:r>
      <m:oMath>
        <m:r>
          <m:rPr>
            <m:sty m:val="p"/>
          </m:rPr>
          <m:t>≥</m:t>
        </m:r>
        <m:r>
          <m:t>20</m:t>
        </m:r>
        <m:r>
          <m:rPr>
            <m:sty m:val="p"/>
          </m:rPr>
          <m:t>%</m:t>
        </m:r>
      </m:oMath>
      <w:r>
        <w:t xml:space="preserve"> </w:t>
      </w:r>
      <w:r>
        <w:t xml:space="preserve">IASLC grading threshold (Moreira et al. [15]).</w:t>
      </w:r>
    </w:p>
    <w:p>
      <w:pPr>
        <w:pStyle w:val="BodyText"/>
      </w:pPr>
      <w:r>
        <w:t xml:space="preserve">Survival analysis was performed using Kaplan–Meier estimators and multivariable Cox proportional hazards models with Efron tie handling. True median follow-up was computed using the</w:t>
      </w:r>
      <w:r>
        <w:t xml:space="preserve"> </w:t>
      </w:r>
      <w:r>
        <w:rPr>
          <w:b/>
          <w:bCs/>
        </w:rPr>
        <w:t xml:space="preserve">reverse Kaplan–Meier method</w:t>
      </w:r>
      <w:r>
        <w:t xml:space="preserve"> </w:t>
      </w:r>
      <w:r>
        <w:t xml:space="preserve">(Schemper &amp; Smith [11]):</w:t>
      </w:r>
      <w:r>
        <w:t xml:space="preserve"> </w:t>
      </w:r>
      <w:r>
        <w:rPr>
          <w:b/>
          <w:bCs/>
        </w:rPr>
        <w:t xml:space="preserve">median follow-up was 23.8 months</w:t>
      </w:r>
      <w:r>
        <w:t xml:space="preserve"> </w:t>
      </w:r>
      <w:r>
        <w:t xml:space="preserve">(IQR: 13.3–31.8 months; raw observed RFS duration median was 21.4 months). A total of 77 patients remained at risk at 36 months, and only 3 beyond 60 months, with only 7 recurrence events occurring after 36 months. Consequently, this surgical cohort cannot directly inform recurrence kinetics occurring between months 36 and 60 post-cessation.</w:t>
      </w:r>
    </w:p>
    <w:p>
      <w:pPr>
        <w:pStyle w:val="BodyText"/>
      </w:pPr>
      <w:r>
        <w:t xml:space="preserve">Statistical code was validated against the benchmark Freireich leukemia dataset (Freireich et al. [9]; Gehan [10]), reproducing authenticated values (</w:t>
      </w:r>
      <m:oMath>
        <m:sSup>
          <m:e>
            <m:r>
              <m:t>χ</m:t>
            </m:r>
          </m:e>
          <m:sup>
            <m:r>
              <m:t>2</m:t>
            </m:r>
          </m:sup>
        </m:sSup>
        <m:r>
          <m:rPr>
            <m:sty m:val="p"/>
          </m:rPr>
          <m:t>=</m:t>
        </m:r>
        <m:r>
          <m:t>16.79</m:t>
        </m:r>
      </m:oMath>
      <w:r>
        <w:t xml:space="preserve">, Efron</w:t>
      </w:r>
      <w:r>
        <w:t xml:space="preserve"> </w:t>
      </w:r>
      <m:oMath>
        <m:r>
          <m:t>H</m:t>
        </m:r>
        <m:r>
          <m:t>R</m:t>
        </m:r>
        <m:r>
          <m:rPr>
            <m:sty m:val="p"/>
          </m:rPr>
          <m:t>=</m:t>
        </m:r>
        <m:r>
          <m:t>4.82</m:t>
        </m:r>
      </m:oMath>
      <w:r>
        <w:t xml:space="preserve">).</w:t>
      </w:r>
    </w:p>
    <w:bookmarkEnd w:id="46"/>
    <w:bookmarkStart w:id="48" w:name="cohort-recurrence-patterns"/>
    <w:p>
      <w:pPr>
        <w:pStyle w:val="Heading3"/>
      </w:pPr>
      <w:r>
        <w:t xml:space="preserve">4.2 Cohort Recurrence Patterns</w:t>
      </w:r>
    </w:p>
    <w:bookmarkStart w:id="47" w:name="Xed58a9a55467e13bb486da1faf8b1940d419545"/>
    <w:p>
      <w:pPr>
        <w:pStyle w:val="Heading4"/>
      </w:pPr>
      <w:r>
        <w:t xml:space="preserve">Table 4. Recurrence and Stage Distribution by Predominant Histologic Subtype</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Predominant Subtype</w:t>
            </w:r>
          </w:p>
        </w:tc>
        <w:tc>
          <w:tcPr/>
          <w:p>
            <w:pPr>
              <w:pStyle w:val="Compact"/>
              <w:jc w:val="center"/>
            </w:pPr>
            <w:r>
              <w:t xml:space="preserve">Total</w:t>
            </w:r>
            <w:r>
              <w:t xml:space="preserve"> </w:t>
            </w:r>
            <m:oMath>
              <m:r>
                <m:t>N</m:t>
              </m:r>
            </m:oMath>
          </w:p>
        </w:tc>
        <w:tc>
          <w:tcPr/>
          <w:p>
            <w:pPr>
              <w:pStyle w:val="Compact"/>
              <w:jc w:val="center"/>
            </w:pPr>
            <w:r>
              <w:t xml:space="preserve">Recurrence Events</w:t>
            </w:r>
          </w:p>
        </w:tc>
        <w:tc>
          <w:tcPr/>
          <w:p>
            <w:pPr>
              <w:pStyle w:val="Compact"/>
              <w:jc w:val="center"/>
            </w:pPr>
            <w:r>
              <w:t xml:space="preserve">Crude Recurrence %</w:t>
            </w:r>
          </w:p>
        </w:tc>
        <w:tc>
          <w:tcPr/>
          <w:p>
            <w:pPr>
              <w:pStyle w:val="Compact"/>
              <w:jc w:val="center"/>
            </w:pPr>
            <w:r>
              <w:t xml:space="preserve">Pathologic Stage I %</w:t>
            </w:r>
          </w:p>
        </w:tc>
      </w:tr>
      <w:tr>
        <w:tc>
          <w:tcPr/>
          <w:p>
            <w:pPr>
              <w:pStyle w:val="Compact"/>
              <w:jc w:val="left"/>
            </w:pPr>
            <w:r>
              <w:rPr>
                <w:b/>
                <w:bCs/>
              </w:rPr>
              <w:t xml:space="preserve">Lepidic</w:t>
            </w:r>
          </w:p>
        </w:tc>
        <w:tc>
          <w:tcPr/>
          <w:p>
            <w:pPr>
              <w:pStyle w:val="Compact"/>
              <w:jc w:val="center"/>
            </w:pPr>
            <w:r>
              <w:t xml:space="preserve">88</w:t>
            </w:r>
          </w:p>
        </w:tc>
        <w:tc>
          <w:tcPr/>
          <w:p>
            <w:pPr>
              <w:pStyle w:val="Compact"/>
              <w:jc w:val="center"/>
            </w:pPr>
            <w:r>
              <w:t xml:space="preserve">4</w:t>
            </w:r>
          </w:p>
        </w:tc>
        <w:tc>
          <w:tcPr/>
          <w:p>
            <w:pPr>
              <w:pStyle w:val="Compact"/>
              <w:jc w:val="center"/>
            </w:pPr>
            <w:r>
              <w:rPr>
                <w:b/>
                <w:bCs/>
              </w:rPr>
              <w:t xml:space="preserve">4.55%</w:t>
            </w:r>
          </w:p>
        </w:tc>
        <w:tc>
          <w:tcPr/>
          <w:p>
            <w:pPr>
              <w:pStyle w:val="Compact"/>
              <w:jc w:val="center"/>
            </w:pPr>
            <w:r>
              <w:rPr>
                <w:b/>
                <w:bCs/>
              </w:rPr>
              <w:t xml:space="preserve">88.6%</w:t>
            </w:r>
            <w:r>
              <w:t xml:space="preserve"> </w:t>
            </w:r>
            <w:r>
              <w:t xml:space="preserve">(78/88)</w:t>
            </w:r>
          </w:p>
        </w:tc>
      </w:tr>
      <w:tr>
        <w:tc>
          <w:tcPr/>
          <w:p>
            <w:pPr>
              <w:pStyle w:val="Compact"/>
              <w:jc w:val="left"/>
            </w:pPr>
            <w:r>
              <w:rPr>
                <w:b/>
                <w:bCs/>
              </w:rPr>
              <w:t xml:space="preserve">Acinar</w:t>
            </w:r>
          </w:p>
        </w:tc>
        <w:tc>
          <w:tcPr/>
          <w:p>
            <w:pPr>
              <w:pStyle w:val="Compact"/>
              <w:jc w:val="center"/>
            </w:pPr>
            <w:r>
              <w:t xml:space="preserve">368</w:t>
            </w:r>
          </w:p>
        </w:tc>
        <w:tc>
          <w:tcPr/>
          <w:p>
            <w:pPr>
              <w:pStyle w:val="Compact"/>
              <w:jc w:val="center"/>
            </w:pPr>
            <w:r>
              <w:t xml:space="preserve">54</w:t>
            </w:r>
          </w:p>
        </w:tc>
        <w:tc>
          <w:tcPr/>
          <w:p>
            <w:pPr>
              <w:pStyle w:val="Compact"/>
              <w:jc w:val="center"/>
            </w:pPr>
            <w:r>
              <w:t xml:space="preserve">14.67%</w:t>
            </w:r>
          </w:p>
        </w:tc>
        <w:tc>
          <w:tcPr/>
          <w:p>
            <w:pPr>
              <w:pStyle w:val="Compact"/>
              <w:jc w:val="center"/>
            </w:pPr>
            <w:r>
              <w:t xml:space="preserve">75.5% (278/368)</w:t>
            </w:r>
          </w:p>
        </w:tc>
      </w:tr>
      <w:tr>
        <w:tc>
          <w:tcPr/>
          <w:p>
            <w:pPr>
              <w:pStyle w:val="Compact"/>
              <w:jc w:val="left"/>
            </w:pPr>
            <w:r>
              <w:rPr>
                <w:b/>
                <w:bCs/>
              </w:rPr>
              <w:t xml:space="preserve">Papillary</w:t>
            </w:r>
          </w:p>
        </w:tc>
        <w:tc>
          <w:tcPr/>
          <w:p>
            <w:pPr>
              <w:pStyle w:val="Compact"/>
              <w:jc w:val="center"/>
            </w:pPr>
            <w:r>
              <w:t xml:space="preserve">43</w:t>
            </w:r>
          </w:p>
        </w:tc>
        <w:tc>
          <w:tcPr/>
          <w:p>
            <w:pPr>
              <w:pStyle w:val="Compact"/>
              <w:jc w:val="center"/>
            </w:pPr>
            <w:r>
              <w:t xml:space="preserve">11</w:t>
            </w:r>
          </w:p>
        </w:tc>
        <w:tc>
          <w:tcPr/>
          <w:p>
            <w:pPr>
              <w:pStyle w:val="Compact"/>
              <w:jc w:val="center"/>
            </w:pPr>
            <w:r>
              <w:t xml:space="preserve">25.58%</w:t>
            </w:r>
          </w:p>
        </w:tc>
        <w:tc>
          <w:tcPr/>
          <w:p>
            <w:pPr>
              <w:pStyle w:val="Compact"/>
              <w:jc w:val="center"/>
            </w:pPr>
            <w:r>
              <w:t xml:space="preserve">76.7% (33/43)</w:t>
            </w:r>
          </w:p>
        </w:tc>
      </w:tr>
      <w:tr>
        <w:tc>
          <w:tcPr/>
          <w:p>
            <w:pPr>
              <w:pStyle w:val="Compact"/>
              <w:jc w:val="left"/>
            </w:pPr>
            <w:r>
              <w:rPr>
                <w:b/>
                <w:bCs/>
              </w:rPr>
              <w:t xml:space="preserve">Micropapillary</w:t>
            </w:r>
          </w:p>
        </w:tc>
        <w:tc>
          <w:tcPr/>
          <w:p>
            <w:pPr>
              <w:pStyle w:val="Compact"/>
              <w:jc w:val="center"/>
            </w:pPr>
            <w:r>
              <w:t xml:space="preserve">37</w:t>
            </w:r>
          </w:p>
        </w:tc>
        <w:tc>
          <w:tcPr/>
          <w:p>
            <w:pPr>
              <w:pStyle w:val="Compact"/>
              <w:jc w:val="center"/>
            </w:pPr>
            <w:r>
              <w:t xml:space="preserve">8</w:t>
            </w:r>
          </w:p>
        </w:tc>
        <w:tc>
          <w:tcPr/>
          <w:p>
            <w:pPr>
              <w:pStyle w:val="Compact"/>
              <w:jc w:val="center"/>
            </w:pPr>
            <w:r>
              <w:t xml:space="preserve">21.62%</w:t>
            </w:r>
          </w:p>
        </w:tc>
        <w:tc>
          <w:tcPr/>
          <w:p>
            <w:pPr>
              <w:pStyle w:val="Compact"/>
              <w:jc w:val="center"/>
            </w:pPr>
            <w:r>
              <w:t xml:space="preserve">51.4% (19/37)</w:t>
            </w:r>
          </w:p>
        </w:tc>
      </w:tr>
      <w:tr>
        <w:tc>
          <w:tcPr/>
          <w:p>
            <w:pPr>
              <w:pStyle w:val="Compact"/>
              <w:jc w:val="left"/>
            </w:pPr>
            <w:r>
              <w:rPr>
                <w:b/>
                <w:bCs/>
              </w:rPr>
              <w:t xml:space="preserve">Solid</w:t>
            </w:r>
          </w:p>
        </w:tc>
        <w:tc>
          <w:tcPr/>
          <w:p>
            <w:pPr>
              <w:pStyle w:val="Compact"/>
              <w:jc w:val="center"/>
            </w:pPr>
            <w:r>
              <w:t xml:space="preserve">68</w:t>
            </w:r>
          </w:p>
        </w:tc>
        <w:tc>
          <w:tcPr/>
          <w:p>
            <w:pPr>
              <w:pStyle w:val="Compact"/>
              <w:jc w:val="center"/>
            </w:pPr>
            <w:r>
              <w:t xml:space="preserve">21</w:t>
            </w:r>
          </w:p>
        </w:tc>
        <w:tc>
          <w:tcPr/>
          <w:p>
            <w:pPr>
              <w:pStyle w:val="Compact"/>
              <w:jc w:val="center"/>
            </w:pPr>
            <w:r>
              <w:t xml:space="preserve">30.88%</w:t>
            </w:r>
          </w:p>
        </w:tc>
        <w:tc>
          <w:tcPr/>
          <w:p>
            <w:pPr>
              <w:pStyle w:val="Compact"/>
              <w:jc w:val="center"/>
            </w:pPr>
            <w:r>
              <w:t xml:space="preserve">57.4% (39/68)</w:t>
            </w:r>
          </w:p>
        </w:tc>
      </w:tr>
      <w:tr>
        <w:tc>
          <w:tcPr/>
          <w:p>
            <w:pPr>
              <w:pStyle w:val="Compact"/>
              <w:jc w:val="left"/>
            </w:pPr>
            <w:r>
              <w:rPr>
                <w:b/>
                <w:bCs/>
              </w:rPr>
              <w:t xml:space="preserve">Total Cohort</w:t>
            </w:r>
          </w:p>
        </w:tc>
        <w:tc>
          <w:tcPr/>
          <w:p>
            <w:pPr>
              <w:pStyle w:val="Compact"/>
              <w:jc w:val="center"/>
            </w:pPr>
            <w:r>
              <w:t xml:space="preserve">604</w:t>
            </w:r>
          </w:p>
        </w:tc>
        <w:tc>
          <w:tcPr/>
          <w:p>
            <w:pPr>
              <w:pStyle w:val="Compact"/>
              <w:jc w:val="center"/>
            </w:pPr>
            <w:r>
              <w:t xml:space="preserve">98</w:t>
            </w:r>
          </w:p>
        </w:tc>
        <w:tc>
          <w:tcPr/>
          <w:p>
            <w:pPr>
              <w:pStyle w:val="Compact"/>
              <w:jc w:val="center"/>
            </w:pPr>
            <w:r>
              <w:t xml:space="preserve">16.23%</w:t>
            </w:r>
          </w:p>
        </w:tc>
        <w:tc>
          <w:tcPr/>
          <w:p>
            <w:pPr>
              <w:pStyle w:val="Compact"/>
              <w:jc w:val="center"/>
            </w:pPr>
            <w:r>
              <w:t xml:space="preserve">74.0% (447/604)</w:t>
            </w:r>
          </w:p>
        </w:tc>
      </w:tr>
    </w:tbl>
    <w:p>
      <w:pPr>
        <w:pStyle w:val="BodyText"/>
      </w:pPr>
      <w:r>
        <w:t xml:space="preserve">An unadjusted log-rank test across all 5 histologic subtypes showed significant differences in recurrence-free survival (4 degrees of freedom:</w:t>
      </w:r>
      <w:r>
        <w:t xml:space="preserve"> </w:t>
      </w:r>
      <m:oMath>
        <m:sSup>
          <m:e>
            <m:r>
              <m:t>χ</m:t>
            </m:r>
          </m:e>
          <m:sup>
            <m:r>
              <m:t>2</m:t>
            </m:r>
          </m:sup>
        </m:sSup>
        <m:r>
          <m:rPr>
            <m:sty m:val="p"/>
          </m:rPr>
          <m:t>=</m:t>
        </m:r>
        <m:r>
          <m:t>24.52</m:t>
        </m:r>
        <m:r>
          <m:rPr>
            <m:sty m:val="p"/>
          </m:rPr>
          <m:t>,</m:t>
        </m:r>
        <m:r>
          <m:t>p</m:t>
        </m:r>
        <m:r>
          <m:rPr>
            <m:sty m:val="p"/>
          </m:rPr>
          <m:t>=</m:t>
        </m:r>
        <m:r>
          <m:t>6.27</m:t>
        </m:r>
        <m:r>
          <m:rPr>
            <m:sty m:val="p"/>
          </m:rPr>
          <m:t>×</m:t>
        </m:r>
        <m:sSup>
          <m:e>
            <m:r>
              <m:t>10</m:t>
            </m:r>
          </m:e>
          <m:sup>
            <m:r>
              <m:rPr>
                <m:sty m:val="p"/>
              </m:rPr>
              <m:t>−</m:t>
            </m:r>
            <m:r>
              <m:t>5</m:t>
            </m:r>
          </m:sup>
        </m:sSup>
      </m:oMath>
      <w:r>
        <w:t xml:space="preserve">). However, stage distribution is highly skewed: 88.6% of lepidic tumors were Stage I, compared to 57.4% of solid and 51.4% of micropapillary tumors.</w:t>
      </w:r>
    </w:p>
    <w:bookmarkEnd w:id="47"/>
    <w:bookmarkEnd w:id="48"/>
    <w:bookmarkStart w:id="53" w:name="Xa320e85bf39befa4b83b83f7ba6cb152ae8ee53"/>
    <w:p>
      <w:pPr>
        <w:pStyle w:val="Heading3"/>
      </w:pPr>
      <w:r>
        <w:t xml:space="preserve">4.3 Multivariable Cox Models &amp; Multiplicity Adjustments</w:t>
      </w:r>
    </w:p>
    <w:bookmarkStart w:id="52" w:name="X134c9467b817ff6da35711cdbcdaaf8f97964ff"/>
    <w:p>
      <w:pPr>
        <w:pStyle w:val="Heading4"/>
      </w:pPr>
      <w:r>
        <w:t xml:space="preserve">Table 5. Multivariable Stage-Adjusted Cox Proportional Hazards Models</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Model &amp; Comparison</w:t>
            </w:r>
          </w:p>
        </w:tc>
        <w:tc>
          <w:tcPr/>
          <w:p>
            <w:pPr>
              <w:pStyle w:val="Compact"/>
              <w:jc w:val="center"/>
            </w:pPr>
            <w:r>
              <w:t xml:space="preserve">Patients (</w:t>
            </w:r>
            <m:oMath>
              <m:r>
                <m:t>N</m:t>
              </m:r>
            </m:oMath>
            <w:r>
              <w:t xml:space="preserve">)</w:t>
            </w:r>
          </w:p>
        </w:tc>
        <w:tc>
          <w:tcPr/>
          <w:p>
            <w:pPr>
              <w:pStyle w:val="Compact"/>
              <w:jc w:val="center"/>
            </w:pPr>
            <w:r>
              <w:t xml:space="preserve">Events</w:t>
            </w:r>
          </w:p>
        </w:tc>
        <w:tc>
          <w:tcPr/>
          <w:p>
            <w:pPr>
              <w:pStyle w:val="Compact"/>
              <w:jc w:val="center"/>
            </w:pPr>
            <w:r>
              <w:t xml:space="preserve">Hazard Ratio (</w:t>
            </w:r>
            <m:oMath>
              <m:r>
                <m:t>95</m:t>
              </m:r>
              <m:r>
                <m:rPr>
                  <m:sty m:val="p"/>
                </m:rPr>
                <m:t>%</m:t>
              </m:r>
              <m:r>
                <m:t> </m:t>
              </m:r>
              <m:r>
                <m:rPr>
                  <m:nor/>
                  <m:sty m:val="p"/>
                </m:rPr>
                <m:t>CI</m:t>
              </m:r>
            </m:oMath>
            <w:r>
              <w:t xml:space="preserve">)</w:t>
            </w:r>
          </w:p>
        </w:tc>
        <w:tc>
          <w:tcPr/>
          <w:p>
            <w:pPr>
              <w:pStyle w:val="Compact"/>
              <w:jc w:val="center"/>
            </w:pPr>
            <w:r>
              <w:t xml:space="preserve">Raw</w:t>
            </w:r>
            <w:r>
              <w:t xml:space="preserve"> </w:t>
            </w:r>
            <m:oMath>
              <m:r>
                <m:t>p</m:t>
              </m:r>
            </m:oMath>
            <w:r>
              <w:t xml:space="preserve">-value</w:t>
            </w:r>
          </w:p>
        </w:tc>
        <w:tc>
          <w:tcPr/>
          <w:p>
            <w:pPr>
              <w:pStyle w:val="Compact"/>
              <w:jc w:val="center"/>
            </w:pPr>
            <w:r>
              <w:t xml:space="preserve">Holm-Adjusted</w:t>
            </w:r>
            <w:r>
              <w:t xml:space="preserve"> </w:t>
            </w:r>
            <m:oMath>
              <m:r>
                <m:t>p</m:t>
              </m:r>
            </m:oMath>
            <w:r>
              <w:t xml:space="preserve">-value</w:t>
            </w:r>
          </w:p>
        </w:tc>
      </w:tr>
      <w:tr>
        <w:tc>
          <w:tcPr/>
          <w:p>
            <w:pPr>
              <w:pStyle w:val="Compact"/>
              <w:jc w:val="left"/>
            </w:pPr>
            <w:r>
              <w:rPr>
                <w:b/>
                <w:bCs/>
              </w:rPr>
              <w:t xml:space="preserve">5-Subtype Model (Ref: Acinar)</w:t>
            </w:r>
          </w:p>
        </w:tc>
        <w:tc>
          <w:tcPr/>
          <w:p>
            <w:pPr>
              <w:pStyle w:val="Compact"/>
              <w:jc w:val="center"/>
            </w:pPr>
            <w:r>
              <w:t xml:space="preserve">604</w:t>
            </w:r>
          </w:p>
        </w:tc>
        <w:tc>
          <w:tcPr/>
          <w:p>
            <w:pPr>
              <w:pStyle w:val="Compact"/>
              <w:jc w:val="center"/>
            </w:pPr>
            <w:r>
              <w:t xml:space="preserve">98</w:t>
            </w:r>
          </w:p>
        </w:tc>
        <w:tc>
          <w:tcPr/>
          <w:p>
            <w:pPr>
              <w:pStyle w:val="Compact"/>
            </w:pPr>
          </w:p>
        </w:tc>
        <w:tc>
          <w:tcPr/>
          <w:p>
            <w:pPr>
              <w:pStyle w:val="Compact"/>
            </w:pPr>
          </w:p>
        </w:tc>
        <w:tc>
          <w:tcPr/>
          <w:p>
            <w:pPr>
              <w:pStyle w:val="Compact"/>
            </w:pPr>
          </w:p>
        </w:tc>
      </w:tr>
      <w:tr>
        <w:tc>
          <w:tcPr/>
          <w:p>
            <w:pPr>
              <w:pStyle w:val="Compact"/>
              <w:jc w:val="left"/>
            </w:pPr>
            <w:r>
              <w:t xml:space="preserve">Lepidic vs Acinar</w:t>
            </w:r>
          </w:p>
        </w:tc>
        <w:tc>
          <w:tcPr/>
          <w:p>
            <w:pPr>
              <w:pStyle w:val="Compact"/>
            </w:pPr>
          </w:p>
        </w:tc>
        <w:tc>
          <w:tcPr/>
          <w:p>
            <w:pPr>
              <w:pStyle w:val="Compact"/>
            </w:pPr>
          </w:p>
        </w:tc>
        <w:tc>
          <w:tcPr/>
          <w:p>
            <w:pPr>
              <w:pStyle w:val="Compact"/>
              <w:jc w:val="center"/>
            </w:pPr>
            <w:r>
              <w:t xml:space="preserve">0.25 (0.09–0.70)</w:t>
            </w:r>
          </w:p>
        </w:tc>
        <w:tc>
          <w:tcPr/>
          <w:p>
            <w:pPr>
              <w:pStyle w:val="Compact"/>
              <w:jc w:val="center"/>
            </w:pPr>
            <w:r>
              <w:t xml:space="preserve">0.0084</w:t>
            </w:r>
          </w:p>
        </w:tc>
        <w:tc>
          <w:tcPr/>
          <w:p>
            <w:pPr>
              <w:pStyle w:val="Compact"/>
              <w:jc w:val="center"/>
            </w:pPr>
            <w:r>
              <w:t xml:space="preserve">—</w:t>
            </w:r>
          </w:p>
        </w:tc>
      </w:tr>
      <w:tr>
        <w:tc>
          <w:tcPr/>
          <w:p>
            <w:pPr>
              <w:pStyle w:val="Compact"/>
              <w:jc w:val="left"/>
            </w:pPr>
            <w:r>
              <w:t xml:space="preserve">Solid vs Acinar</w:t>
            </w:r>
          </w:p>
        </w:tc>
        <w:tc>
          <w:tcPr/>
          <w:p>
            <w:pPr>
              <w:pStyle w:val="Compact"/>
            </w:pPr>
          </w:p>
        </w:tc>
        <w:tc>
          <w:tcPr/>
          <w:p>
            <w:pPr>
              <w:pStyle w:val="Compact"/>
            </w:pPr>
          </w:p>
        </w:tc>
        <w:tc>
          <w:tcPr/>
          <w:p>
            <w:pPr>
              <w:pStyle w:val="Compact"/>
              <w:jc w:val="center"/>
            </w:pPr>
            <w:r>
              <w:t xml:space="preserve">1.48 (0.89–2.49)</w:t>
            </w:r>
          </w:p>
        </w:tc>
        <w:tc>
          <w:tcPr/>
          <w:p>
            <w:pPr>
              <w:pStyle w:val="Compact"/>
              <w:jc w:val="center"/>
            </w:pPr>
            <w:r>
              <w:t xml:space="preserve">0.1334</w:t>
            </w:r>
          </w:p>
        </w:tc>
        <w:tc>
          <w:tcPr/>
          <w:p>
            <w:pPr>
              <w:pStyle w:val="Compact"/>
              <w:jc w:val="center"/>
            </w:pPr>
            <w:r>
              <w:t xml:space="preserve">—</w:t>
            </w:r>
          </w:p>
        </w:tc>
      </w:tr>
      <w:tr>
        <w:tc>
          <w:tcPr/>
          <w:p>
            <w:pPr>
              <w:pStyle w:val="Compact"/>
              <w:jc w:val="left"/>
            </w:pPr>
            <w:r>
              <w:t xml:space="preserve">Papillary vs Acinar</w:t>
            </w:r>
          </w:p>
        </w:tc>
        <w:tc>
          <w:tcPr/>
          <w:p>
            <w:pPr>
              <w:pStyle w:val="Compact"/>
            </w:pPr>
          </w:p>
        </w:tc>
        <w:tc>
          <w:tcPr/>
          <w:p>
            <w:pPr>
              <w:pStyle w:val="Compact"/>
            </w:pPr>
          </w:p>
        </w:tc>
        <w:tc>
          <w:tcPr/>
          <w:p>
            <w:pPr>
              <w:pStyle w:val="Compact"/>
              <w:jc w:val="center"/>
            </w:pPr>
            <w:r>
              <w:t xml:space="preserve">1.51 (0.79–2.92)</w:t>
            </w:r>
          </w:p>
        </w:tc>
        <w:tc>
          <w:tcPr/>
          <w:p>
            <w:pPr>
              <w:pStyle w:val="Compact"/>
              <w:jc w:val="center"/>
            </w:pPr>
            <w:r>
              <w:t xml:space="preserve">0.2149</w:t>
            </w:r>
          </w:p>
        </w:tc>
        <w:tc>
          <w:tcPr/>
          <w:p>
            <w:pPr>
              <w:pStyle w:val="Compact"/>
              <w:jc w:val="center"/>
            </w:pPr>
            <w:r>
              <w:t xml:space="preserve">—</w:t>
            </w:r>
          </w:p>
        </w:tc>
      </w:tr>
      <w:tr>
        <w:tc>
          <w:tcPr/>
          <w:p>
            <w:pPr>
              <w:pStyle w:val="Compact"/>
              <w:jc w:val="left"/>
            </w:pPr>
            <w:r>
              <w:t xml:space="preserve">Micropapillary vs Acinar</w:t>
            </w:r>
          </w:p>
        </w:tc>
        <w:tc>
          <w:tcPr/>
          <w:p>
            <w:pPr>
              <w:pStyle w:val="Compact"/>
            </w:pPr>
          </w:p>
        </w:tc>
        <w:tc>
          <w:tcPr/>
          <w:p>
            <w:pPr>
              <w:pStyle w:val="Compact"/>
            </w:pPr>
          </w:p>
        </w:tc>
        <w:tc>
          <w:tcPr/>
          <w:p>
            <w:pPr>
              <w:pStyle w:val="Compact"/>
              <w:jc w:val="center"/>
            </w:pPr>
            <w:r>
              <w:t xml:space="preserve">0.74 (0.33–1.66)</w:t>
            </w:r>
          </w:p>
        </w:tc>
        <w:tc>
          <w:tcPr/>
          <w:p>
            <w:pPr>
              <w:pStyle w:val="Compact"/>
              <w:jc w:val="center"/>
            </w:pPr>
            <w:r>
              <w:t xml:space="preserve">0.4684</w:t>
            </w:r>
          </w:p>
        </w:tc>
        <w:tc>
          <w:tcPr/>
          <w:p>
            <w:pPr>
              <w:pStyle w:val="Compact"/>
              <w:jc w:val="center"/>
            </w:pPr>
            <w:r>
              <w:t xml:space="preserve">—</w:t>
            </w:r>
          </w:p>
        </w:tc>
      </w:tr>
      <w:tr>
        <w:tc>
          <w:tcPr/>
          <w:p>
            <w:pPr>
              <w:pStyle w:val="Compact"/>
              <w:jc w:val="left"/>
            </w:pPr>
            <w:r>
              <w:t xml:space="preserve">Stage II/III vs Stage I</w:t>
            </w:r>
          </w:p>
        </w:tc>
        <w:tc>
          <w:tcPr/>
          <w:p>
            <w:pPr>
              <w:pStyle w:val="Compact"/>
            </w:pPr>
          </w:p>
        </w:tc>
        <w:tc>
          <w:tcPr/>
          <w:p>
            <w:pPr>
              <w:pStyle w:val="Compact"/>
            </w:pPr>
          </w:p>
        </w:tc>
        <w:tc>
          <w:tcPr/>
          <w:p>
            <w:pPr>
              <w:pStyle w:val="Compact"/>
              <w:jc w:val="center"/>
            </w:pPr>
            <w:r>
              <w:t xml:space="preserve">4.16 (2.73–6.34)</w:t>
            </w:r>
          </w:p>
        </w:tc>
        <w:tc>
          <w:tcPr/>
          <w:p>
            <w:pPr>
              <w:pStyle w:val="Compact"/>
              <w:jc w:val="center"/>
            </w:pPr>
            <m:oMath>
              <m:r>
                <m:t>3.36</m:t>
              </m:r>
              <m:r>
                <m:rPr>
                  <m:sty m:val="p"/>
                </m:rPr>
                <m:t>×</m:t>
              </m:r>
              <m:sSup>
                <m:e>
                  <m:r>
                    <m:t>10</m:t>
                  </m:r>
                </m:e>
                <m:sup>
                  <m:r>
                    <m:rPr>
                      <m:sty m:val="p"/>
                    </m:rPr>
                    <m:t>−</m:t>
                  </m:r>
                  <m:r>
                    <m:t>11</m:t>
                  </m:r>
                </m:sup>
              </m:sSup>
            </m:oMath>
          </w:p>
        </w:tc>
        <w:tc>
          <w:tcPr/>
          <w:p>
            <w:pPr>
              <w:pStyle w:val="Compact"/>
              <w:jc w:val="center"/>
            </w:pPr>
            <w:r>
              <w:t xml:space="preserve">—</w:t>
            </w:r>
          </w:p>
        </w:tc>
      </w:tr>
      <w:tr>
        <w:tc>
          <w:tcPr/>
          <w:p>
            <w:pPr>
              <w:pStyle w:val="Compact"/>
              <w:jc w:val="left"/>
            </w:pPr>
            <w:r>
              <w:rPr>
                <w:b/>
                <w:bCs/>
              </w:rPr>
              <w:t xml:space="preserve">Pairwise Models (10 Contrasts)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Solid vs Lepidic</w:t>
            </w:r>
          </w:p>
        </w:tc>
        <w:tc>
          <w:tcPr/>
          <w:p>
            <w:pPr>
              <w:pStyle w:val="Compact"/>
              <w:jc w:val="center"/>
            </w:pPr>
            <w:r>
              <w:t xml:space="preserve">156</w:t>
            </w:r>
          </w:p>
        </w:tc>
        <w:tc>
          <w:tcPr/>
          <w:p>
            <w:pPr>
              <w:pStyle w:val="Compact"/>
              <w:jc w:val="center"/>
            </w:pPr>
            <w:r>
              <w:t xml:space="preserve">25</w:t>
            </w:r>
          </w:p>
        </w:tc>
        <w:tc>
          <w:tcPr/>
          <w:p>
            <w:pPr>
              <w:pStyle w:val="Compact"/>
              <w:jc w:val="center"/>
            </w:pPr>
            <w:r>
              <w:t xml:space="preserve">7.82 (2.60–23.55)</w:t>
            </w:r>
          </w:p>
        </w:tc>
        <w:tc>
          <w:tcPr/>
          <w:p>
            <w:pPr>
              <w:pStyle w:val="Compact"/>
              <w:jc w:val="center"/>
            </w:pPr>
            <w:r>
              <w:t xml:space="preserve">0.00026</w:t>
            </w:r>
          </w:p>
        </w:tc>
        <w:tc>
          <w:tcPr/>
          <w:p>
            <w:pPr>
              <w:pStyle w:val="Compact"/>
              <w:jc w:val="center"/>
            </w:pPr>
            <w:r>
              <w:rPr>
                <w:b/>
                <w:bCs/>
              </w:rPr>
              <w:t xml:space="preserve">0.0026</w:t>
            </w:r>
          </w:p>
        </w:tc>
      </w:tr>
      <w:tr>
        <w:tc>
          <w:tcPr/>
          <w:p>
            <w:pPr>
              <w:pStyle w:val="Compact"/>
              <w:jc w:val="left"/>
            </w:pPr>
            <w:r>
              <w:t xml:space="preserve">Papillary vs Lepidic</w:t>
            </w:r>
          </w:p>
        </w:tc>
        <w:tc>
          <w:tcPr/>
          <w:p>
            <w:pPr>
              <w:pStyle w:val="Compact"/>
              <w:jc w:val="center"/>
            </w:pPr>
            <w:r>
              <w:t xml:space="preserve">131</w:t>
            </w:r>
          </w:p>
        </w:tc>
        <w:tc>
          <w:tcPr/>
          <w:p>
            <w:pPr>
              <w:pStyle w:val="Compact"/>
              <w:jc w:val="center"/>
            </w:pPr>
            <w:r>
              <w:t xml:space="preserve">15</w:t>
            </w:r>
          </w:p>
        </w:tc>
        <w:tc>
          <w:tcPr/>
          <w:p>
            <w:pPr>
              <w:pStyle w:val="Compact"/>
              <w:jc w:val="center"/>
            </w:pPr>
            <w:r>
              <w:t xml:space="preserve">6.07 (1.91–19.32)</w:t>
            </w:r>
          </w:p>
        </w:tc>
        <w:tc>
          <w:tcPr/>
          <w:p>
            <w:pPr>
              <w:pStyle w:val="Compact"/>
              <w:jc w:val="center"/>
            </w:pPr>
            <w:r>
              <w:t xml:space="preserve">0.00226</w:t>
            </w:r>
          </w:p>
        </w:tc>
        <w:tc>
          <w:tcPr/>
          <w:p>
            <w:pPr>
              <w:pStyle w:val="Compact"/>
              <w:jc w:val="center"/>
            </w:pPr>
            <w:r>
              <w:rPr>
                <w:b/>
                <w:bCs/>
              </w:rPr>
              <w:t xml:space="preserve">0.0203</w:t>
            </w:r>
          </w:p>
        </w:tc>
      </w:tr>
      <w:tr>
        <w:tc>
          <w:tcPr/>
          <w:p>
            <w:pPr>
              <w:pStyle w:val="Compact"/>
              <w:jc w:val="left"/>
            </w:pPr>
            <w:r>
              <w:t xml:space="preserve">Acinar vs Lepidic</w:t>
            </w:r>
          </w:p>
        </w:tc>
        <w:tc>
          <w:tcPr/>
          <w:p>
            <w:pPr>
              <w:pStyle w:val="Compact"/>
              <w:jc w:val="center"/>
            </w:pPr>
            <w:r>
              <w:t xml:space="preserve">456</w:t>
            </w:r>
          </w:p>
        </w:tc>
        <w:tc>
          <w:tcPr/>
          <w:p>
            <w:pPr>
              <w:pStyle w:val="Compact"/>
              <w:jc w:val="center"/>
            </w:pPr>
            <w:r>
              <w:t xml:space="preserve">58</w:t>
            </w:r>
          </w:p>
        </w:tc>
        <w:tc>
          <w:tcPr/>
          <w:p>
            <w:pPr>
              <w:pStyle w:val="Compact"/>
              <w:jc w:val="center"/>
            </w:pPr>
            <w:r>
              <w:t xml:space="preserve">3.94 (1.41–10.97)</w:t>
            </w:r>
          </w:p>
        </w:tc>
        <w:tc>
          <w:tcPr/>
          <w:p>
            <w:pPr>
              <w:pStyle w:val="Compact"/>
              <w:jc w:val="center"/>
            </w:pPr>
            <w:r>
              <w:t xml:space="preserve">0.00879</w:t>
            </w:r>
          </w:p>
        </w:tc>
        <w:tc>
          <w:tcPr/>
          <w:p>
            <w:pPr>
              <w:pStyle w:val="Compact"/>
              <w:jc w:val="center"/>
            </w:pPr>
            <w:r>
              <w:t xml:space="preserve">0.0703</w:t>
            </w:r>
          </w:p>
        </w:tc>
      </w:tr>
      <w:tr>
        <w:tc>
          <w:tcPr/>
          <w:p>
            <w:pPr>
              <w:pStyle w:val="Compact"/>
              <w:jc w:val="left"/>
            </w:pPr>
            <w:r>
              <w:t xml:space="preserve">Micropapillary vs Lepidic</w:t>
            </w:r>
          </w:p>
        </w:tc>
        <w:tc>
          <w:tcPr/>
          <w:p>
            <w:pPr>
              <w:pStyle w:val="Compact"/>
              <w:jc w:val="center"/>
            </w:pPr>
            <w:r>
              <w:t xml:space="preserve">125</w:t>
            </w:r>
          </w:p>
        </w:tc>
        <w:tc>
          <w:tcPr/>
          <w:p>
            <w:pPr>
              <w:pStyle w:val="Compact"/>
              <w:jc w:val="center"/>
            </w:pPr>
            <w:r>
              <w:t xml:space="preserve">12</w:t>
            </w:r>
          </w:p>
        </w:tc>
        <w:tc>
          <w:tcPr/>
          <w:p>
            <w:pPr>
              <w:pStyle w:val="Compact"/>
              <w:jc w:val="center"/>
            </w:pPr>
            <w:r>
              <w:t xml:space="preserve">3.85 (0.97–15.34)</w:t>
            </w:r>
          </w:p>
        </w:tc>
        <w:tc>
          <w:tcPr/>
          <w:p>
            <w:pPr>
              <w:pStyle w:val="Compact"/>
              <w:jc w:val="center"/>
            </w:pPr>
            <w:r>
              <w:t xml:space="preserve">0.05587</w:t>
            </w:r>
          </w:p>
        </w:tc>
        <w:tc>
          <w:tcPr/>
          <w:p>
            <w:pPr>
              <w:pStyle w:val="Compact"/>
              <w:jc w:val="center"/>
            </w:pPr>
            <w:r>
              <w:t xml:space="preserve">0.3911</w:t>
            </w:r>
          </w:p>
        </w:tc>
      </w:tr>
      <w:tr>
        <w:tc>
          <w:tcPr/>
          <w:p>
            <w:pPr>
              <w:pStyle w:val="Compact"/>
              <w:jc w:val="left"/>
            </w:pPr>
            <w:r>
              <w:t xml:space="preserve">Solid vs Acinar</w:t>
            </w:r>
          </w:p>
        </w:tc>
        <w:tc>
          <w:tcPr/>
          <w:p>
            <w:pPr>
              <w:pStyle w:val="Compact"/>
              <w:jc w:val="center"/>
            </w:pPr>
            <w:r>
              <w:t xml:space="preserve">436</w:t>
            </w:r>
          </w:p>
        </w:tc>
        <w:tc>
          <w:tcPr/>
          <w:p>
            <w:pPr>
              <w:pStyle w:val="Compact"/>
              <w:jc w:val="center"/>
            </w:pPr>
            <w:r>
              <w:t xml:space="preserve">75</w:t>
            </w:r>
          </w:p>
        </w:tc>
        <w:tc>
          <w:tcPr/>
          <w:p>
            <w:pPr>
              <w:pStyle w:val="Compact"/>
              <w:jc w:val="center"/>
            </w:pPr>
            <w:r>
              <w:t xml:space="preserve">1.45 (0.87–2.44)</w:t>
            </w:r>
          </w:p>
        </w:tc>
        <w:tc>
          <w:tcPr/>
          <w:p>
            <w:pPr>
              <w:pStyle w:val="Compact"/>
              <w:jc w:val="center"/>
            </w:pPr>
            <w:r>
              <w:t xml:space="preserve">0.15733</w:t>
            </w:r>
          </w:p>
        </w:tc>
        <w:tc>
          <w:tcPr/>
          <w:p>
            <w:pPr>
              <w:pStyle w:val="Compact"/>
              <w:jc w:val="center"/>
            </w:pPr>
            <w:r>
              <w:t xml:space="preserve">0.9440</w:t>
            </w:r>
          </w:p>
        </w:tc>
      </w:tr>
      <w:tr>
        <w:tc>
          <w:tcPr/>
          <w:p>
            <w:pPr>
              <w:pStyle w:val="Compact"/>
              <w:jc w:val="left"/>
            </w:pPr>
            <w:r>
              <w:t xml:space="preserve">Papillary vs Acinar</w:t>
            </w:r>
          </w:p>
        </w:tc>
        <w:tc>
          <w:tcPr/>
          <w:p>
            <w:pPr>
              <w:pStyle w:val="Compact"/>
              <w:jc w:val="center"/>
            </w:pPr>
            <w:r>
              <w:t xml:space="preserve">411</w:t>
            </w:r>
          </w:p>
        </w:tc>
        <w:tc>
          <w:tcPr/>
          <w:p>
            <w:pPr>
              <w:pStyle w:val="Compact"/>
              <w:jc w:val="center"/>
            </w:pPr>
            <w:r>
              <w:t xml:space="preserve">65</w:t>
            </w:r>
          </w:p>
        </w:tc>
        <w:tc>
          <w:tcPr/>
          <w:p>
            <w:pPr>
              <w:pStyle w:val="Compact"/>
              <w:jc w:val="center"/>
            </w:pPr>
            <w:r>
              <w:t xml:space="preserve">1.53 (0.79–2.97)</w:t>
            </w:r>
          </w:p>
        </w:tc>
        <w:tc>
          <w:tcPr/>
          <w:p>
            <w:pPr>
              <w:pStyle w:val="Compact"/>
              <w:jc w:val="center"/>
            </w:pPr>
            <w:r>
              <w:t xml:space="preserve">0.20889</w:t>
            </w:r>
          </w:p>
        </w:tc>
        <w:tc>
          <w:tcPr/>
          <w:p>
            <w:pPr>
              <w:pStyle w:val="Compact"/>
              <w:jc w:val="center"/>
            </w:pPr>
            <w:r>
              <w:t xml:space="preserve">1.0000</w:t>
            </w:r>
          </w:p>
        </w:tc>
      </w:tr>
      <w:tr>
        <w:tc>
          <w:tcPr/>
          <w:p>
            <w:pPr>
              <w:pStyle w:val="Compact"/>
              <w:jc w:val="left"/>
            </w:pPr>
            <w:r>
              <w:t xml:space="preserve">Solid vs Micropapillary</w:t>
            </w:r>
          </w:p>
        </w:tc>
        <w:tc>
          <w:tcPr/>
          <w:p>
            <w:pPr>
              <w:pStyle w:val="Compact"/>
              <w:jc w:val="center"/>
            </w:pPr>
            <w:r>
              <w:t xml:space="preserve">105</w:t>
            </w:r>
          </w:p>
        </w:tc>
        <w:tc>
          <w:tcPr/>
          <w:p>
            <w:pPr>
              <w:pStyle w:val="Compact"/>
              <w:jc w:val="center"/>
            </w:pPr>
            <w:r>
              <w:t xml:space="preserve">29</w:t>
            </w:r>
          </w:p>
        </w:tc>
        <w:tc>
          <w:tcPr/>
          <w:p>
            <w:pPr>
              <w:pStyle w:val="Compact"/>
              <w:jc w:val="center"/>
            </w:pPr>
            <w:r>
              <w:t xml:space="preserve">1.72 (0.72–4.10)</w:t>
            </w:r>
          </w:p>
        </w:tc>
        <w:tc>
          <w:tcPr/>
          <w:p>
            <w:pPr>
              <w:pStyle w:val="Compact"/>
              <w:jc w:val="center"/>
            </w:pPr>
            <w:r>
              <w:t xml:space="preserve">0.22416</w:t>
            </w:r>
          </w:p>
        </w:tc>
        <w:tc>
          <w:tcPr/>
          <w:p>
            <w:pPr>
              <w:pStyle w:val="Compact"/>
              <w:jc w:val="center"/>
            </w:pPr>
            <w:r>
              <w:t xml:space="preserve">1.0000</w:t>
            </w:r>
          </w:p>
        </w:tc>
      </w:tr>
      <w:tr>
        <w:tc>
          <w:tcPr/>
          <w:p>
            <w:pPr>
              <w:pStyle w:val="Compact"/>
              <w:jc w:val="left"/>
            </w:pPr>
            <w:r>
              <w:t xml:space="preserve">Micropapillary vs Acinar</w:t>
            </w:r>
          </w:p>
        </w:tc>
        <w:tc>
          <w:tcPr/>
          <w:p>
            <w:pPr>
              <w:pStyle w:val="Compact"/>
              <w:jc w:val="center"/>
            </w:pPr>
            <w:r>
              <w:t xml:space="preserve">405</w:t>
            </w:r>
          </w:p>
        </w:tc>
        <w:tc>
          <w:tcPr/>
          <w:p>
            <w:pPr>
              <w:pStyle w:val="Compact"/>
              <w:jc w:val="center"/>
            </w:pPr>
            <w:r>
              <w:t xml:space="preserve">62</w:t>
            </w:r>
          </w:p>
        </w:tc>
        <w:tc>
          <w:tcPr/>
          <w:p>
            <w:pPr>
              <w:pStyle w:val="Compact"/>
              <w:jc w:val="center"/>
            </w:pPr>
            <w:r>
              <w:t xml:space="preserve">0.67 (0.30–1.50)</w:t>
            </w:r>
          </w:p>
        </w:tc>
        <w:tc>
          <w:tcPr/>
          <w:p>
            <w:pPr>
              <w:pStyle w:val="Compact"/>
              <w:jc w:val="center"/>
            </w:pPr>
            <w:r>
              <w:t xml:space="preserve">0.33304</w:t>
            </w:r>
          </w:p>
        </w:tc>
        <w:tc>
          <w:tcPr/>
          <w:p>
            <w:pPr>
              <w:pStyle w:val="Compact"/>
              <w:jc w:val="center"/>
            </w:pPr>
            <w:r>
              <w:t xml:space="preserve">1.0000</w:t>
            </w:r>
          </w:p>
        </w:tc>
      </w:tr>
      <w:tr>
        <w:tc>
          <w:tcPr/>
          <w:p>
            <w:pPr>
              <w:pStyle w:val="Compact"/>
              <w:jc w:val="left"/>
            </w:pPr>
            <w:r>
              <w:t xml:space="preserve">Micropapillary vs Papillary</w:t>
            </w:r>
          </w:p>
        </w:tc>
        <w:tc>
          <w:tcPr/>
          <w:p>
            <w:pPr>
              <w:pStyle w:val="Compact"/>
              <w:jc w:val="center"/>
            </w:pPr>
            <w:r>
              <w:t xml:space="preserve">80</w:t>
            </w:r>
          </w:p>
        </w:tc>
        <w:tc>
          <w:tcPr/>
          <w:p>
            <w:pPr>
              <w:pStyle w:val="Compact"/>
              <w:jc w:val="center"/>
            </w:pPr>
            <w:r>
              <w:t xml:space="preserve">19</w:t>
            </w:r>
          </w:p>
        </w:tc>
        <w:tc>
          <w:tcPr/>
          <w:p>
            <w:pPr>
              <w:pStyle w:val="Compact"/>
              <w:jc w:val="center"/>
            </w:pPr>
            <w:r>
              <w:t xml:space="preserve">0.68 (0.25–1.83)</w:t>
            </w:r>
          </w:p>
        </w:tc>
        <w:tc>
          <w:tcPr/>
          <w:p>
            <w:pPr>
              <w:pStyle w:val="Compact"/>
              <w:jc w:val="center"/>
            </w:pPr>
            <w:r>
              <w:t xml:space="preserve">0.44273</w:t>
            </w:r>
          </w:p>
        </w:tc>
        <w:tc>
          <w:tcPr/>
          <w:p>
            <w:pPr>
              <w:pStyle w:val="Compact"/>
              <w:jc w:val="center"/>
            </w:pPr>
            <w:r>
              <w:t xml:space="preserve">1.0000</w:t>
            </w:r>
          </w:p>
        </w:tc>
      </w:tr>
      <w:tr>
        <w:tc>
          <w:tcPr/>
          <w:p>
            <w:pPr>
              <w:pStyle w:val="Compact"/>
              <w:jc w:val="left"/>
            </w:pPr>
            <w:r>
              <w:t xml:space="preserve">Solid vs Papillary</w:t>
            </w:r>
          </w:p>
        </w:tc>
        <w:tc>
          <w:tcPr/>
          <w:p>
            <w:pPr>
              <w:pStyle w:val="Compact"/>
              <w:jc w:val="center"/>
            </w:pPr>
            <w:r>
              <w:t xml:space="preserve">111</w:t>
            </w:r>
          </w:p>
        </w:tc>
        <w:tc>
          <w:tcPr/>
          <w:p>
            <w:pPr>
              <w:pStyle w:val="Compact"/>
              <w:jc w:val="center"/>
            </w:pPr>
            <w:r>
              <w:t xml:space="preserve">32</w:t>
            </w:r>
          </w:p>
        </w:tc>
        <w:tc>
          <w:tcPr/>
          <w:p>
            <w:pPr>
              <w:pStyle w:val="Compact"/>
              <w:jc w:val="center"/>
            </w:pPr>
            <w:r>
              <w:t xml:space="preserve">1.35 (0.62–2.96)</w:t>
            </w:r>
          </w:p>
        </w:tc>
        <w:tc>
          <w:tcPr/>
          <w:p>
            <w:pPr>
              <w:pStyle w:val="Compact"/>
              <w:jc w:val="center"/>
            </w:pPr>
            <w:r>
              <w:t xml:space="preserve">0.45435</w:t>
            </w:r>
          </w:p>
        </w:tc>
        <w:tc>
          <w:tcPr/>
          <w:p>
            <w:pPr>
              <w:pStyle w:val="Compact"/>
              <w:jc w:val="center"/>
            </w:pPr>
            <w:r>
              <w:t xml:space="preserve">1.0000</w:t>
            </w:r>
          </w:p>
        </w:tc>
      </w:tr>
      <w:tr>
        <w:tc>
          <w:tcPr/>
          <w:p>
            <w:pPr>
              <w:pStyle w:val="Compact"/>
              <w:jc w:val="left"/>
            </w:pPr>
            <w:r>
              <w:rPr>
                <w:b/>
                <w:bCs/>
              </w:rPr>
              <w:t xml:space="preserve">Exploratory Composite Models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Solid/Micropapillary vs Lepidic</w:t>
            </w:r>
          </w:p>
        </w:tc>
        <w:tc>
          <w:tcPr/>
          <w:p>
            <w:pPr>
              <w:pStyle w:val="Compact"/>
              <w:jc w:val="center"/>
            </w:pPr>
            <w:r>
              <w:t xml:space="preserve">193</w:t>
            </w:r>
          </w:p>
        </w:tc>
        <w:tc>
          <w:tcPr/>
          <w:p>
            <w:pPr>
              <w:pStyle w:val="Compact"/>
              <w:jc w:val="center"/>
            </w:pPr>
            <w:r>
              <w:t xml:space="preserve">33</w:t>
            </w:r>
          </w:p>
        </w:tc>
        <w:tc>
          <w:tcPr/>
          <w:p>
            <w:pPr>
              <w:pStyle w:val="Compact"/>
              <w:jc w:val="center"/>
            </w:pPr>
            <w:r>
              <w:t xml:space="preserve">6.75 (2.28–19.97)</w:t>
            </w:r>
          </w:p>
        </w:tc>
        <w:tc>
          <w:tcPr/>
          <w:p>
            <w:pPr>
              <w:pStyle w:val="Compact"/>
              <w:jc w:val="center"/>
            </w:pPr>
            <w:r>
              <w:t xml:space="preserve">0.00055</w:t>
            </w:r>
          </w:p>
        </w:tc>
        <w:tc>
          <w:tcPr/>
          <w:p>
            <w:pPr>
              <w:pStyle w:val="Compact"/>
              <w:jc w:val="center"/>
            </w:pPr>
            <w:r>
              <w:t xml:space="preserve">—</w:t>
            </w:r>
          </w:p>
        </w:tc>
      </w:tr>
      <w:tr>
        <w:tc>
          <w:tcPr/>
          <w:p>
            <w:pPr>
              <w:pStyle w:val="Compact"/>
              <w:jc w:val="left"/>
            </w:pPr>
            <w:r>
              <w:t xml:space="preserve">… with Firth / L2 Penalized Shrinkage</w:t>
            </w:r>
          </w:p>
        </w:tc>
        <w:tc>
          <w:tcPr/>
          <w:p>
            <w:pPr>
              <w:pStyle w:val="Compact"/>
              <w:jc w:val="center"/>
            </w:pPr>
            <w:r>
              <w:t xml:space="preserve">193</w:t>
            </w:r>
          </w:p>
        </w:tc>
        <w:tc>
          <w:tcPr/>
          <w:p>
            <w:pPr>
              <w:pStyle w:val="Compact"/>
              <w:jc w:val="center"/>
            </w:pPr>
            <w:r>
              <w:t xml:space="preserve">33</w:t>
            </w:r>
          </w:p>
        </w:tc>
        <w:tc>
          <w:tcPr/>
          <w:p>
            <w:pPr>
              <w:pStyle w:val="Compact"/>
              <w:jc w:val="center"/>
            </w:pPr>
            <w:r>
              <w:t xml:space="preserve">2.60–3.42 (1.42–7.03)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Solid/Micropapillary vs All Others</w:t>
            </w:r>
          </w:p>
        </w:tc>
        <w:tc>
          <w:tcPr/>
          <w:p>
            <w:pPr>
              <w:pStyle w:val="Compact"/>
              <w:jc w:val="center"/>
            </w:pPr>
            <w:r>
              <w:t xml:space="preserve">604</w:t>
            </w:r>
          </w:p>
        </w:tc>
        <w:tc>
          <w:tcPr/>
          <w:p>
            <w:pPr>
              <w:pStyle w:val="Compact"/>
              <w:jc w:val="center"/>
            </w:pPr>
            <w:r>
              <w:t xml:space="preserve">98</w:t>
            </w:r>
          </w:p>
        </w:tc>
        <w:tc>
          <w:tcPr/>
          <w:p>
            <w:pPr>
              <w:pStyle w:val="Compact"/>
              <w:jc w:val="center"/>
            </w:pPr>
            <w:r>
              <w:t xml:space="preserve">1.32 (0.83–2.08)</w:t>
            </w:r>
          </w:p>
        </w:tc>
        <w:tc>
          <w:tcPr/>
          <w:p>
            <w:pPr>
              <w:pStyle w:val="Compact"/>
              <w:jc w:val="center"/>
            </w:pPr>
            <w:r>
              <w:t xml:space="preserve">0.2390</w:t>
            </w:r>
          </w:p>
        </w:tc>
        <w:tc>
          <w:tcPr/>
          <w:p>
            <w:pPr>
              <w:pStyle w:val="Compact"/>
              <w:jc w:val="center"/>
            </w:pPr>
            <w:r>
              <w:t xml:space="preserve">—</w:t>
            </w:r>
          </w:p>
        </w:tc>
      </w:tr>
      <w:tr>
        <w:tc>
          <w:tcPr/>
          <w:p>
            <w:pPr>
              <w:pStyle w:val="Compact"/>
              <w:jc w:val="left"/>
            </w:pPr>
            <w:r>
              <w:t xml:space="preserve">… adjusting for EGFR, Sex, Smoking</w:t>
            </w:r>
          </w:p>
        </w:tc>
        <w:tc>
          <w:tcPr/>
          <w:p>
            <w:pPr>
              <w:pStyle w:val="Compact"/>
              <w:jc w:val="center"/>
            </w:pPr>
            <w:r>
              <w:t xml:space="preserve">604</w:t>
            </w:r>
          </w:p>
        </w:tc>
        <w:tc>
          <w:tcPr/>
          <w:p>
            <w:pPr>
              <w:pStyle w:val="Compact"/>
              <w:jc w:val="center"/>
            </w:pPr>
            <w:r>
              <w:t xml:space="preserve">98</w:t>
            </w:r>
          </w:p>
        </w:tc>
        <w:tc>
          <w:tcPr/>
          <w:p>
            <w:pPr>
              <w:pStyle w:val="Compact"/>
              <w:jc w:val="center"/>
            </w:pPr>
            <w:r>
              <w:t xml:space="preserve">1.30 (0.82–2.07)</w:t>
            </w:r>
          </w:p>
        </w:tc>
        <w:tc>
          <w:tcPr/>
          <w:p>
            <w:pPr>
              <w:pStyle w:val="Compact"/>
              <w:jc w:val="center"/>
            </w:pPr>
            <w:r>
              <w:t xml:space="preserve">0.2580</w:t>
            </w:r>
          </w:p>
        </w:tc>
        <w:tc>
          <w:tcPr/>
          <w:p>
            <w:pPr>
              <w:pStyle w:val="Compact"/>
              <w:jc w:val="center"/>
            </w:pPr>
            <w:r>
              <w:t xml:space="preserve">—</w:t>
            </w:r>
          </w:p>
        </w:tc>
      </w:tr>
      <w:tr>
        <w:tc>
          <w:tcPr/>
          <w:p>
            <w:pPr>
              <w:pStyle w:val="Compact"/>
              <w:jc w:val="left"/>
            </w:pPr>
            <w:r>
              <w:rPr>
                <w:b/>
                <w:bCs/>
              </w:rPr>
              <w:t xml:space="preserve">EGFR-Mutant Subgroup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Solid/Micropapillary vs Lepidic</w:t>
            </w:r>
          </w:p>
        </w:tc>
        <w:tc>
          <w:tcPr/>
          <w:p>
            <w:pPr>
              <w:pStyle w:val="Compact"/>
              <w:jc w:val="center"/>
            </w:pPr>
            <w:r>
              <w:t xml:space="preserve">56</w:t>
            </w:r>
          </w:p>
        </w:tc>
        <w:tc>
          <w:tcPr/>
          <w:p>
            <w:pPr>
              <w:pStyle w:val="Compact"/>
              <w:jc w:val="center"/>
            </w:pPr>
            <w:r>
              <w:t xml:space="preserve">6</w:t>
            </w:r>
          </w:p>
        </w:tc>
        <w:tc>
          <w:tcPr/>
          <w:p>
            <w:pPr>
              <w:pStyle w:val="Compact"/>
              <w:jc w:val="center"/>
            </w:pPr>
            <w:r>
              <w:t xml:space="preserve">1.10 (0.06–19.97)</w:t>
            </w:r>
          </w:p>
        </w:tc>
        <w:tc>
          <w:tcPr/>
          <w:p>
            <w:pPr>
              <w:pStyle w:val="Compact"/>
              <w:jc w:val="center"/>
            </w:pPr>
            <w:r>
              <w:t xml:space="preserve">0.9473</w:t>
            </w:r>
          </w:p>
        </w:tc>
        <w:tc>
          <w:tcPr/>
          <w:p>
            <w:pPr>
              <w:pStyle w:val="Compact"/>
              <w:jc w:val="center"/>
            </w:pPr>
            <w:r>
              <w:t xml:space="preserve">—</w:t>
            </w:r>
          </w:p>
        </w:tc>
      </w:tr>
    </w:tbl>
    <w:p>
      <w:pPr>
        <w:pStyle w:val="BodyText"/>
      </w:pPr>
      <w:r>
        <w:t xml:space="preserve">As detailed in</w:t>
      </w:r>
      <w:r>
        <w:t xml:space="preserve"> </w:t>
      </w:r>
      <w:r>
        <w:rPr>
          <w:b/>
          <w:bCs/>
        </w:rPr>
        <w:t xml:space="preserve">Table 5</w:t>
      </w:r>
      <w:r>
        <w:t xml:space="preserve">, the 5-subtype simultaneous model (with Acinar as reference) and pairwise models are separate fits. In the 5-subtype model, lepidic histology exhibits significantly reduced hazard (</w:t>
      </w:r>
      <m:oMath>
        <m:r>
          <m:t>H</m:t>
        </m:r>
        <m:r>
          <m:t>R</m:t>
        </m:r>
        <m:r>
          <m:rPr>
            <m:sty m:val="p"/>
          </m:rPr>
          <m:t>=</m:t>
        </m:r>
        <m:r>
          <m:t>0.25</m:t>
        </m:r>
        <m:r>
          <m:rPr>
            <m:sty m:val="p"/>
          </m:rPr>
          <m:t>,</m:t>
        </m:r>
        <m:r>
          <m:t>p</m:t>
        </m:r>
        <m:r>
          <m:rPr>
            <m:sty m:val="p"/>
          </m:rPr>
          <m:t>=</m:t>
        </m:r>
        <m:r>
          <m:t>0.0084</m:t>
        </m:r>
      </m:oMath>
      <w:r>
        <w:t xml:space="preserve">). In the complete 10-fold pairwise analysis with Holm-Bonferroni correction (Holm [16]), lepidic recurrence is significantly lower than solid (</w:t>
      </w:r>
      <m:oMath>
        <m:sSub>
          <m:e>
            <m:r>
              <m:t>p</m:t>
            </m:r>
          </m:e>
          <m:sub>
            <m:r>
              <m:rPr>
                <m:nor/>
                <m:sty m:val="p"/>
              </m:rPr>
              <m:t>adj</m:t>
            </m:r>
          </m:sub>
        </m:sSub>
        <m:r>
          <m:rPr>
            <m:sty m:val="p"/>
          </m:rPr>
          <m:t>=</m:t>
        </m:r>
        <m:r>
          <m:t>0.0026</m:t>
        </m:r>
      </m:oMath>
      <w:r>
        <w:t xml:space="preserve">) and papillary (</w:t>
      </w:r>
      <m:oMath>
        <m:sSub>
          <m:e>
            <m:r>
              <m:t>p</m:t>
            </m:r>
          </m:e>
          <m:sub>
            <m:r>
              <m:rPr>
                <m:nor/>
                <m:sty m:val="p"/>
              </m:rPr>
              <m:t>adj</m:t>
            </m:r>
          </m:sub>
        </m:sSub>
        <m:r>
          <m:rPr>
            <m:sty m:val="p"/>
          </m:rPr>
          <m:t>=</m:t>
        </m:r>
        <m:r>
          <m:t>0.0203</m:t>
        </m:r>
      </m:oMath>
      <w:r>
        <w:t xml:space="preserve">), but does not retain statistical significance against acinar (</w:t>
      </w:r>
      <m:oMath>
        <m:sSub>
          <m:e>
            <m:r>
              <m:t>p</m:t>
            </m:r>
          </m:e>
          <m:sub>
            <m:r>
              <m:rPr>
                <m:nor/>
                <m:sty m:val="p"/>
              </m:rPr>
              <m:t>adj</m:t>
            </m:r>
          </m:sub>
        </m:sSub>
        <m:r>
          <m:rPr>
            <m:sty m:val="p"/>
          </m:rPr>
          <m:t>=</m:t>
        </m:r>
        <m:r>
          <m:t>0.0703</m:t>
        </m:r>
      </m:oMath>
      <w:r>
        <w:t xml:space="preserve">) or micropapillary (</w:t>
      </w:r>
      <m:oMath>
        <m:sSub>
          <m:e>
            <m:r>
              <m:t>p</m:t>
            </m:r>
          </m:e>
          <m:sub>
            <m:r>
              <m:rPr>
                <m:nor/>
                <m:sty m:val="p"/>
              </m:rPr>
              <m:t>adj</m:t>
            </m:r>
          </m:sub>
        </m:sSub>
        <m:r>
          <m:rPr>
            <m:sty m:val="p"/>
          </m:rPr>
          <m:t>=</m:t>
        </m:r>
        <m:r>
          <m:t>0.3911</m:t>
        </m:r>
      </m:oMath>
      <w:r>
        <w:t xml:space="preserve">) under family-wise error control.</w:t>
      </w:r>
    </w:p>
    <w:p>
      <w:pPr>
        <w:pStyle w:val="BodyText"/>
      </w:pPr>
      <w:r>
        <w:t xml:space="preserve">The exploratory contrast of solid/micropapillary vs lepidic (</w:t>
      </w:r>
      <m:oMath>
        <m:r>
          <m:t>H</m:t>
        </m:r>
        <m:r>
          <m:t>R</m:t>
        </m:r>
        <m:r>
          <m:rPr>
            <m:sty m:val="p"/>
          </m:rPr>
          <m:t>=</m:t>
        </m:r>
        <m:r>
          <m:t>6.75</m:t>
        </m:r>
      </m:oMath>
      <w:r>
        <w:t xml:space="preserve">) rests on only 4 events in the lepidic cohort. Under bootstrap resampling (500 iterations), the upper confidence limit was unbounded due to resamples containing zero lepidic events. Applying Firth penalized likelihood or L2 shrinkage contracts this estimate to</w:t>
      </w:r>
      <w:r>
        <w:t xml:space="preserve"> </w:t>
      </w:r>
      <m:oMath>
        <m:r>
          <m:t>H</m:t>
        </m:r>
        <m:r>
          <m:t>R</m:t>
        </m:r>
        <m:r>
          <m:rPr>
            <m:sty m:val="p"/>
          </m:rPr>
          <m:t>≈</m:t>
        </m:r>
        <m:r>
          <m:t>2.60</m:t>
        </m:r>
        <m:r>
          <m:rPr>
            <m:nor/>
            <m:sty m:val="p"/>
          </m:rPr>
          <m:t>–</m:t>
        </m:r>
        <m:r>
          <m:t>3.42</m:t>
        </m:r>
      </m:oMath>
      <w:r>
        <w:t xml:space="preserve">. Across the full cohort, grouping solid and micropapillary yields an unadjusted</w:t>
      </w:r>
      <w:r>
        <w:t xml:space="preserve"> </w:t>
      </w:r>
      <m:oMath>
        <m:r>
          <m:t>H</m:t>
        </m:r>
        <m:r>
          <m:t>R</m:t>
        </m:r>
        <m:r>
          <m:rPr>
            <m:sty m:val="p"/>
          </m:rPr>
          <m:t>=</m:t>
        </m:r>
        <m:r>
          <m:t>1.32</m:t>
        </m:r>
      </m:oMath>
      <w:r>
        <w:t xml:space="preserve"> </w:t>
      </w:r>
      <w:r>
        <w:t xml:space="preserve">(</w:t>
      </w:r>
      <m:oMath>
        <m:r>
          <m:t>p</m:t>
        </m:r>
        <m:r>
          <m:rPr>
            <m:sty m:val="p"/>
          </m:rPr>
          <m:t>=</m:t>
        </m:r>
        <m:r>
          <m:t>0.239</m:t>
        </m:r>
      </m:oMath>
      <w:r>
        <w:t xml:space="preserve">). In the</w:t>
      </w:r>
      <w:r>
        <w:t xml:space="preserve"> </w:t>
      </w:r>
      <w:r>
        <w:rPr>
          <w:i/>
          <w:iCs/>
        </w:rPr>
        <w:t xml:space="preserve">EGFR</w:t>
      </w:r>
      <w:r>
        <w:t xml:space="preserve">-mutant subgroup (</w:t>
      </w:r>
      <m:oMath>
        <m:r>
          <m:t>N</m:t>
        </m:r>
        <m:r>
          <m:rPr>
            <m:sty m:val="p"/>
          </m:rPr>
          <m:t>=</m:t>
        </m:r>
        <m:r>
          <m:t>56</m:t>
        </m:r>
        <m:r>
          <m:rPr>
            <m:sty m:val="p"/>
          </m:rPr>
          <m:t>,</m:t>
        </m:r>
        <m:r>
          <m:t>6</m:t>
        </m:r>
      </m:oMath>
      <w:r>
        <w:t xml:space="preserve"> </w:t>
      </w:r>
      <w:r>
        <w:t xml:space="preserve">events), after adjusting for stage, the hazard ratio is</w:t>
      </w:r>
      <w:r>
        <w:t xml:space="preserve"> </w:t>
      </w:r>
      <m:oMath>
        <m:r>
          <m:t>1.10</m:t>
        </m:r>
      </m:oMath>
      <w:r>
        <w:t xml:space="preserve"> </w:t>
      </w:r>
      <w:r>
        <w:t xml:space="preserve">(</w:t>
      </w:r>
      <m:oMath>
        <m:r>
          <m:t>95</m:t>
        </m:r>
        <m:r>
          <m:rPr>
            <m:sty m:val="p"/>
          </m:rPr>
          <m:t>%</m:t>
        </m:r>
        <m:r>
          <m:t> </m:t>
        </m:r>
        <m:r>
          <m:rPr>
            <m:nor/>
            <m:sty m:val="p"/>
          </m:rPr>
          <m:t>CI</m:t>
        </m:r>
        <m:r>
          <m:rPr>
            <m:sty m:val="p"/>
          </m:rPr>
          <m:t>:</m:t>
        </m:r>
        <m:r>
          <m:t>0.06</m:t>
        </m:r>
        <m:r>
          <m:rPr>
            <m:nor/>
            <m:sty m:val="p"/>
          </m:rPr>
          <m:t>–</m:t>
        </m:r>
        <m:r>
          <m:t>19.97</m:t>
        </m:r>
        <m:r>
          <m:rPr>
            <m:sty m:val="p"/>
          </m:rPr>
          <m:t>,</m:t>
        </m:r>
        <m:r>
          <m:t>p</m:t>
        </m:r>
        <m:r>
          <m:rPr>
            <m:sty m:val="p"/>
          </m:rPr>
          <m:t>=</m:t>
        </m:r>
        <m:r>
          <m:t>0.947</m:t>
        </m:r>
      </m:oMath>
      <w:r>
        <w:t xml:space="preserve">,</w:t>
      </w:r>
      <w:r>
        <w:t xml:space="preserve"> </w:t>
      </w:r>
      <m:oMath>
        <m:r>
          <m:t>z</m:t>
        </m:r>
        <m:r>
          <m:rPr>
            <m:sty m:val="p"/>
          </m:rPr>
          <m:t>=</m:t>
        </m:r>
        <m:r>
          <m:t>0.066</m:t>
        </m:r>
      </m:oMath>
      <w:r>
        <w:t xml:space="preserve">), confirming that the apparent unadjusted difference was driven entirely by stage confounding.</w:t>
      </w:r>
    </w:p>
    <w:p>
      <w:pPr>
        <w:pStyle w:val="CaptionedFigure"/>
      </w:pPr>
      <w:r>
        <w:drawing>
          <wp:inline>
            <wp:extent cx="5067300" cy="3589337"/>
            <wp:effectExtent b="0" l="0" r="0" t="0"/>
            <wp:docPr descr="Figure 3. MSKCC Clinical Cohort Survival Analysis (N = 604). (A) Kaplan-Meier recurrence-free survival curves across the 5 IASLC predominant histologic subtypes (reverse Kaplan-Meier median follow-up 23.8 months, IQR: 13.3–31.8 months; unadjusted 4-degrees-of-freedom log-rank \chi^2 = 24.52, p = 6.27 \times 10^{-5}). (B) Pathologic stage composition across histologic subtypes (Stage I vs Stage II/III). (C) Forest plot of multivariable stage-adjusted Cox proportional hazards models." title="" id="50" name="Picture"/>
            <a:graphic>
              <a:graphicData uri="http://schemas.openxmlformats.org/drawingml/2006/picture">
                <pic:pic>
                  <pic:nvPicPr>
                    <pic:cNvPr descr="Figure3_cohort_cox.png" id="51" name="Picture"/>
                    <pic:cNvPicPr>
                      <a:picLocks noChangeArrowheads="1" noChangeAspect="1"/>
                    </pic:cNvPicPr>
                  </pic:nvPicPr>
                  <pic:blipFill>
                    <a:blip r:embed="rId49"/>
                    <a:stretch>
                      <a:fillRect/>
                    </a:stretch>
                  </pic:blipFill>
                  <pic:spPr bwMode="auto">
                    <a:xfrm>
                      <a:off x="0" y="0"/>
                      <a:ext cx="5067300" cy="3589337"/>
                    </a:xfrm>
                    <a:prstGeom prst="rect">
                      <a:avLst/>
                    </a:prstGeom>
                    <a:noFill/>
                    <a:ln w="9525">
                      <a:noFill/>
                      <a:headEnd/>
                      <a:tailEnd/>
                    </a:ln>
                  </pic:spPr>
                </pic:pic>
              </a:graphicData>
            </a:graphic>
          </wp:inline>
        </w:drawing>
      </w:r>
    </w:p>
    <w:p>
      <w:pPr>
        <w:pStyle w:val="ImageCaption"/>
      </w:pPr>
      <w:r>
        <w:rPr>
          <w:b/>
          <w:bCs/>
        </w:rPr>
        <w:t xml:space="preserve">Figure 3. MSKCC Clinical Cohort Survival Analysis (</w:t>
      </w:r>
      <m:oMath>
        <m:r>
          <m:t>N</m:t>
        </m:r>
        <m:r>
          <m:rPr>
            <m:sty m:val="p"/>
          </m:rPr>
          <m:t>=</m:t>
        </m:r>
        <m:r>
          <m:t>604</m:t>
        </m:r>
      </m:oMath>
      <w:r>
        <w:rPr>
          <w:b/>
          <w:bCs/>
        </w:rPr>
        <w:t xml:space="preserve">).</w:t>
      </w:r>
      <w:r>
        <w:t xml:space="preserve"> </w:t>
      </w:r>
      <w:r>
        <w:t xml:space="preserve">(A) Kaplan-Meier recurrence-free survival curves across the 5 IASLC predominant histologic subtypes (reverse Kaplan-Meier median follow-up 23.8 months, IQR: 13.3–31.8 months; unadjusted 4-degrees-of-freedom log-rank</w:t>
      </w:r>
      <w:r>
        <w:t xml:space="preserve"> </w:t>
      </w:r>
      <m:oMath>
        <m:sSup>
          <m:e>
            <m:r>
              <m:t>χ</m:t>
            </m:r>
          </m:e>
          <m:sup>
            <m:r>
              <m:t>2</m:t>
            </m:r>
          </m:sup>
        </m:sSup>
        <m:r>
          <m:rPr>
            <m:sty m:val="p"/>
          </m:rPr>
          <m:t>=</m:t>
        </m:r>
        <m:r>
          <m:t>24.52</m:t>
        </m:r>
        <m:r>
          <m:rPr>
            <m:sty m:val="p"/>
          </m:rPr>
          <m:t>,</m:t>
        </m:r>
        <m:r>
          <m:t>p</m:t>
        </m:r>
        <m:r>
          <m:rPr>
            <m:sty m:val="p"/>
          </m:rPr>
          <m:t>=</m:t>
        </m:r>
        <m:r>
          <m:t>6.27</m:t>
        </m:r>
        <m:r>
          <m:rPr>
            <m:sty m:val="p"/>
          </m:rPr>
          <m:t>×</m:t>
        </m:r>
        <m:sSup>
          <m:e>
            <m:r>
              <m:t>10</m:t>
            </m:r>
          </m:e>
          <m:sup>
            <m:r>
              <m:rPr>
                <m:sty m:val="p"/>
              </m:rPr>
              <m:t>−</m:t>
            </m:r>
            <m:r>
              <m:t>5</m:t>
            </m:r>
          </m:sup>
        </m:sSup>
      </m:oMath>
      <w:r>
        <w:t xml:space="preserve">). (B) Pathologic stage composition across histologic subtypes (Stage I vs Stage II/III). (C) Forest plot of multivariable stage-adjusted Cox proportional hazards models.</w:t>
      </w:r>
    </w:p>
    <w:p>
      <w:r>
        <w:pict>
          <v:rect style="width:0;height:1.5pt" o:hralign="center" o:hrstd="t" o:hr="t"/>
        </w:pict>
      </w:r>
    </w:p>
    <w:bookmarkEnd w:id="52"/>
    <w:bookmarkEnd w:id="53"/>
    <w:bookmarkEnd w:id="54"/>
    <w:bookmarkStart w:id="59" w:name="discussion"/>
    <w:p>
      <w:pPr>
        <w:pStyle w:val="Heading2"/>
      </w:pPr>
      <w:r>
        <w:t xml:space="preserve">5. Discussion</w:t>
      </w:r>
    </w:p>
    <w:bookmarkStart w:id="55" w:name="biophysical-transport-findings"/>
    <w:p>
      <w:pPr>
        <w:pStyle w:val="Heading3"/>
      </w:pPr>
      <w:r>
        <w:t xml:space="preserve">5.1 Biophysical Transport Findings</w:t>
      </w:r>
    </w:p>
    <w:p>
      <w:pPr>
        <w:pStyle w:val="FirstParagraph"/>
      </w:pPr>
      <w:r>
        <w:t xml:space="preserve">Our reaction–diffusion analysis demonstrates a fundamental geometric asymmetry between perivascular cords and avascular nests:</w:t>
      </w:r>
      <w:r>
        <w:t xml:space="preserve"> </w:t>
      </w:r>
      <w:r>
        <w:t xml:space="preserve">1.</w:t>
      </w:r>
      <w:r>
        <w:t xml:space="preserve"> </w:t>
      </w:r>
      <w:r>
        <w:rPr>
          <w:b/>
          <w:bCs/>
        </w:rPr>
        <w:t xml:space="preserve">Perivascular Cords (Divergent Transport):</w:t>
      </w:r>
      <w:r>
        <w:t xml:space="preserve"> </w:t>
      </w:r>
      <w:r>
        <w:t xml:space="preserve">Outward diffusion from a central microvessel generates geometric dilution (</w:t>
      </w:r>
      <m:oMath>
        <m:sSub>
          <m:e>
            <m:r>
              <m:t>K</m:t>
            </m:r>
          </m:e>
          <m:sub>
            <m:r>
              <m:t>0</m:t>
            </m:r>
          </m:sub>
        </m:sSub>
      </m:oMath>
      <w:r>
        <w:t xml:space="preserve">), dropping osimertinib concentration below</w:t>
      </w:r>
      <w:r>
        <w:t xml:space="preserve"> </w:t>
      </w:r>
      <m:oMath>
        <m:sSub>
          <m:e>
            <m:r>
              <m:rPr>
                <m:nor/>
                <m:sty m:val="p"/>
              </m:rPr>
              <m:t>IC</m:t>
            </m:r>
          </m:e>
          <m:sub>
            <m:r>
              <m:t>50</m:t>
            </m:r>
          </m:sub>
        </m:sSub>
      </m:oMath>
      <w:r>
        <w:t xml:space="preserve"> </w:t>
      </w:r>
      <w:r>
        <w:t xml:space="preserve">(</w:t>
      </w:r>
      <m:oMath>
        <m:r>
          <m:t>θ</m:t>
        </m:r>
        <m:r>
          <m:rPr>
            <m:sty m:val="p"/>
          </m:rPr>
          <m:t>=</m:t>
        </m:r>
        <m:r>
          <m:t>0.35</m:t>
        </m:r>
      </m:oMath>
      <w:r>
        <w:t xml:space="preserve">) at</w:t>
      </w:r>
      <w:r>
        <w:t xml:space="preserve"> </w:t>
      </w:r>
      <m:oMath>
        <m:sSub>
          <m:e>
            <m:r>
              <m:t>r</m:t>
            </m:r>
          </m:e>
          <m:sub>
            <m:r>
              <m:rPr>
                <m:nor/>
                <m:sty m:val="p"/>
              </m:rPr>
              <m:t>crit</m:t>
            </m:r>
          </m:sub>
        </m:sSub>
        <m:r>
          <m:rPr>
            <m:sty m:val="p"/>
          </m:rPr>
          <m:t>=</m:t>
        </m:r>
        <m:r>
          <m:t>165.9</m:t>
        </m:r>
        <m:r>
          <m:t> </m:t>
        </m:r>
        <m:r>
          <m:t>μ</m:t>
        </m:r>
        <m:r>
          <m:rPr>
            <m:nor/>
            <m:sty m:val="p"/>
          </m:rPr>
          <m:t>m</m:t>
        </m:r>
      </m:oMath>
      <w:r>
        <w:t xml:space="preserve">. Because tissue oxygenation extends to</w:t>
      </w:r>
      <w:r>
        <w:t xml:space="preserve"> </w:t>
      </w:r>
      <m:oMath>
        <m:sSub>
          <m:e>
            <m:r>
              <m:t>r</m:t>
            </m:r>
          </m:e>
          <m:sub>
            <m:r>
              <m:rPr>
                <m:nor/>
                <m:sty m:val="p"/>
              </m:rPr>
              <m:t>ox</m:t>
            </m:r>
          </m:sub>
        </m:sSub>
        <m:r>
          <m:rPr>
            <m:sty m:val="p"/>
          </m:rPr>
          <m:t>≈</m:t>
        </m:r>
        <m:r>
          <m:t>180</m:t>
        </m:r>
        <m:r>
          <m:rPr>
            <m:nor/>
            <m:sty m:val="p"/>
          </m:rPr>
          <m:t>–</m:t>
        </m:r>
        <m:r>
          <m:t>200</m:t>
        </m:r>
        <m:r>
          <m:t> </m:t>
        </m:r>
        <m:r>
          <m:t>μ</m:t>
        </m:r>
        <m:r>
          <m:rPr>
            <m:nor/>
            <m:sty m:val="p"/>
          </m:rPr>
          <m:t>m</m:t>
        </m:r>
      </m:oMath>
      <w:r>
        <w:t xml:space="preserve">, a viable sanctuary shell of width</w:t>
      </w:r>
      <w:r>
        <w:t xml:space="preserve"> </w:t>
      </w:r>
      <m:oMath>
        <m:r>
          <m:t>Δ</m:t>
        </m:r>
        <m:r>
          <m:t>r</m:t>
        </m:r>
        <m:r>
          <m:rPr>
            <m:sty m:val="p"/>
          </m:rPr>
          <m:t>=</m:t>
        </m:r>
        <m:r>
          <m:t>14.1</m:t>
        </m:r>
        <m:r>
          <m:rPr>
            <m:nor/>
            <m:sty m:val="p"/>
          </m:rPr>
          <m:t>–</m:t>
        </m:r>
        <m:r>
          <m:t>34.1</m:t>
        </m:r>
        <m:r>
          <m:t> </m:t>
        </m:r>
        <m:r>
          <m:t>μ</m:t>
        </m:r>
        <m:r>
          <m:rPr>
            <m:nor/>
            <m:sty m:val="p"/>
          </m:rPr>
          <m:t>m</m:t>
        </m:r>
      </m:oMath>
      <w:r>
        <w:t xml:space="preserve"> </w:t>
      </w:r>
      <w:r>
        <w:t xml:space="preserve">can persist. Within this shell, partial target inhibition (~45–50%) suppresses net proliferation and maintains cytostasis.</w:t>
      </w:r>
      <w:r>
        <w:t xml:space="preserve"> </w:t>
      </w:r>
      <w:r>
        <w:t xml:space="preserve">2.</w:t>
      </w:r>
      <w:r>
        <w:t xml:space="preserve"> </w:t>
      </w:r>
      <w:r>
        <w:rPr>
          <w:b/>
          <w:bCs/>
        </w:rPr>
        <w:t xml:space="preserve">Avascular Nests (Convergent Transport):</w:t>
      </w:r>
      <w:r>
        <w:t xml:space="preserve"> </w:t>
      </w:r>
      <w:r>
        <w:t xml:space="preserve">Inward diffusion from the surrounding microvasculature produces geometric convergence (</w:t>
      </w:r>
      <m:oMath>
        <m:sSub>
          <m:e>
            <m:r>
              <m:t>I</m:t>
            </m:r>
          </m:e>
          <m:sub>
            <m:r>
              <m:t>0</m:t>
            </m:r>
          </m:sub>
        </m:sSub>
      </m:oMath>
      <w:r>
        <w:t xml:space="preserve">). For osimertinib, central core concentration remains at</w:t>
      </w:r>
      <w:r>
        <w:t xml:space="preserve"> </w:t>
      </w:r>
      <m:oMath>
        <m:r>
          <m:rPr>
            <m:sty m:val="p"/>
          </m:rPr>
          <m:t>≥</m:t>
        </m:r>
        <m:r>
          <m:t>90.6</m:t>
        </m:r>
        <m:r>
          <m:rPr>
            <m:sty m:val="p"/>
          </m:rPr>
          <m:t>%</m:t>
        </m:r>
      </m:oMath>
      <w:r>
        <w:t xml:space="preserve"> </w:t>
      </w:r>
      <w:r>
        <w:t xml:space="preserve">for nest radii up to</w:t>
      </w:r>
      <w:r>
        <w:t xml:space="preserve"> </w:t>
      </w:r>
      <m:oMath>
        <m:r>
          <m:t>400</m:t>
        </m:r>
        <m:r>
          <m:t> </m:t>
        </m:r>
        <m:r>
          <m:t>μ</m:t>
        </m:r>
        <m:r>
          <m:rPr>
            <m:nor/>
            <m:sty m:val="p"/>
          </m:rPr>
          <m:t>m</m:t>
        </m:r>
      </m:oMath>
      <w:r>
        <w:t xml:space="preserve">, and</w:t>
      </w:r>
      <w:r>
        <w:t xml:space="preserve"> </w:t>
      </w:r>
      <m:oMath>
        <m:r>
          <m:rPr>
            <m:sty m:val="p"/>
          </m:rPr>
          <m:t>≥</m:t>
        </m:r>
        <m:r>
          <m:t>98.6</m:t>
        </m:r>
        <m:r>
          <m:rPr>
            <m:sty m:val="p"/>
          </m:rPr>
          <m:t>%</m:t>
        </m:r>
      </m:oMath>
      <w:r>
        <w:t xml:space="preserve"> </w:t>
      </w:r>
      <w:r>
        <w:t xml:space="preserve">in viable nests (</w:t>
      </w:r>
      <m:oMath>
        <m:r>
          <m:t>R</m:t>
        </m:r>
        <m:r>
          <m:rPr>
            <m:sty m:val="p"/>
          </m:rPr>
          <m:t>≤</m:t>
        </m:r>
        <m:r>
          <m:t>150</m:t>
        </m:r>
        <m:r>
          <m:t> </m:t>
        </m:r>
        <m:r>
          <m:t>μ</m:t>
        </m:r>
        <m:r>
          <m:rPr>
            <m:nor/>
            <m:sty m:val="p"/>
          </m:rPr>
          <m:t>m</m:t>
        </m:r>
      </m:oMath>
      <w:r>
        <w:t xml:space="preserve">). For macromolecular ADCs, central concentration in viable nests remains at</w:t>
      </w:r>
      <w:r>
        <w:t xml:space="preserve"> </w:t>
      </w:r>
      <m:oMath>
        <m:r>
          <m:rPr>
            <m:sty m:val="p"/>
          </m:rPr>
          <m:t>≥</m:t>
        </m:r>
        <m:r>
          <m:t>45.9</m:t>
        </m:r>
        <m:r>
          <m:rPr>
            <m:sty m:val="p"/>
          </m:rPr>
          <m:t>%</m:t>
        </m:r>
      </m:oMath>
      <w:r>
        <w:t xml:space="preserve">, exceeding</w:t>
      </w:r>
      <w:r>
        <w:t xml:space="preserve"> </w:t>
      </w:r>
      <m:oMath>
        <m:r>
          <m:t>θ</m:t>
        </m:r>
        <m:r>
          <m:rPr>
            <m:sty m:val="p"/>
          </m:rPr>
          <m:t>=</m:t>
        </m:r>
        <m:r>
          <m:t>0.35</m:t>
        </m:r>
      </m:oMath>
      <w:r>
        <w:t xml:space="preserve">. Consequently, avascular nests do not form viable pharmacological sanctuaries for either drug class.</w:t>
      </w:r>
    </w:p>
    <w:bookmarkEnd w:id="55"/>
    <w:bookmarkStart w:id="56" w:name="clinical-cohort-interpretation"/>
    <w:p>
      <w:pPr>
        <w:pStyle w:val="Heading3"/>
      </w:pPr>
      <w:r>
        <w:t xml:space="preserve">5.2 Clinical Cohort Interpretation</w:t>
      </w:r>
    </w:p>
    <w:p>
      <w:pPr>
        <w:pStyle w:val="FirstParagraph"/>
      </w:pPr>
      <w:r>
        <w:t xml:space="preserve">The MSKCC cohort demonstrates that the primary architectural prognostic signal is</w:t>
      </w:r>
      <w:r>
        <w:t xml:space="preserve"> </w:t>
      </w:r>
      <w:r>
        <w:rPr>
          <w:b/>
          <w:bCs/>
        </w:rPr>
        <w:t xml:space="preserve">lepidic protection</w:t>
      </w:r>
      <w:r>
        <w:t xml:space="preserve"> </w:t>
      </w:r>
      <w:r>
        <w:t xml:space="preserve">(</w:t>
      </w:r>
      <m:oMath>
        <m:r>
          <m:t>H</m:t>
        </m:r>
        <m:r>
          <m:t>R</m:t>
        </m:r>
        <m:r>
          <m:rPr>
            <m:sty m:val="p"/>
          </m:rPr>
          <m:t>=</m:t>
        </m:r>
        <m:r>
          <m:t>0.25</m:t>
        </m:r>
      </m:oMath>
      <w:r>
        <w:t xml:space="preserve">), rather than an escalating risk across compact subtypes. Solid and papillary patterns have similar hazard ratios to acinar, and micropapillary is not worse than acinar (</w:t>
      </w:r>
      <m:oMath>
        <m:r>
          <m:t>H</m:t>
        </m:r>
        <m:r>
          <m:t>R</m:t>
        </m:r>
        <m:r>
          <m:rPr>
            <m:sty m:val="p"/>
          </m:rPr>
          <m:t>=</m:t>
        </m:r>
        <m:r>
          <m:t>0.74</m:t>
        </m:r>
      </m:oMath>
      <w:r>
        <w:t xml:space="preserve">). The exploratory contrast of</w:t>
      </w:r>
      <w:r>
        <w:t xml:space="preserve"> </w:t>
      </w:r>
      <m:oMath>
        <m:r>
          <m:t>H</m:t>
        </m:r>
        <m:r>
          <m:t>R</m:t>
        </m:r>
        <m:r>
          <m:rPr>
            <m:sty m:val="p"/>
          </m:rPr>
          <m:t>=</m:t>
        </m:r>
        <m:r>
          <m:t>6.75</m:t>
        </m:r>
      </m:oMath>
      <w:r>
        <w:t xml:space="preserve"> </w:t>
      </w:r>
      <w:r>
        <w:t xml:space="preserve">reflects the exceptionally favorable baseline biology of lepidic adenocarcinoma rather than sanctuary-driven failure.</w:t>
      </w:r>
    </w:p>
    <w:bookmarkEnd w:id="56"/>
    <w:bookmarkStart w:id="57" w:name="testable-hypotheses"/>
    <w:p>
      <w:pPr>
        <w:pStyle w:val="Heading3"/>
      </w:pPr>
      <w:r>
        <w:t xml:space="preserve">5.3 Testable Hypotheses</w:t>
      </w:r>
    </w:p>
    <w:p>
      <w:pPr>
        <w:pStyle w:val="FirstParagraph"/>
      </w:pPr>
      <w:r>
        <w:t xml:space="preserve">Rather than prescribing clinical management, our findings establish three testable hypotheses for prospective trials:</w:t>
      </w:r>
      <w:r>
        <w:t xml:space="preserve"> </w:t>
      </w:r>
      <w:r>
        <w:t xml:space="preserve">1.</w:t>
      </w:r>
      <w:r>
        <w:t xml:space="preserve"> </w:t>
      </w:r>
      <w:r>
        <w:rPr>
          <w:b/>
          <w:bCs/>
        </w:rPr>
        <w:t xml:space="preserve">Spatial Mass Spectrometry:</w:t>
      </w:r>
      <w:r>
        <w:t xml:space="preserve"> </w:t>
      </w:r>
      <w:r>
        <w:t xml:space="preserve">MALDI mass-spectrometry imaging of resected perivascular cords from treated patients should demonstrate radial osimertinib gradients dropping below</w:t>
      </w:r>
      <w:r>
        <w:t xml:space="preserve"> </w:t>
      </w:r>
      <m:oMath>
        <m:sSub>
          <m:e>
            <m:r>
              <m:rPr>
                <m:nor/>
                <m:sty m:val="p"/>
              </m:rPr>
              <m:t>IC</m:t>
            </m:r>
          </m:e>
          <m:sub>
            <m:r>
              <m:t>50</m:t>
            </m:r>
          </m:sub>
        </m:sSub>
      </m:oMath>
      <w:r>
        <w:t xml:space="preserve"> </w:t>
      </w:r>
      <w:r>
        <w:t xml:space="preserve">beyond</w:t>
      </w:r>
      <w:r>
        <w:t xml:space="preserve"> </w:t>
      </w:r>
      <m:oMath>
        <m:r>
          <m:t>165</m:t>
        </m:r>
        <m:r>
          <m:t> </m:t>
        </m:r>
        <m:r>
          <m:t>μ</m:t>
        </m:r>
        <m:r>
          <m:rPr>
            <m:nor/>
            <m:sty m:val="p"/>
          </m:rPr>
          <m:t>m</m:t>
        </m:r>
      </m:oMath>
      <w:r>
        <w:t xml:space="preserve">, with flat profiles across avascular nests.</w:t>
      </w:r>
      <w:r>
        <w:t xml:space="preserve"> </w:t>
      </w:r>
      <w:r>
        <w:t xml:space="preserve">2.</w:t>
      </w:r>
      <w:r>
        <w:t xml:space="preserve"> </w:t>
      </w:r>
      <w:r>
        <w:rPr>
          <w:b/>
          <w:bCs/>
        </w:rPr>
        <w:t xml:space="preserve">Pharmacodynamic Marker Retention:</w:t>
      </w:r>
      <w:r>
        <w:t xml:space="preserve"> </w:t>
      </w:r>
      <w:r>
        <w:t xml:space="preserve">Tumors with prominent perivascular cord architecture should retain phospho-EGFR signaling specifically in cord peripheries (</w:t>
      </w:r>
      <m:oMath>
        <m:r>
          <m:t>r</m:t>
        </m:r>
        <m:r>
          <m:rPr>
            <m:sty m:val="p"/>
          </m:rPr>
          <m:t>&gt;</m:t>
        </m:r>
        <m:r>
          <m:t>165.9</m:t>
        </m:r>
        <m:r>
          <m:t> </m:t>
        </m:r>
        <m:r>
          <m:t>μ</m:t>
        </m:r>
        <m:r>
          <m:rPr>
            <m:nor/>
            <m:sty m:val="p"/>
          </m:rPr>
          <m:t>m</m:t>
        </m:r>
      </m:oMath>
      <w:r>
        <w:t xml:space="preserve">).</w:t>
      </w:r>
      <w:r>
        <w:t xml:space="preserve"> </w:t>
      </w:r>
      <w:r>
        <w:t xml:space="preserve">3.</w:t>
      </w:r>
      <w:r>
        <w:t xml:space="preserve"> </w:t>
      </w:r>
      <w:r>
        <w:rPr>
          <w:b/>
          <w:bCs/>
        </w:rPr>
        <w:t xml:space="preserve">Histology-Stratified Adjuvant Trials:</w:t>
      </w:r>
      <w:r>
        <w:t xml:space="preserve"> </w:t>
      </w:r>
      <w:r>
        <w:t xml:space="preserve">In trials evaluating extended adjuvant osimertinib (e.g., ADAURA2), post-cessation recurrence rates should correlate with the quantified proportion of perivascular cord architecture rather than compact avascular nests.</w:t>
      </w:r>
    </w:p>
    <w:bookmarkEnd w:id="57"/>
    <w:bookmarkStart w:id="58" w:name="limitations"/>
    <w:p>
      <w:pPr>
        <w:pStyle w:val="Heading3"/>
      </w:pPr>
      <w:r>
        <w:t xml:space="preserve">5.4 Limitations</w:t>
      </w:r>
    </w:p>
    <w:p>
      <w:pPr>
        <w:pStyle w:val="FirstParagraph"/>
      </w:pPr>
      <w:r>
        <w:t xml:space="preserve">All transport parameters are assumed from literature values in squamocellular or rodent models. The model idealizes microvasculature as isolated cylinders without inter-vessel field overlap or convection. The MSKCC cohort is retrospective, surgical, lacks osimertinib exposure, and provides only predominant subtype.</w:t>
      </w:r>
    </w:p>
    <w:p>
      <w:r>
        <w:pict>
          <v:rect style="width:0;height:1.5pt" o:hralign="center" o:hrstd="t" o:hr="t"/>
        </w:pict>
      </w:r>
    </w:p>
    <w:bookmarkEnd w:id="58"/>
    <w:bookmarkEnd w:id="59"/>
    <w:bookmarkStart w:id="60" w:name="captions-for-figures"/>
    <w:p>
      <w:pPr>
        <w:pStyle w:val="Heading2"/>
      </w:pPr>
      <w:r>
        <w:t xml:space="preserve">Captions for Figures</w:t>
      </w:r>
    </w:p>
    <w:p>
      <w:pPr>
        <w:pStyle w:val="FirstParagraph"/>
      </w:pPr>
      <w:r>
        <w:rPr>
          <w:b/>
          <w:bCs/>
        </w:rPr>
        <w:t xml:space="preserve">Figure 1. Biophysical Reaction-Diffusion Transport Physics &amp; Parameter Sensitivity.</w:t>
      </w:r>
      <w:r>
        <w:br/>
      </w:r>
      <w:r>
        <w:t xml:space="preserve">(A) Outward perivascular cord geometry: radial concentration profiles for small-molecule osimertinib (</w:t>
      </w:r>
      <m:oMath>
        <m:r>
          <m:t>λ</m:t>
        </m:r>
        <m:r>
          <m:rPr>
            <m:sty m:val="p"/>
          </m:rPr>
          <m:t>=</m:t>
        </m:r>
        <m:r>
          <m:t>627.6</m:t>
        </m:r>
        <m:r>
          <m:t> </m:t>
        </m:r>
        <m:r>
          <m:t>μ</m:t>
        </m:r>
        <m:r>
          <m:rPr>
            <m:nor/>
            <m:sty m:val="p"/>
          </m:rPr>
          <m:t>m</m:t>
        </m:r>
      </m:oMath>
      <w:r>
        <w:t xml:space="preserve">, blue line) and macromolecular ADC (</w:t>
      </w:r>
      <m:oMath>
        <m:r>
          <m:t>λ</m:t>
        </m:r>
        <m:r>
          <m:rPr>
            <m:sty m:val="p"/>
          </m:rPr>
          <m:t>=</m:t>
        </m:r>
        <m:r>
          <m:t>77.5</m:t>
        </m:r>
        <m:r>
          <m:t> </m:t>
        </m:r>
        <m:r>
          <m:t>μ</m:t>
        </m:r>
        <m:r>
          <m:rPr>
            <m:nor/>
            <m:sty m:val="p"/>
          </m:rPr>
          <m:t>m</m:t>
        </m:r>
      </m:oMath>
      <w:r>
        <w:t xml:space="preserve">, red line) derived from modified Bessel function</w:t>
      </w:r>
      <w:r>
        <w:t xml:space="preserve"> </w:t>
      </w:r>
      <m:oMath>
        <m:sSub>
          <m:e>
            <m:r>
              <m:t>K</m:t>
            </m:r>
          </m:e>
          <m:sub>
            <m:r>
              <m:t>0</m:t>
            </m:r>
          </m:sub>
        </m:sSub>
      </m:oMath>
      <w:r>
        <w:t xml:space="preserve">. Dotted lines indicate the critical depth</w:t>
      </w:r>
      <w:r>
        <w:t xml:space="preserve"> </w:t>
      </w:r>
      <m:oMath>
        <m:sSub>
          <m:e>
            <m:r>
              <m:t>r</m:t>
            </m:r>
          </m:e>
          <m:sub>
            <m:r>
              <m:rPr>
                <m:nor/>
                <m:sty m:val="p"/>
              </m:rPr>
              <m:t>crit</m:t>
            </m:r>
          </m:sub>
        </m:sSub>
        <m:r>
          <m:rPr>
            <m:sty m:val="p"/>
          </m:rPr>
          <m:t>=</m:t>
        </m:r>
        <m:r>
          <m:t>165.9</m:t>
        </m:r>
        <m:r>
          <m:t> </m:t>
        </m:r>
        <m:r>
          <m:t>μ</m:t>
        </m:r>
        <m:r>
          <m:rPr>
            <m:nor/>
            <m:sty m:val="p"/>
          </m:rPr>
          <m:t>m</m:t>
        </m:r>
      </m:oMath>
      <w:r>
        <w:t xml:space="preserve"> </w:t>
      </w:r>
      <w:r>
        <w:t xml:space="preserve">where osimertinib drops below the</w:t>
      </w:r>
      <w:r>
        <w:t xml:space="preserve"> </w:t>
      </w:r>
      <m:oMath>
        <m:sSub>
          <m:e>
            <m:r>
              <m:rPr>
                <m:nor/>
                <m:sty m:val="p"/>
              </m:rPr>
              <m:t>IC</m:t>
            </m:r>
          </m:e>
          <m:sub>
            <m:r>
              <m:t>50</m:t>
            </m:r>
          </m:sub>
        </m:sSub>
      </m:oMath>
      <w:r>
        <w:t xml:space="preserve"> </w:t>
      </w:r>
      <w:r>
        <w:t xml:space="preserve">threshold (</w:t>
      </w:r>
      <m:oMath>
        <m:r>
          <m:t>θ</m:t>
        </m:r>
        <m:r>
          <m:rPr>
            <m:sty m:val="p"/>
          </m:rPr>
          <m:t>=</m:t>
        </m:r>
        <m:r>
          <m:t>0.35</m:t>
        </m:r>
      </m:oMath>
      <w:r>
        <w:t xml:space="preserve">). The shaded orange region illustrates the viable pharmacological sanctuary shell between</w:t>
      </w:r>
      <w:r>
        <w:t xml:space="preserve"> </w:t>
      </w:r>
      <m:oMath>
        <m:sSub>
          <m:e>
            <m:r>
              <m:t>r</m:t>
            </m:r>
          </m:e>
          <m:sub>
            <m:r>
              <m:rPr>
                <m:nor/>
                <m:sty m:val="p"/>
              </m:rPr>
              <m:t>crit</m:t>
            </m:r>
          </m:sub>
        </m:sSub>
      </m:oMath>
      <w:r>
        <w:t xml:space="preserve"> </w:t>
      </w:r>
      <w:r>
        <w:t xml:space="preserve">and the tissue oxygenation boundary (</w:t>
      </w:r>
      <m:oMath>
        <m:sSub>
          <m:e>
            <m:r>
              <m:t>r</m:t>
            </m:r>
          </m:e>
          <m:sub>
            <m:r>
              <m:rPr>
                <m:nor/>
                <m:sty m:val="p"/>
              </m:rPr>
              <m:t>ox</m:t>
            </m:r>
          </m:sub>
        </m:sSub>
        <m:r>
          <m:rPr>
            <m:sty m:val="p"/>
          </m:rPr>
          <m:t>=</m:t>
        </m:r>
        <m:r>
          <m:t>200</m:t>
        </m:r>
        <m:r>
          <m:t> </m:t>
        </m:r>
        <m:r>
          <m:t>μ</m:t>
        </m:r>
        <m:r>
          <m:rPr>
            <m:nor/>
            <m:sty m:val="p"/>
          </m:rPr>
          <m:t>m</m:t>
        </m:r>
      </m:oMath>
      <w:r>
        <w:t xml:space="preserve">,</w:t>
      </w:r>
      <w:r>
        <w:t xml:space="preserve"> </w:t>
      </w:r>
      <m:oMath>
        <m:r>
          <m:t>Δ</m:t>
        </m:r>
        <m:r>
          <m:t>r</m:t>
        </m:r>
        <m:r>
          <m:rPr>
            <m:sty m:val="p"/>
          </m:rPr>
          <m:t>=</m:t>
        </m:r>
        <m:r>
          <m:t>34.1</m:t>
        </m:r>
        <m:r>
          <m:t> </m:t>
        </m:r>
        <m:r>
          <m:t>μ</m:t>
        </m:r>
        <m:r>
          <m:rPr>
            <m:nor/>
            <m:sty m:val="p"/>
          </m:rPr>
          <m:t>m</m:t>
        </m:r>
      </m:oMath>
      <w:r>
        <w:t xml:space="preserve">;</w:t>
      </w:r>
      <w:r>
        <w:t xml:space="preserve"> </w:t>
      </w:r>
      <m:oMath>
        <m:r>
          <m:t>Δ</m:t>
        </m:r>
        <m:r>
          <m:t>r</m:t>
        </m:r>
        <m:r>
          <m:rPr>
            <m:sty m:val="p"/>
          </m:rPr>
          <m:t>=</m:t>
        </m:r>
        <m:r>
          <m:t>14.1</m:t>
        </m:r>
        <m:r>
          <m:t> </m:t>
        </m:r>
        <m:r>
          <m:t>μ</m:t>
        </m:r>
        <m:r>
          <m:rPr>
            <m:nor/>
            <m:sty m:val="p"/>
          </m:rPr>
          <m:t>m</m:t>
        </m:r>
      </m:oMath>
      <w:r>
        <w:t xml:space="preserve"> </w:t>
      </w:r>
      <w:r>
        <w:t xml:space="preserve">at</w:t>
      </w:r>
      <w:r>
        <w:t xml:space="preserve"> </w:t>
      </w:r>
      <m:oMath>
        <m:sSub>
          <m:e>
            <m:r>
              <m:t>r</m:t>
            </m:r>
          </m:e>
          <m:sub>
            <m:r>
              <m:rPr>
                <m:nor/>
                <m:sty m:val="p"/>
              </m:rPr>
              <m:t>ox</m:t>
            </m:r>
          </m:sub>
        </m:sSub>
        <m:r>
          <m:rPr>
            <m:sty m:val="p"/>
          </m:rPr>
          <m:t>=</m:t>
        </m:r>
        <m:r>
          <m:t>180</m:t>
        </m:r>
        <m:r>
          <m:t> </m:t>
        </m:r>
        <m:r>
          <m:t>μ</m:t>
        </m:r>
        <m:r>
          <m:rPr>
            <m:nor/>
            <m:sty m:val="p"/>
          </m:rPr>
          <m:t>m</m:t>
        </m:r>
      </m:oMath>
      <w:r>
        <w:t xml:space="preserve">).</w:t>
      </w:r>
      <w:r>
        <w:br/>
      </w:r>
      <w:r>
        <w:t xml:space="preserve">(B) Inward avascular nest geometry: central core concentration</w:t>
      </w:r>
      <w:r>
        <w:t xml:space="preserve"> </w:t>
      </w:r>
      <m:oMath>
        <m:sSub>
          <m:e>
            <m:r>
              <m:t>C</m:t>
            </m:r>
          </m:e>
          <m:sub>
            <m:r>
              <m:rPr>
                <m:nor/>
                <m:sty m:val="p"/>
              </m:rPr>
              <m:t>in</m:t>
            </m:r>
          </m:sub>
        </m:sSub>
        <m:d>
          <m:dPr>
            <m:begChr m:val="("/>
            <m:endChr m:val=")"/>
            <m:sepChr m:val=""/>
            <m:grow/>
          </m:dPr>
          <m:e>
            <m:r>
              <m:t>0</m:t>
            </m:r>
          </m:e>
        </m:d>
        <m:r>
          <m:rPr>
            <m:sty m:val="p"/>
          </m:rPr>
          <m:t>/</m:t>
        </m:r>
        <m:sSub>
          <m:e>
            <m:r>
              <m:t>C</m:t>
            </m:r>
          </m:e>
          <m:sub>
            <m:r>
              <m:t>0</m:t>
            </m:r>
          </m:sub>
        </m:sSub>
        <m:r>
          <m:rPr>
            <m:sty m:val="p"/>
          </m:rPr>
          <m:t>=</m:t>
        </m:r>
        <m:r>
          <m:t>1</m:t>
        </m:r>
        <m:r>
          <m:rPr>
            <m:sty m:val="p"/>
          </m:rPr>
          <m:t>/</m:t>
        </m:r>
        <m:sSub>
          <m:e>
            <m:r>
              <m:t>I</m:t>
            </m:r>
          </m:e>
          <m:sub>
            <m:r>
              <m:t>0</m:t>
            </m:r>
          </m:sub>
        </m:sSub>
        <m:d>
          <m:dPr>
            <m:begChr m:val="("/>
            <m:endChr m:val=")"/>
            <m:sepChr m:val=""/>
            <m:grow/>
          </m:dPr>
          <m:e>
            <m:r>
              <m:t>R</m:t>
            </m:r>
            <m:r>
              <m:rPr>
                <m:sty m:val="p"/>
              </m:rPr>
              <m:t>/</m:t>
            </m:r>
            <m:r>
              <m:t>λ</m:t>
            </m:r>
          </m:e>
        </m:d>
      </m:oMath>
      <w:r>
        <w:t xml:space="preserve"> </w:t>
      </w:r>
      <w:r>
        <w:t xml:space="preserve">as a function of nest outer radius</w:t>
      </w:r>
      <w:r>
        <w:t xml:space="preserve"> </w:t>
      </w:r>
      <m:oMath>
        <m:r>
          <m:t>R</m:t>
        </m:r>
      </m:oMath>
      <w:r>
        <w:t xml:space="preserve"> </w:t>
      </w:r>
      <w:r>
        <w:t xml:space="preserve">up to</w:t>
      </w:r>
      <w:r>
        <w:t xml:space="preserve"> </w:t>
      </w:r>
      <m:oMath>
        <m:r>
          <m:t>400</m:t>
        </m:r>
        <m:r>
          <m:t> </m:t>
        </m:r>
        <m:r>
          <m:t>μ</m:t>
        </m:r>
        <m:r>
          <m:rPr>
            <m:nor/>
            <m:sty m:val="p"/>
          </m:rPr>
          <m:t>m</m:t>
        </m:r>
      </m:oMath>
      <w:r>
        <w:t xml:space="preserve">. Osimertinib remains at</w:t>
      </w:r>
      <w:r>
        <w:t xml:space="preserve"> </w:t>
      </w:r>
      <m:oMath>
        <m:r>
          <m:rPr>
            <m:sty m:val="p"/>
          </m:rPr>
          <m:t>≥</m:t>
        </m:r>
        <m:r>
          <m:t>90.6</m:t>
        </m:r>
        <m:r>
          <m:rPr>
            <m:sty m:val="p"/>
          </m:rPr>
          <m:t>%</m:t>
        </m:r>
      </m:oMath>
      <w:r>
        <w:t xml:space="preserve"> </w:t>
      </w:r>
      <w:r>
        <w:t xml:space="preserve">throughout, and</w:t>
      </w:r>
      <w:r>
        <w:t xml:space="preserve"> </w:t>
      </w:r>
      <m:oMath>
        <m:r>
          <m:rPr>
            <m:sty m:val="p"/>
          </m:rPr>
          <m:t>≥</m:t>
        </m:r>
        <m:r>
          <m:t>98.6</m:t>
        </m:r>
        <m:r>
          <m:rPr>
            <m:sty m:val="p"/>
          </m:rPr>
          <m:t>%</m:t>
        </m:r>
      </m:oMath>
      <w:r>
        <w:t xml:space="preserve"> </w:t>
      </w:r>
      <w:r>
        <w:t xml:space="preserve">within viable nests (</w:t>
      </w:r>
      <m:oMath>
        <m:r>
          <m:t>R</m:t>
        </m:r>
        <m:r>
          <m:rPr>
            <m:sty m:val="p"/>
          </m:rPr>
          <m:t>≤</m:t>
        </m:r>
        <m:r>
          <m:t>150</m:t>
        </m:r>
        <m:r>
          <m:t> </m:t>
        </m:r>
        <m:r>
          <m:t>μ</m:t>
        </m:r>
        <m:r>
          <m:rPr>
            <m:nor/>
            <m:sty m:val="p"/>
          </m:rPr>
          <m:t>m</m:t>
        </m:r>
      </m:oMath>
      <w:r>
        <w:t xml:space="preserve">). ADCs remain above</w:t>
      </w:r>
      <w:r>
        <w:t xml:space="preserve"> </w:t>
      </w:r>
      <m:oMath>
        <m:r>
          <m:t>θ</m:t>
        </m:r>
        <m:r>
          <m:rPr>
            <m:sty m:val="p"/>
          </m:rPr>
          <m:t>=</m:t>
        </m:r>
        <m:r>
          <m:t>0.35</m:t>
        </m:r>
      </m:oMath>
      <w:r>
        <w:t xml:space="preserve"> </w:t>
      </w:r>
      <w:r>
        <w:t xml:space="preserve">throughout viable nests (</w:t>
      </w:r>
      <m:oMath>
        <m:r>
          <m:t>R</m:t>
        </m:r>
        <m:r>
          <m:rPr>
            <m:sty m:val="p"/>
          </m:rPr>
          <m:t>≤</m:t>
        </m:r>
        <m:r>
          <m:t>160</m:t>
        </m:r>
        <m:r>
          <m:t> </m:t>
        </m:r>
        <m:r>
          <m:t>μ</m:t>
        </m:r>
        <m:r>
          <m:rPr>
            <m:nor/>
            <m:sty m:val="p"/>
          </m:rPr>
          <m:t>m</m:t>
        </m:r>
      </m:oMath>
      <w:r>
        <w:t xml:space="preserve">).</w:t>
      </w:r>
      <w:r>
        <w:br/>
      </w:r>
      <w:r>
        <w:t xml:space="preserve">(C) 2D parameter sensitivity heatmap of sanctuary shell width</w:t>
      </w:r>
      <w:r>
        <w:t xml:space="preserve"> </w:t>
      </w:r>
      <m:oMath>
        <m:r>
          <m:t>Δ</m:t>
        </m:r>
        <m:r>
          <m:t>r</m:t>
        </m:r>
      </m:oMath>
      <w:r>
        <w:t xml:space="preserve"> </w:t>
      </w:r>
      <w:r>
        <w:t xml:space="preserve">across tissue diffusivity</w:t>
      </w:r>
      <w:r>
        <w:t xml:space="preserve"> </w:t>
      </w:r>
      <m:oMath>
        <m:r>
          <m:t>D</m:t>
        </m:r>
      </m:oMath>
      <w:r>
        <w:t xml:space="preserve"> </w:t>
      </w:r>
      <w:r>
        <w:t xml:space="preserve">and cellular uptake rate constant</w:t>
      </w:r>
      <w:r>
        <w:t xml:space="preserve"> </w:t>
      </w:r>
      <m:oMath>
        <m:r>
          <m:t>k</m:t>
        </m:r>
      </m:oMath>
      <w:r>
        <w:t xml:space="preserve">.</w:t>
      </w:r>
      <w:r>
        <w:br/>
      </w:r>
      <w:r>
        <w:t xml:space="preserve">(D) Parameter sensitivity of shell width</w:t>
      </w:r>
      <w:r>
        <w:t xml:space="preserve"> </w:t>
      </w:r>
      <m:oMath>
        <m:r>
          <m:t>Δ</m:t>
        </m:r>
        <m:r>
          <m:t>r</m:t>
        </m:r>
      </m:oMath>
      <w:r>
        <w:t xml:space="preserve"> </w:t>
      </w:r>
      <w:r>
        <w:t xml:space="preserve">as a function of the tissue hypoxia threshold</w:t>
      </w:r>
      <w:r>
        <w:t xml:space="preserve"> </w:t>
      </w:r>
      <m:oMath>
        <m:sSub>
          <m:e>
            <m:r>
              <m:t>r</m:t>
            </m:r>
          </m:e>
          <m:sub>
            <m:r>
              <m:rPr>
                <m:nor/>
                <m:sty m:val="p"/>
              </m:rPr>
              <m:t>ox</m:t>
            </m:r>
          </m:sub>
        </m:sSub>
      </m:oMath>
      <w:r>
        <w:t xml:space="preserve"> </w:t>
      </w:r>
      <w:r>
        <w:t xml:space="preserve">and inhibitory threshold</w:t>
      </w:r>
      <w:r>
        <w:t xml:space="preserve"> </w:t>
      </w:r>
      <m:oMath>
        <m:r>
          <m:t>θ</m:t>
        </m:r>
      </m:oMath>
      <w:r>
        <w:t xml:space="preserve">.</w:t>
      </w:r>
    </w:p>
    <w:p>
      <w:pPr>
        <w:pStyle w:val="BodyText"/>
      </w:pPr>
      <w:r>
        <w:rPr>
          <w:b/>
          <w:bCs/>
        </w:rPr>
        <w:t xml:space="preserve">Figure 2. Clonal Regrowth Dynamics &amp; The Analytical Lead-Time Identity.</w:t>
      </w:r>
      <w:r>
        <w:br/>
      </w:r>
      <w:r>
        <w:t xml:space="preserve">(A) Simulated post-cessation tumor burden regrowth from residual inoculum</w:t>
      </w:r>
      <w:r>
        <w:t xml:space="preserve"> </w:t>
      </w:r>
      <m:oMath>
        <m:sSub>
          <m:e>
            <m:r>
              <m:t>N</m:t>
            </m:r>
          </m:e>
          <m:sub>
            <m:r>
              <m:t>0</m:t>
            </m:r>
          </m:sub>
        </m:sSub>
        <m:r>
          <m:rPr>
            <m:sty m:val="p"/>
          </m:rPr>
          <m:t>=</m:t>
        </m:r>
        <m:r>
          <m:t>2000</m:t>
        </m:r>
      </m:oMath>
      <w:r>
        <w:t xml:space="preserve"> </w:t>
      </w:r>
      <w:r>
        <w:t xml:space="preserve">cells (sensitive doubling time</w:t>
      </w:r>
      <w:r>
        <w:t xml:space="preserve"> </w:t>
      </w:r>
      <m:oMath>
        <m:sSub>
          <m:e>
            <m:r>
              <m:t>T</m:t>
            </m:r>
          </m:e>
          <m:sub>
            <m:r>
              <m:t>s</m:t>
            </m:r>
          </m:sub>
        </m:sSub>
        <m:r>
          <m:rPr>
            <m:sty m:val="p"/>
          </m:rPr>
          <m:t>=</m:t>
        </m:r>
        <m:r>
          <m:t>25.0</m:t>
        </m:r>
        <m:r>
          <m:t> </m:t>
        </m:r>
        <m:r>
          <m:rPr>
            <m:nor/>
            <m:sty m:val="p"/>
          </m:rPr>
          <m:t>days</m:t>
        </m:r>
      </m:oMath>
      <w:r>
        <w:t xml:space="preserve">, persister doubling time</w:t>
      </w:r>
      <w:r>
        <w:t xml:space="preserve"> </w:t>
      </w:r>
      <m:oMath>
        <m:sSub>
          <m:e>
            <m:r>
              <m:t>T</m:t>
            </m:r>
          </m:e>
          <m:sub>
            <m:r>
              <m:t>p</m:t>
            </m:r>
          </m:sub>
        </m:sSub>
        <m:r>
          <m:rPr>
            <m:sty m:val="p"/>
          </m:rPr>
          <m:t>=</m:t>
        </m:r>
        <m:r>
          <m:t>120.0</m:t>
        </m:r>
        <m:r>
          <m:t> </m:t>
        </m:r>
        <m:r>
          <m:rPr>
            <m:nor/>
            <m:sty m:val="p"/>
          </m:rPr>
          <m:t>days</m:t>
        </m:r>
      </m:oMath>
      <w:r>
        <w:t xml:space="preserve">). The proliferating sensitive clone rapidly dominates, crossing the ctDNA detection threshold (</w:t>
      </w:r>
      <m:oMath>
        <m:sSup>
          <m:e>
            <m:r>
              <m:t>10</m:t>
            </m:r>
          </m:e>
          <m:sup>
            <m:r>
              <m:t>7</m:t>
            </m:r>
          </m:sup>
        </m:sSup>
      </m:oMath>
      <w:r>
        <w:t xml:space="preserve"> </w:t>
      </w:r>
      <w:r>
        <w:t xml:space="preserve">cells) at</w:t>
      </w:r>
      <w:r>
        <w:t xml:space="preserve"> </w:t>
      </w:r>
      <m:oMath>
        <m:r>
          <m:t>324.8</m:t>
        </m:r>
        <m:r>
          <m:t> </m:t>
        </m:r>
        <m:r>
          <m:rPr>
            <m:nor/>
            <m:sty m:val="p"/>
          </m:rPr>
          <m:t>days</m:t>
        </m:r>
      </m:oMath>
      <w:r>
        <w:t xml:space="preserve"> </w:t>
      </w:r>
      <w:r>
        <w:t xml:space="preserve">(10.67 months) and the CT imaging detection threshold (</w:t>
      </w:r>
      <m:oMath>
        <m:sSup>
          <m:e>
            <m:r>
              <m:t>10</m:t>
            </m:r>
          </m:e>
          <m:sup>
            <m:r>
              <m:t>9</m:t>
            </m:r>
          </m:sup>
        </m:sSup>
      </m:oMath>
      <w:r>
        <w:t xml:space="preserve"> </w:t>
      </w:r>
      <w:r>
        <w:t xml:space="preserve">cells) at</w:t>
      </w:r>
      <w:r>
        <w:t xml:space="preserve"> </w:t>
      </w:r>
      <m:oMath>
        <m:r>
          <m:t>490.9</m:t>
        </m:r>
        <m:r>
          <m:t> </m:t>
        </m:r>
        <m:r>
          <m:rPr>
            <m:nor/>
            <m:sty m:val="p"/>
          </m:rPr>
          <m:t>days</m:t>
        </m:r>
      </m:oMath>
      <w:r>
        <w:t xml:space="preserve"> </w:t>
      </w:r>
      <w:r>
        <w:t xml:space="preserve">(16.13 months).</w:t>
      </w:r>
      <w:r>
        <w:br/>
      </w:r>
      <w:r>
        <w:t xml:space="preserve">(B) The diagnostic lead-time identity: diagnostic lead time</w:t>
      </w:r>
      <w:r>
        <w:t xml:space="preserve"> </w:t>
      </w:r>
      <m:oMath>
        <m:r>
          <m:t>Δ</m:t>
        </m:r>
        <m:r>
          <m:t>t</m:t>
        </m:r>
        <m:r>
          <m:rPr>
            <m:sty m:val="p"/>
          </m:rPr>
          <m:t>=</m:t>
        </m:r>
        <m:sSub>
          <m:e>
            <m:r>
              <m:t>T</m:t>
            </m:r>
          </m:e>
          <m:sub>
            <m:r>
              <m:t>s</m:t>
            </m:r>
          </m:sub>
        </m:sSub>
        <m:r>
          <m:rPr>
            <m:sty m:val="p"/>
          </m:rPr>
          <m:t>⋅</m:t>
        </m:r>
        <m:sSub>
          <m:e>
            <m:r>
              <m:rPr>
                <m:sty m:val="p"/>
              </m:rPr>
              <m:t>log</m:t>
            </m:r>
          </m:e>
          <m:sub>
            <m:r>
              <m:t>2</m:t>
            </m:r>
          </m:sub>
        </m:sSub>
        <m:d>
          <m:dPr>
            <m:begChr m:val="("/>
            <m:endChr m:val=")"/>
            <m:sepChr m:val=""/>
            <m:grow/>
          </m:dPr>
          <m:e>
            <m:r>
              <m:t>100</m:t>
            </m:r>
          </m:e>
        </m:d>
        <m:r>
          <m:rPr>
            <m:sty m:val="p"/>
          </m:rPr>
          <m:t>=</m:t>
        </m:r>
        <m:r>
          <m:t>6.6439</m:t>
        </m:r>
        <m:r>
          <m:rPr>
            <m:sty m:val="p"/>
          </m:rPr>
          <m:t>⋅</m:t>
        </m:r>
        <m:sSub>
          <m:e>
            <m:r>
              <m:t>T</m:t>
            </m:r>
          </m:e>
          <m:sub>
            <m:r>
              <m:t>s</m:t>
            </m:r>
          </m:sub>
        </m:sSub>
      </m:oMath>
      <w:r>
        <w:t xml:space="preserve"> </w:t>
      </w:r>
      <w:r>
        <w:t xml:space="preserve">is strictly proportional to doubling time</w:t>
      </w:r>
      <w:r>
        <w:t xml:space="preserve"> </w:t>
      </w:r>
      <m:oMath>
        <m:sSub>
          <m:e>
            <m:r>
              <m:t>T</m:t>
            </m:r>
          </m:e>
          <m:sub>
            <m:r>
              <m:t>s</m:t>
            </m:r>
          </m:sub>
        </m:sSub>
      </m:oMath>
      <w:r>
        <w:t xml:space="preserve"> </w:t>
      </w:r>
      <w:r>
        <w:t xml:space="preserve">and invariant to initial sanctuary burden</w:t>
      </w:r>
      <w:r>
        <w:t xml:space="preserve"> </w:t>
      </w:r>
      <m:oMath>
        <m:sSub>
          <m:e>
            <m:r>
              <m:t>N</m:t>
            </m:r>
          </m:e>
          <m:sub>
            <m:r>
              <m:t>0</m:t>
            </m:r>
          </m:sub>
        </m:sSub>
      </m:oMath>
      <w:r>
        <w:t xml:space="preserve">. Markers indicate the baseline model (</w:t>
      </w:r>
      <m:oMath>
        <m:sSub>
          <m:e>
            <m:r>
              <m:t>T</m:t>
            </m:r>
          </m:e>
          <m:sub>
            <m:r>
              <m:t>s</m:t>
            </m:r>
          </m:sub>
        </m:sSub>
        <m:r>
          <m:rPr>
            <m:sty m:val="p"/>
          </m:rPr>
          <m:t>=</m:t>
        </m:r>
        <m:r>
          <m:t>25.0</m:t>
        </m:r>
        <m:r>
          <m:t> </m:t>
        </m:r>
        <m:r>
          <m:rPr>
            <m:nor/>
            <m:sty m:val="p"/>
          </m:rPr>
          <m:t>days</m:t>
        </m:r>
        <m:r>
          <m:rPr>
            <m:sty m:val="p"/>
          </m:rPr>
          <m:t>→</m:t>
        </m:r>
        <m:r>
          <m:t>Δ</m:t>
        </m:r>
        <m:r>
          <m:t>t</m:t>
        </m:r>
        <m:r>
          <m:rPr>
            <m:sty m:val="p"/>
          </m:rPr>
          <m:t>=</m:t>
        </m:r>
        <m:r>
          <m:t>5.46</m:t>
        </m:r>
        <m:r>
          <m:t> </m:t>
        </m:r>
        <m:r>
          <m:rPr>
            <m:nor/>
            <m:sty m:val="p"/>
          </m:rPr>
          <m:t>months</m:t>
        </m:r>
      </m:oMath>
      <w:r>
        <w:t xml:space="preserve">) and the Herbst et al. (2025) median (</w:t>
      </w:r>
      <m:oMath>
        <m:sSub>
          <m:e>
            <m:r>
              <m:t>T</m:t>
            </m:r>
          </m:e>
          <m:sub>
            <m:r>
              <m:t>s</m:t>
            </m:r>
          </m:sub>
        </m:sSub>
        <m:r>
          <m:rPr>
            <m:sty m:val="p"/>
          </m:rPr>
          <m:t>≈</m:t>
        </m:r>
        <m:r>
          <m:t>21.5</m:t>
        </m:r>
        <m:r>
          <m:t> </m:t>
        </m:r>
        <m:r>
          <m:rPr>
            <m:nor/>
            <m:sty m:val="p"/>
          </m:rPr>
          <m:t>days</m:t>
        </m:r>
        <m:r>
          <m:rPr>
            <m:sty m:val="p"/>
          </m:rPr>
          <m:t>→</m:t>
        </m:r>
        <m:r>
          <m:t>Δ</m:t>
        </m:r>
        <m:r>
          <m:t>t</m:t>
        </m:r>
        <m:r>
          <m:rPr>
            <m:sty m:val="p"/>
          </m:rPr>
          <m:t>=</m:t>
        </m:r>
        <m:r>
          <m:t>4.70</m:t>
        </m:r>
        <m:r>
          <m:t> </m:t>
        </m:r>
        <m:r>
          <m:rPr>
            <m:nor/>
            <m:sty m:val="p"/>
          </m:rPr>
          <m:t>months</m:t>
        </m:r>
      </m:oMath>
      <w:r>
        <w:t xml:space="preserve">).</w:t>
      </w:r>
      <w:r>
        <w:br/>
      </w:r>
      <w:r>
        <w:t xml:space="preserve">(C) Lead time sensitivity across doubling times</w:t>
      </w:r>
      <w:r>
        <w:t xml:space="preserve"> </w:t>
      </w:r>
      <m:oMath>
        <m:sSub>
          <m:e>
            <m:r>
              <m:t>T</m:t>
            </m:r>
          </m:e>
          <m:sub>
            <m:r>
              <m:t>s</m:t>
            </m:r>
          </m:sub>
        </m:sSub>
      </m:oMath>
      <w:r>
        <w:t xml:space="preserve"> </w:t>
      </w:r>
      <w:r>
        <w:t xml:space="preserve">and assay detection thresholds.</w:t>
      </w:r>
    </w:p>
    <w:p>
      <w:pPr>
        <w:pStyle w:val="BodyText"/>
      </w:pPr>
      <w:r>
        <w:rPr>
          <w:b/>
          <w:bCs/>
        </w:rPr>
        <w:t xml:space="preserve">Figure 3. MSKCC Clinical Cohort Survival Analysis (</w:t>
      </w:r>
      <m:oMath>
        <m:r>
          <m:t>N</m:t>
        </m:r>
        <m:r>
          <m:rPr>
            <m:sty m:val="p"/>
          </m:rPr>
          <m:t>=</m:t>
        </m:r>
        <m:r>
          <m:t>604</m:t>
        </m:r>
      </m:oMath>
      <w:r>
        <w:rPr>
          <w:b/>
          <w:bCs/>
        </w:rPr>
        <w:t xml:space="preserve">).</w:t>
      </w:r>
      <w:r>
        <w:br/>
      </w:r>
      <w:r>
        <w:t xml:space="preserve">(A) Kaplan-Meier recurrence-free survival curves across the 5 IASLC predominant histologic subtypes (reverse Kaplan-Meier median follow-up 23.8 months, IQR: 13.3–31.8 months; unadjusted 4-degrees-of-freedom log-rank</w:t>
      </w:r>
      <w:r>
        <w:t xml:space="preserve"> </w:t>
      </w:r>
      <m:oMath>
        <m:sSup>
          <m:e>
            <m:r>
              <m:t>χ</m:t>
            </m:r>
          </m:e>
          <m:sup>
            <m:r>
              <m:t>2</m:t>
            </m:r>
          </m:sup>
        </m:sSup>
        <m:r>
          <m:rPr>
            <m:sty m:val="p"/>
          </m:rPr>
          <m:t>=</m:t>
        </m:r>
        <m:r>
          <m:t>24.52</m:t>
        </m:r>
        <m:r>
          <m:rPr>
            <m:sty m:val="p"/>
          </m:rPr>
          <m:t>,</m:t>
        </m:r>
        <m:r>
          <m:t>p</m:t>
        </m:r>
        <m:r>
          <m:rPr>
            <m:sty m:val="p"/>
          </m:rPr>
          <m:t>=</m:t>
        </m:r>
        <m:r>
          <m:t>6.27</m:t>
        </m:r>
        <m:r>
          <m:rPr>
            <m:sty m:val="p"/>
          </m:rPr>
          <m:t>×</m:t>
        </m:r>
        <m:sSup>
          <m:e>
            <m:r>
              <m:t>10</m:t>
            </m:r>
          </m:e>
          <m:sup>
            <m:r>
              <m:rPr>
                <m:sty m:val="p"/>
              </m:rPr>
              <m:t>−</m:t>
            </m:r>
            <m:r>
              <m:t>5</m:t>
            </m:r>
          </m:sup>
        </m:sSup>
      </m:oMath>
      <w:r>
        <w:t xml:space="preserve">).</w:t>
      </w:r>
      <w:r>
        <w:br/>
      </w:r>
      <w:r>
        <w:t xml:space="preserve">(B) Pathologic stage composition across histologic subtypes, showing the marked concentration of Stage I disease in lepidic adenocarcinoma (88.6%) compared to solid (57.4%) and micropapillary (51.4%) subtypes.</w:t>
      </w:r>
      <w:r>
        <w:br/>
      </w:r>
      <w:r>
        <w:t xml:space="preserve">(C) Forest plot of multivariable stage-adjusted Cox proportional hazards models, displaying pairwise contrasts against lepidic reference, models with Acinar reference, and composite architectural models.</w:t>
      </w:r>
    </w:p>
    <w:p>
      <w:r>
        <w:pict>
          <v:rect style="width:0;height:1.5pt" o:hralign="center" o:hrstd="t" o:hr="t"/>
        </w:pict>
      </w:r>
    </w:p>
    <w:bookmarkEnd w:id="60"/>
    <w:bookmarkStart w:id="61" w:name="declarations"/>
    <w:p>
      <w:pPr>
        <w:pStyle w:val="Heading2"/>
      </w:pPr>
      <w:r>
        <w:t xml:space="preserve">Declarations</w:t>
      </w:r>
    </w:p>
    <w:p>
      <w:pPr>
        <w:pStyle w:val="FirstParagraph"/>
      </w:pPr>
      <w:r>
        <w:rPr>
          <w:b/>
          <w:bCs/>
        </w:rPr>
        <w:t xml:space="preserve">Ethics Approval:</w:t>
      </w:r>
      <w:r>
        <w:t xml:space="preserve"> </w:t>
      </w:r>
      <w:r>
        <w:t xml:space="preserve">Secondary analysis of public, de-identified genomic and clinical data from cBioPortal and Caso et al. (2020) [3]. No additional ethical approval was required.</w:t>
      </w:r>
      <w:r>
        <w:br/>
      </w:r>
      <w:r>
        <w:rPr>
          <w:b/>
          <w:bCs/>
        </w:rPr>
        <w:t xml:space="preserve">Consent for Publication:</w:t>
      </w:r>
      <w:r>
        <w:t xml:space="preserve"> </w:t>
      </w:r>
      <w:r>
        <w:t xml:space="preserve">Not applicable.</w:t>
      </w:r>
      <w:r>
        <w:br/>
      </w:r>
      <w:r>
        <w:rPr>
          <w:b/>
          <w:bCs/>
        </w:rPr>
        <w:t xml:space="preserve">Availability of Data and Code:</w:t>
      </w:r>
      <w:r>
        <w:t xml:space="preserve"> </w:t>
      </w:r>
      <w:r>
        <w:t xml:space="preserve">The clinical dataset (</w:t>
      </w:r>
      <w:r>
        <w:rPr>
          <w:rStyle w:val="VerbatimChar"/>
        </w:rPr>
        <w:t xml:space="preserve">06_DATI_CLINICI_MSKCC_604_PAZIENTI.csv</w:t>
      </w:r>
      <w:r>
        <w:t xml:space="preserve">) and Python verification scripts are publicly available in the GitHub repository: https://github.com/Lukecele/spatial-oncology-master and archived on Zenodo at https://doi.org/10.5281/zenodo.23623653.</w:t>
      </w:r>
      <w:r>
        <w:br/>
      </w:r>
      <w:r>
        <w:rPr>
          <w:b/>
          <w:bCs/>
        </w:rPr>
        <w:t xml:space="preserve">Competing Interests:</w:t>
      </w:r>
      <w:r>
        <w:t xml:space="preserve"> </w:t>
      </w:r>
      <w:r>
        <w:t xml:space="preserve">The author declares no competing interests.</w:t>
      </w:r>
      <w:r>
        <w:br/>
      </w:r>
      <w:r>
        <w:rPr>
          <w:b/>
          <w:bCs/>
        </w:rPr>
        <w:t xml:space="preserve">Funding:</w:t>
      </w:r>
      <w:r>
        <w:t xml:space="preserve"> </w:t>
      </w:r>
      <w:r>
        <w:t xml:space="preserve">No external funding was received for this study.</w:t>
      </w:r>
      <w:r>
        <w:br/>
      </w:r>
      <w:r>
        <w:rPr>
          <w:b/>
          <w:bCs/>
        </w:rPr>
        <w:t xml:space="preserve">Authors’ Contributions:</w:t>
      </w:r>
      <w:r>
        <w:t xml:space="preserve"> </w:t>
      </w:r>
      <w:r>
        <w:t xml:space="preserve">Luca Celebrano conceived the study, formulated the mathematical models, conducted the clinical data analysis, implemented the software pipeline, and authored the manuscript.</w:t>
      </w:r>
      <w:r>
        <w:br/>
      </w:r>
      <w:r>
        <w:rPr>
          <w:b/>
          <w:bCs/>
        </w:rPr>
        <w:t xml:space="preserve">AI/LLM Declaration:</w:t>
      </w:r>
      <w:r>
        <w:t xml:space="preserve"> </w:t>
      </w:r>
      <w:r>
        <w:t xml:space="preserve">In compliance with Springer Nature guidelines, generative AI tools (Anthropic Claude and Google Antigravity) were utilized to assist with code debugging, figure formatting, and language auditing under the direct supervision and critical verification of the author.</w:t>
      </w:r>
    </w:p>
    <w:p>
      <w:r>
        <w:pict>
          <v:rect style="width:0;height:1.5pt" o:hralign="center" o:hrstd="t" o:hr="t"/>
        </w:pict>
      </w:r>
    </w:p>
    <w:bookmarkEnd w:id="61"/>
    <w:bookmarkStart w:id="62" w:name="references"/>
    <w:p>
      <w:pPr>
        <w:pStyle w:val="Heading2"/>
      </w:pPr>
      <w:r>
        <w:t xml:space="preserve">References</w:t>
      </w:r>
    </w:p>
    <w:p>
      <w:pPr>
        <w:pStyle w:val="Compact"/>
        <w:numPr>
          <w:ilvl w:val="0"/>
          <w:numId w:val="1001"/>
        </w:numPr>
      </w:pPr>
      <w:r>
        <w:t xml:space="preserve">Wu YL, Tsuboi M, He J, et al. Osimertinib in Resected</w:t>
      </w:r>
      <w:r>
        <w:t xml:space="preserve"> </w:t>
      </w:r>
      <w:r>
        <w:rPr>
          <w:i/>
          <w:iCs/>
        </w:rPr>
        <w:t xml:space="preserve">EGFR</w:t>
      </w:r>
      <w:r>
        <w:t xml:space="preserve">-Mutated Non-Small-Cell Lung Cancer.</w:t>
      </w:r>
      <w:r>
        <w:t xml:space="preserve"> </w:t>
      </w:r>
      <w:r>
        <w:rPr>
          <w:i/>
          <w:iCs/>
        </w:rPr>
        <w:t xml:space="preserve">N Engl J Med</w:t>
      </w:r>
      <w:r>
        <w:t xml:space="preserve">. 2020;383(18):1711-1723. doi:10.1056/NEJMoa2027071.</w:t>
      </w:r>
    </w:p>
    <w:p>
      <w:pPr>
        <w:pStyle w:val="Compact"/>
        <w:numPr>
          <w:ilvl w:val="0"/>
          <w:numId w:val="1001"/>
        </w:numPr>
      </w:pPr>
      <w:r>
        <w:t xml:space="preserve">Tsuboi M, Herbst RS, John T, et al. Overall Survival with Osimertinib in Resected</w:t>
      </w:r>
      <w:r>
        <w:t xml:space="preserve"> </w:t>
      </w:r>
      <w:r>
        <w:rPr>
          <w:i/>
          <w:iCs/>
        </w:rPr>
        <w:t xml:space="preserve">EGFR</w:t>
      </w:r>
      <w:r>
        <w:t xml:space="preserve">-Mutated NSCLC.</w:t>
      </w:r>
      <w:r>
        <w:t xml:space="preserve"> </w:t>
      </w:r>
      <w:r>
        <w:rPr>
          <w:i/>
          <w:iCs/>
        </w:rPr>
        <w:t xml:space="preserve">N Engl J Med</w:t>
      </w:r>
      <w:r>
        <w:t xml:space="preserve">. 2023;389(2):137-147. doi:10.1056/NEJMoa2304594.</w:t>
      </w:r>
    </w:p>
    <w:p>
      <w:pPr>
        <w:pStyle w:val="Compact"/>
        <w:numPr>
          <w:ilvl w:val="0"/>
          <w:numId w:val="1001"/>
        </w:numPr>
      </w:pPr>
      <w:r>
        <w:t xml:space="preserve">Caso R, Sanchez-Vega F, Tan KS, et al. The Underlying Tumor Genomics of Predominant Histologic Subtypes in Lung Adenocarcinoma.</w:t>
      </w:r>
      <w:r>
        <w:t xml:space="preserve"> </w:t>
      </w:r>
      <w:r>
        <w:rPr>
          <w:i/>
          <w:iCs/>
        </w:rPr>
        <w:t xml:space="preserve">J Thorac Oncol</w:t>
      </w:r>
      <w:r>
        <w:t xml:space="preserve">. 2020;15(12):1844-1856. doi:10.1016/j.jtho.2020.08.005.</w:t>
      </w:r>
    </w:p>
    <w:p>
      <w:pPr>
        <w:pStyle w:val="Compact"/>
        <w:numPr>
          <w:ilvl w:val="0"/>
          <w:numId w:val="1001"/>
        </w:numPr>
      </w:pPr>
      <w:r>
        <w:t xml:space="preserve">Thomlinson RH, Gray LH. The histological structure of some human lung cancers and the possible implications for radiotherapy.</w:t>
      </w:r>
      <w:r>
        <w:t xml:space="preserve"> </w:t>
      </w:r>
      <w:r>
        <w:rPr>
          <w:i/>
          <w:iCs/>
        </w:rPr>
        <w:t xml:space="preserve">Br J Cancer</w:t>
      </w:r>
      <w:r>
        <w:t xml:space="preserve">. 1955;9(4):539-549. doi:10.1038/bjc.1955.55.</w:t>
      </w:r>
    </w:p>
    <w:p>
      <w:pPr>
        <w:pStyle w:val="Compact"/>
        <w:numPr>
          <w:ilvl w:val="0"/>
          <w:numId w:val="1001"/>
        </w:numPr>
      </w:pPr>
      <w:r>
        <w:t xml:space="preserve">Cross DAE, Ashton SE, Ghiorghiu S, et al. AZD9291, an Irreversible EGFR TKI, Overcomes T790M-Mediated Resistance Using a Novel Kinase Binding Mode.</w:t>
      </w:r>
      <w:r>
        <w:t xml:space="preserve"> </w:t>
      </w:r>
      <w:r>
        <w:rPr>
          <w:i/>
          <w:iCs/>
        </w:rPr>
        <w:t xml:space="preserve">Cancer Discov</w:t>
      </w:r>
      <w:r>
        <w:t xml:space="preserve">. 2014;4(9):1046-1061. doi:10.1158/2159-8290.CD-14-0337.</w:t>
      </w:r>
    </w:p>
    <w:p>
      <w:pPr>
        <w:pStyle w:val="Compact"/>
        <w:numPr>
          <w:ilvl w:val="0"/>
          <w:numId w:val="1001"/>
        </w:numPr>
      </w:pPr>
      <w:r>
        <w:t xml:space="preserve">Sharma SV, Lee DY, Li B, et al. A chromatin-mediated reversible drug-tolerant state in cancer cell subpopulations.</w:t>
      </w:r>
      <w:r>
        <w:t xml:space="preserve"> </w:t>
      </w:r>
      <w:r>
        <w:rPr>
          <w:i/>
          <w:iCs/>
        </w:rPr>
        <w:t xml:space="preserve">Cell</w:t>
      </w:r>
      <w:r>
        <w:t xml:space="preserve">. 2010;141(1):69-80. doi:10.1016/j.cell.2010.02.027.</w:t>
      </w:r>
    </w:p>
    <w:p>
      <w:pPr>
        <w:pStyle w:val="Compact"/>
        <w:numPr>
          <w:ilvl w:val="0"/>
          <w:numId w:val="1001"/>
        </w:numPr>
      </w:pPr>
      <w:r>
        <w:t xml:space="preserve">Kurppa KJ, Liu Y, To C, et al. Treatment-Induced Tumor Dormancy through YAP-Mediated Transcriptional Reprogramming of the Apoptotic Pathway.</w:t>
      </w:r>
      <w:r>
        <w:t xml:space="preserve"> </w:t>
      </w:r>
      <w:r>
        <w:rPr>
          <w:i/>
          <w:iCs/>
        </w:rPr>
        <w:t xml:space="preserve">Cancer Cell</w:t>
      </w:r>
      <w:r>
        <w:t xml:space="preserve">. 2020;37(1):104-122.e12. doi:10.1016/j.ccell.2019.12.006.</w:t>
      </w:r>
    </w:p>
    <w:p>
      <w:pPr>
        <w:pStyle w:val="Compact"/>
        <w:numPr>
          <w:ilvl w:val="0"/>
          <w:numId w:val="1001"/>
        </w:numPr>
      </w:pPr>
      <w:r>
        <w:t xml:space="preserve">Kaznatcheev A, Peacock J, Basanta D, Marusyk A, Scott JG. Fibroblasts and alectinib switch the evolutionary games played by non-small cell lung cancer.</w:t>
      </w:r>
      <w:r>
        <w:t xml:space="preserve"> </w:t>
      </w:r>
      <w:r>
        <w:rPr>
          <w:i/>
          <w:iCs/>
        </w:rPr>
        <w:t xml:space="preserve">Nat Ecol Evol</w:t>
      </w:r>
      <w:r>
        <w:t xml:space="preserve">. 2019;3(3):450-460. doi:10.1038/s41559-018-0768-z.</w:t>
      </w:r>
    </w:p>
    <w:p>
      <w:pPr>
        <w:pStyle w:val="Compact"/>
        <w:numPr>
          <w:ilvl w:val="0"/>
          <w:numId w:val="1001"/>
        </w:numPr>
      </w:pPr>
      <w:r>
        <w:t xml:space="preserve">Freireich EJ, Gehan E, Frei E 3rd, et al. The effect of 6-mercaptopurine on the duration of steroid-induced remissions in acute leukemia: a model for evaluation of other potentially useful therapy.</w:t>
      </w:r>
      <w:r>
        <w:t xml:space="preserve"> </w:t>
      </w:r>
      <w:r>
        <w:rPr>
          <w:i/>
          <w:iCs/>
        </w:rPr>
        <w:t xml:space="preserve">Blood</w:t>
      </w:r>
      <w:r>
        <w:t xml:space="preserve">. 1963;21(6):699-716.</w:t>
      </w:r>
    </w:p>
    <w:p>
      <w:pPr>
        <w:pStyle w:val="Compact"/>
        <w:numPr>
          <w:ilvl w:val="0"/>
          <w:numId w:val="1001"/>
        </w:numPr>
      </w:pPr>
      <w:r>
        <w:t xml:space="preserve">Gehan EA. A generalized Wilcoxon test for comparing arbitrarily singly-censored samples.</w:t>
      </w:r>
      <w:r>
        <w:t xml:space="preserve"> </w:t>
      </w:r>
      <w:r>
        <w:rPr>
          <w:i/>
          <w:iCs/>
        </w:rPr>
        <w:t xml:space="preserve">Biometrika</w:t>
      </w:r>
      <w:r>
        <w:t xml:space="preserve">. 1965;52(1/2):203-223. doi:10.1093/biomet/52.1-2.203.</w:t>
      </w:r>
    </w:p>
    <w:p>
      <w:pPr>
        <w:pStyle w:val="Compact"/>
        <w:numPr>
          <w:ilvl w:val="0"/>
          <w:numId w:val="1001"/>
        </w:numPr>
      </w:pPr>
      <w:r>
        <w:t xml:space="preserve">Schemper M, Smith TL. A note on quantifying follow-up in studies of failure time.</w:t>
      </w:r>
      <w:r>
        <w:t xml:space="preserve"> </w:t>
      </w:r>
      <w:r>
        <w:rPr>
          <w:i/>
          <w:iCs/>
        </w:rPr>
        <w:t xml:space="preserve">Control Clin Trials</w:t>
      </w:r>
      <w:r>
        <w:t xml:space="preserve">. 1996;17(4):343-346. doi:10.1016/0197-2456(96)00075-x.</w:t>
      </w:r>
    </w:p>
    <w:p>
      <w:pPr>
        <w:pStyle w:val="Compact"/>
        <w:numPr>
          <w:ilvl w:val="0"/>
          <w:numId w:val="1001"/>
        </w:numPr>
      </w:pPr>
      <w:r>
        <w:t xml:space="preserve">Herbst RS, Wu YL, John T, et al. Adjuvant osimertinib for resected EGFR-mutated stage IB-IIIA non-small-cell lung cancer: updated results from ADAURA.</w:t>
      </w:r>
      <w:r>
        <w:t xml:space="preserve"> </w:t>
      </w:r>
      <w:r>
        <w:rPr>
          <w:i/>
          <w:iCs/>
        </w:rPr>
        <w:t xml:space="preserve">Nat Med</w:t>
      </w:r>
      <w:r>
        <w:t xml:space="preserve">. 2025;31(2):440-449. doi:10.1038/s41591-024-03389-0.</w:t>
      </w:r>
    </w:p>
    <w:p>
      <w:pPr>
        <w:pStyle w:val="Compact"/>
        <w:numPr>
          <w:ilvl w:val="0"/>
          <w:numId w:val="1001"/>
        </w:numPr>
      </w:pPr>
      <w:r>
        <w:t xml:space="preserve">Worth KR, Papandreou I, Hammond EM. How the histological structure of some lung cancers shaped almost 70 years of radiobiology.</w:t>
      </w:r>
      <w:r>
        <w:t xml:space="preserve"> </w:t>
      </w:r>
      <w:r>
        <w:rPr>
          <w:i/>
          <w:iCs/>
        </w:rPr>
        <w:t xml:space="preserve">Br J Cancer</w:t>
      </w:r>
      <w:r>
        <w:t xml:space="preserve">. 2023;128(3):407-412. doi:10.1038/s41416-022-02041-9.</w:t>
      </w:r>
    </w:p>
    <w:p>
      <w:pPr>
        <w:pStyle w:val="Compact"/>
        <w:numPr>
          <w:ilvl w:val="0"/>
          <w:numId w:val="1001"/>
        </w:numPr>
      </w:pPr>
      <w:r>
        <w:t xml:space="preserve">Hirst DG, Hirst VK, Joiner B, et al. Changes in tumour morphology with alterations in oxygen availability: further evidence for oxygen as a limiting substrate.</w:t>
      </w:r>
      <w:r>
        <w:t xml:space="preserve"> </w:t>
      </w:r>
      <w:r>
        <w:rPr>
          <w:i/>
          <w:iCs/>
        </w:rPr>
        <w:t xml:space="preserve">Br J Cancer</w:t>
      </w:r>
      <w:r>
        <w:t xml:space="preserve">. 1991;64(1):54-58. doi:10.1038/bjc.1991.238.</w:t>
      </w:r>
    </w:p>
    <w:p>
      <w:pPr>
        <w:pStyle w:val="Compact"/>
        <w:numPr>
          <w:ilvl w:val="0"/>
          <w:numId w:val="1001"/>
        </w:numPr>
      </w:pPr>
      <w:r>
        <w:t xml:space="preserve">Moreira AL, Ocampo PSS, Xia Y, et al. A Grading System for Invasive Pulmonary Adenocarcinoma: A Proposal From the International Association for the Study of Lung Cancer Pathology Committee.</w:t>
      </w:r>
      <w:r>
        <w:t xml:space="preserve"> </w:t>
      </w:r>
      <w:r>
        <w:rPr>
          <w:i/>
          <w:iCs/>
        </w:rPr>
        <w:t xml:space="preserve">J Thorac Oncol</w:t>
      </w:r>
      <w:r>
        <w:t xml:space="preserve">. 2020;15(10):1599-1610. doi:10.1016/j.jtho.2020.06.001.</w:t>
      </w:r>
    </w:p>
    <w:p>
      <w:pPr>
        <w:pStyle w:val="Compact"/>
        <w:numPr>
          <w:ilvl w:val="0"/>
          <w:numId w:val="1001"/>
        </w:numPr>
      </w:pPr>
      <w:r>
        <w:t xml:space="preserve">Holm S. A simple sequentially rejective multiple test procedure.</w:t>
      </w:r>
      <w:r>
        <w:t xml:space="preserve"> </w:t>
      </w:r>
      <w:r>
        <w:rPr>
          <w:i/>
          <w:iCs/>
        </w:rPr>
        <w:t xml:space="preserve">Scand J Statist</w:t>
      </w:r>
      <w:r>
        <w:t xml:space="preserve">. 1979;6(2):65-70.</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hyperlink" Id="rId20" Target="https://orcid.org/0009-0007-0931-3555"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9-0007-0931-35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2026-10-26T09:35:30Z</dcterms:created>
  <dcterms:modified xsi:type="dcterms:W3CDTF">2026-10-26T09:35:30Z</dcterms:modified>
</cp:coreProperties>
</file>

<file path=docProps/custom.xml><?xml version="1.0" encoding="utf-8"?>
<Properties xmlns="http://schemas.openxmlformats.org/officeDocument/2006/custom-properties" xmlns:vt="http://schemas.openxmlformats.org/officeDocument/2006/docPropsVTypes"/>
</file>