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B6777"/>
          <w:sz w:val="36"/>
          <w:szCs w:val="36"/>
        </w:rPr>
        <w:t xml:space="preserve">IS 413 Video Walkthrough</w:t>
      </w:r>
    </w:p>
    <w:p>
      <w:pPr>
        <w:spacing w:after="80"/>
        <w:jc w:val="center"/>
      </w:pPr>
      <w:r>
        <w:rPr>
          <w:rFonts w:ascii="Arial" w:cs="Arial" w:eastAsia="Arial" w:hAnsi="Arial"/>
          <w:color w:val="666666"/>
          <w:sz w:val="26"/>
          <w:szCs w:val="26"/>
        </w:rPr>
        <w:t xml:space="preserve">Scene-by-Scene Outline</w:t>
      </w:r>
    </w:p>
    <w:p>
      <w:pPr>
        <w:pBdr>
          <w:bottom w:val="single" w:color="2B6777" w:sz="6" w:space="8"/>
        </w:pBdr>
        <w:spacing w:after="200"/>
        <w:jc w:val="center"/>
      </w:pPr>
      <w:r>
        <w:rPr>
          <w:rFonts w:ascii="Arial" w:cs="Arial" w:eastAsia="Arial" w:hAnsi="Arial"/>
          <w:i/>
          <w:iCs/>
          <w:color w:val="888888"/>
          <w:sz w:val="18"/>
          <w:szCs w:val="18"/>
        </w:rPr>
        <w:t xml:space="preserve">Target length: ~11 minutes  |  15 scenes  |  One feature per scene, no rambling</w:t>
      </w:r>
    </w:p>
    <w:p>
      <w:pPr>
        <w:pStyle w:val="Heading1"/>
        <w:spacing w:after="120" w:before="200"/>
      </w:pPr>
      <w:r>
        <w:rPr>
          <w:rFonts w:ascii="Arial" w:cs="Arial" w:eastAsia="Arial" w:hAnsi="Arial"/>
          <w:b/>
          <w:bCs/>
          <w:sz w:val="28"/>
          <w:szCs w:val="28"/>
        </w:rPr>
        <w:t xml:space="preserve">Quick Reference</w:t>
      </w:r>
    </w:p>
    <w:p>
      <w:pPr>
        <w:spacing w:after="80"/>
      </w:pPr>
      <w:r>
        <w:rPr>
          <w:rFonts w:ascii="Arial" w:cs="Arial" w:eastAsia="Arial" w:hAnsi="Arial"/>
          <w:i/>
          <w:iCs/>
          <w:color w:val="666666"/>
          <w:sz w:val="20"/>
          <w:szCs w:val="20"/>
        </w:rPr>
        <w:t xml:space="preserve">Use this table to assign scenes to presenters and track recording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60"/>
        <w:gridCol w:w="1200"/>
        <w:gridCol w:w="2200"/>
        <w:gridCol w:w="2000"/>
      </w:tblGrid>
      <w:tr>
        <w:tc>
          <w:tcPr>
            <w:tcW w:type="dxa" w:w="500"/>
            <w:tcBorders>
              <w:top w:val="single" w:color="CCCCCC" w:sz="1"/>
              <w:left w:val="single" w:color="CCCCCC" w:sz="1"/>
              <w:bottom w:val="single" w:color="CCCCCC" w:sz="1"/>
              <w:right w:val="single" w:color="CCCCCC" w:sz="1"/>
            </w:tcBorders>
            <w:shd w:fill="2B6777"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460"/>
            <w:tcBorders>
              <w:top w:val="single" w:color="CCCCCC" w:sz="1"/>
              <w:left w:val="single" w:color="CCCCCC" w:sz="1"/>
              <w:bottom w:val="single" w:color="CCCCCC" w:sz="1"/>
              <w:right w:val="single" w:color="CCCCCC" w:sz="1"/>
            </w:tcBorders>
            <w:shd w:fill="2B6777"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Scene</w:t>
            </w:r>
          </w:p>
        </w:tc>
        <w:tc>
          <w:tcPr>
            <w:tcW w:type="dxa" w:w="1200"/>
            <w:tcBorders>
              <w:top w:val="single" w:color="CCCCCC" w:sz="1"/>
              <w:left w:val="single" w:color="CCCCCC" w:sz="1"/>
              <w:bottom w:val="single" w:color="CCCCCC" w:sz="1"/>
              <w:right w:val="single" w:color="CCCCCC" w:sz="1"/>
            </w:tcBorders>
            <w:shd w:fill="2B6777"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2B6777"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Presenter</w:t>
            </w:r>
          </w:p>
        </w:tc>
        <w:tc>
          <w:tcPr>
            <w:tcW w:type="dxa" w:w="2000"/>
            <w:tcBorders>
              <w:top w:val="single" w:color="CCCCCC" w:sz="1"/>
              <w:left w:val="single" w:color="CCCCCC" w:sz="1"/>
              <w:bottom w:val="single" w:color="CCCCCC" w:sz="1"/>
              <w:right w:val="single" w:color="CCCCCC" w:sz="1"/>
            </w:tcBorders>
            <w:shd w:fill="2B6777"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0</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Intro (30 sec)</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30 sec</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Home / Landing Page (1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2</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Impact / Donor-Facing Dashboard (45 sec)</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45 sec</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3</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Donate Flow (1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4</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Login Page (30 sec)</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30 sec</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5</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Privacy Policy + Cookie Consent (30 sec)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30 sec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6</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Admin Dashboard (45 sec)</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45 sec</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7</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Donors &amp; Contributions (1.5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1.5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8</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Caseload Inventory / Residents (1.5 min)</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1.5 min</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9</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Process Recording (1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10</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Home Visitation &amp; Case Conferences (1 min)</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1 min</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11</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Reports &amp; Analytics (1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12</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Donor Portal — My Impact (45 sec)</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45 sec</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13</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b/>
                <w:bCs/>
                <w:sz w:val="18"/>
                <w:szCs w:val="18"/>
              </w:rPr>
              <w:t xml:space="preserve">Additional Pages &amp; Polish (1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sz w:val="18"/>
                <w:szCs w:val="18"/>
              </w:rPr>
              <w:t xml:space="preserve">1 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r>
        <w:tc>
          <w:tcPr>
            <w:tcW w:type="dxa" w:w="5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14</w:t>
            </w:r>
          </w:p>
        </w:tc>
        <w:tc>
          <w:tcPr>
            <w:tcW w:type="dxa" w:w="346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b/>
                <w:bCs/>
                <w:sz w:val="18"/>
                <w:szCs w:val="18"/>
              </w:rPr>
              <w:t xml:space="preserve">Tech Quality &amp; Finishing Touches (30 sec)</w:t>
            </w:r>
          </w:p>
        </w:tc>
        <w:tc>
          <w:tcPr>
            <w:tcW w:type="dxa" w:w="1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sz w:val="18"/>
                <w:szCs w:val="18"/>
              </w:rPr>
              <w:t xml:space="preserve">30 sec</w:t>
            </w:r>
          </w:p>
        </w:tc>
        <w:tc>
          <w:tcPr>
            <w:tcW w:type="dxa" w:w="22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CCCCCC"/>
                <w:sz w:val="18"/>
                <w:szCs w:val="18"/>
              </w:rPr>
              <w:t xml:space="preserve">________________</w:t>
            </w:r>
          </w:p>
        </w:tc>
        <w:tc>
          <w:tcPr>
            <w:tcW w:type="dxa" w:w="2000"/>
            <w:tcBorders>
              <w:top w:val="single" w:color="CCCCCC" w:sz="1"/>
              <w:left w:val="single" w:color="CCCCCC" w:sz="1"/>
              <w:bottom w:val="single" w:color="CCCCCC" w:sz="1"/>
              <w:right w:val="single" w:color="CCCCCC" w:sz="1"/>
            </w:tcBorders>
            <w:shd w:fill="E8F0F6" w:val="clear"/>
            <w:tcMar>
              <w:top w:type="dxa" w:w="60"/>
              <w:left w:type="dxa" w:w="100"/>
              <w:bottom w:type="dxa" w:w="60"/>
              <w:right w:type="dxa" w:w="100"/>
            </w:tcMar>
          </w:tcPr>
          <w:p>
            <w:pPr>
              <w:spacing w:after="80"/>
            </w:pPr>
            <w:r>
              <w:rPr>
                <w:rFonts w:ascii="Arial" w:cs="Arial" w:eastAsia="Arial" w:hAnsi="Arial"/>
                <w:color w:val="999999"/>
                <w:sz w:val="18"/>
                <w:szCs w:val="18"/>
              </w:rPr>
              <w:t xml:space="preserve">☐ Not started</w:t>
            </w:r>
          </w:p>
        </w:tc>
      </w:tr>
    </w:tbl>
    <w:p>
      <w:pPr>
        <w:spacing w:after="200"/>
      </w:pPr>
    </w:p>
    <w:p>
      <w:pPr>
        <w:pStyle w:val="Heading1"/>
        <w:spacing w:after="120" w:before="200"/>
      </w:pPr>
      <w:r>
        <w:rPr>
          <w:rFonts w:ascii="Arial" w:cs="Arial" w:eastAsia="Arial" w:hAnsi="Arial"/>
          <w:b/>
          <w:bCs/>
          <w:sz w:val="28"/>
          <w:szCs w:val="28"/>
        </w:rPr>
        <w:t xml:space="preserve">Detailed Scene Breakdown</w:t>
      </w:r>
    </w:p>
    <w:p>
      <w:pPr>
        <w:pStyle w:val="Heading2"/>
        <w:spacing w:after="120" w:before="200"/>
      </w:pPr>
      <w:r>
        <w:rPr>
          <w:rFonts w:ascii="Arial" w:cs="Arial" w:eastAsia="Arial" w:hAnsi="Arial"/>
          <w:b/>
          <w:bCs/>
          <w:sz w:val="24"/>
          <w:szCs w:val="24"/>
        </w:rPr>
        <w:t xml:space="preserve">Scene 0: Intro (30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Title slide or splash screen with deployed URL open in browser</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Introduce team name/number, project name (Ember Foundation), and state that this is the IS 413 walkthrough. Mention the tech stack: .NET 10 / C# backend, React 18 + TypeScript + Vite frontend, Azure SQL Database, deployed on Microsoft Azure.</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“Tech stack: .NET 10 / C#, React / TypeScript (Vite), Azure SQL Database, deployed to Azure”</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Keep it under 30 seconds. Graders want to see features, not bios.</w:t>
      </w:r>
    </w:p>
    <w:p>
      <w:pPr>
        <w:pStyle w:val="Heading2"/>
        <w:spacing w:after="120" w:before="200"/>
      </w:pPr>
      <w:r>
        <w:rPr>
          <w:rFonts w:ascii="Arial" w:cs="Arial" w:eastAsia="Arial" w:hAnsi="Arial"/>
          <w:b/>
          <w:bCs/>
          <w:sz w:val="24"/>
          <w:szCs w:val="24"/>
        </w:rPr>
        <w:t xml:space="preserve">Scene 1: Home / Landing Page (1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the public landing page (/) while not logged in. Scroll through slowly.</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Point out: (1) Organization name and mission statement, (2) animated statistics that count up on scroll (girls sheltered, safehouses, retention rate — all from live database), (3) the “How We Care” section with animated percentage counters, (4) the safehouse grid pulled from /api/public/safehouses (anonymized — no resident names), (5) the donate CTA banner and “Support a girl’s journey” button, (6) dark mode toggle in the footer.</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“A modern, professional landing page that introduces the organization, its mission, and provides clear calls to action for visitors to engage or support.”</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Scroll slowly so graders can see the full page. Mention that all stats are live from Azure SQL, not hardcoded.</w:t>
      </w:r>
    </w:p>
    <w:p>
      <w:pPr>
        <w:pStyle w:val="Heading2"/>
        <w:spacing w:after="120" w:before="200"/>
      </w:pPr>
      <w:r>
        <w:rPr>
          <w:rFonts w:ascii="Arial" w:cs="Arial" w:eastAsia="Arial" w:hAnsi="Arial"/>
          <w:b/>
          <w:bCs/>
          <w:sz w:val="24"/>
          <w:szCs w:val="24"/>
        </w:rPr>
        <w:t xml:space="preserve">Scene 2: Impact / Donor-Facing Dashboard (45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Still unauthenticated. Point out the public-facing statistics on the landing page (the hero pills + safehouse grid) which serve as the impact dashboard for anonymous visitors.</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Explain that the public landing page doubles as the donor-facing impact dashboard: hero pills show girls sheltered (live resident count), safehouse count, and 12-month donor retention rate. The safehouse grid shows each safehouse’s city, region, capacity, and active count — all from /api/public/safehouses and /api/public/stats. No personally identifiable resident data is ever exposed to unauthenticated users.</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“Displays aggregated, anonymized data showing the organization’s impact (e.g., outcomes, progress, and resource use) in a clear and visually understandable way.”</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Emphasize “aggregated” and “anonymized” — those are rubric keywords.</w:t>
      </w:r>
    </w:p>
    <w:p>
      <w:pPr>
        <w:pStyle w:val="Heading2"/>
        <w:spacing w:after="120" w:before="200"/>
      </w:pPr>
      <w:r>
        <w:rPr>
          <w:rFonts w:ascii="Arial" w:cs="Arial" w:eastAsia="Arial" w:hAnsi="Arial"/>
          <w:b/>
          <w:bCs/>
          <w:sz w:val="24"/>
          <w:szCs w:val="24"/>
        </w:rPr>
        <w:t xml:space="preserve">Scene 3: Donate Flow (1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Click “Support a girl’s journey” or navigate to /donate. Fill in a test donation. Submit it.</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(1) Amount selection with preset buttons, (2) monthly toggle, (3) optional safehouse designation via dropdown, (4) anonymous donation checkbox, (5) form validation. Submit the donation — point out the confirmation chime and thank-you dialog. Then show the “Create an account” prompt that appears after donating, with inline password field enforcing the 14-character hardened policy. Mention this is NOT a real payment processor — it’s a fake donation that persists to Azure SQL via POST /api/public/donate.</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“Donor Dashboard: Allows an authenticated donor to donate… We obviously do not want to tie into a real payment service, but we can take a fake donation and add it into our database.”</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Say “fake donation” explicitly so graders know you’re aware. Show the DB write succeeding.</w:t>
      </w:r>
    </w:p>
    <w:p>
      <w:pPr>
        <w:pStyle w:val="Heading2"/>
        <w:spacing w:after="120" w:before="200"/>
      </w:pPr>
      <w:r>
        <w:rPr>
          <w:rFonts w:ascii="Arial" w:cs="Arial" w:eastAsia="Arial" w:hAnsi="Arial"/>
          <w:b/>
          <w:bCs/>
          <w:sz w:val="24"/>
          <w:szCs w:val="24"/>
        </w:rPr>
        <w:t xml:space="preserve">Scene 4: Login Page (30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/login. Show the form. Log in as the admin test account.</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Point out: (1) email + password fields, (2) client-side validation (empty fields, format), (3) error handling for wrong credentials (show a failed attempt briefly), (4) “Forgot password” link to /forgot-password, (5) successful login redirecting to /dashboard. Mention that auth uses ASP.NET Identity + JWT Bearer tokens.</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“Allows users to authenticate using a username and password, with proper validation and error handling.”</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Show a wrong-password attempt first so graders see the error message, then log in successfully.</w:t>
      </w:r>
    </w:p>
    <w:p>
      <w:pPr>
        <w:pStyle w:val="Heading2"/>
        <w:spacing w:after="120" w:before="200"/>
      </w:pPr>
      <w:r>
        <w:rPr>
          <w:rFonts w:ascii="Arial" w:cs="Arial" w:eastAsia="Arial" w:hAnsi="Arial"/>
          <w:b/>
          <w:bCs/>
          <w:sz w:val="24"/>
          <w:szCs w:val="24"/>
        </w:rPr>
        <w:t xml:space="preserve">Scene 5: Privacy Policy + Cookie Consent (30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Open /privacy in a new tab (or scroll to footer link). Also show the cookie consent banner by clearing cookies and reloading.</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Point out: (1) privacy policy is linked from the footer of every public page, (2) content is GDPR-compliant and customized to the organization (what we collect, how we use it, your rights, contact info), (3) cookie consent banner appears on first visit with Accept and Decline buttons, (4) it is FULLY FUNCTIONAL — non-essential cookies (theme preference, sidebar state) are NOT set until the user clicks Accept. The consent choice itself is stored in a cookie_consent cookie (which is exempt as essential).</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“Provides a privacy policy explaining data usage and includes a GDPR-compliant cookie consent notification.”</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Say “fully functional, not cosmetic” — graders award more points for that.</w:t>
      </w:r>
    </w:p>
    <w:p>
      <w:pPr>
        <w:pStyle w:val="Heading2"/>
        <w:spacing w:after="120" w:before="200"/>
      </w:pPr>
      <w:r>
        <w:rPr>
          <w:rFonts w:ascii="Arial" w:cs="Arial" w:eastAsia="Arial" w:hAnsi="Arial"/>
          <w:b/>
          <w:bCs/>
          <w:sz w:val="24"/>
          <w:szCs w:val="24"/>
        </w:rPr>
        <w:t xml:space="preserve">Scene 6: Admin Dashboard (45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After logging in as admin, show /dashboard. Hover over KPI cards.</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the admin command center: (1) four KPI cards — Active Donors, Total Donations YTD (with year-over-year delta), Monthly Donations (with month-over-month delta), Donor Retention (rolling 12-month). All from GET /api/dashboard/stats against live Azure SQL. (2) Social Media Overview card. (3) Recent Activity feed showing the 6 most recent donations with supporter names. (4) Founder-only ML Insights prompt cards (only visible to the top-level admin). (5) Viewport-locked layout — no scrolling needed, everything fits in one screen.</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“Provides a high-level overview of key metrics such as active residents across safehouses, recent donations, upcoming case conferences, and summarized progress data.”</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Mention “live data from Azure SQL” every time you show a data-driven section.</w:t>
      </w:r>
    </w:p>
    <w:p>
      <w:pPr>
        <w:pStyle w:val="Heading2"/>
        <w:spacing w:after="120" w:before="200"/>
      </w:pPr>
      <w:r>
        <w:rPr>
          <w:rFonts w:ascii="Arial" w:cs="Arial" w:eastAsia="Arial" w:hAnsi="Arial"/>
          <w:b/>
          <w:bCs/>
          <w:sz w:val="24"/>
          <w:szCs w:val="24"/>
        </w:rPr>
        <w:t xml:space="preserve">Scene 7: Donors &amp; Contributions (1.5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/donors. Filter by type, search, toggle risk status.</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(1) three filter pills (All / Monetary / In-Kind) with counts, (2) search box filtering by name, email, org, (3) risk-filter pills (All / Active / Watch / At risk) derived from days since last gift, (4) donor cards showing name, type, total donated, donation count, last gift date, risk badge. Then demonstrate CRUD: (5) click “Add donor” — show the create dialog with supporter type, name, email, region, country, (6) click pencil icon to edit, (7) click trash icon — show the confirmation dialog, then cancel. Also show: (8) “Log donation” button opening the 5-step donation wizard (type → match donor → new donor → gift details → success), (9) “Send” message button and bulk “Message all” for donor outreach with templates.</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“Allows staff to view, create, and manage supporter profiles… Tracks all types of contributions (monetary, in-kind…) and allows staff to record and review donation activity.”</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Show Create, Update, AND Delete (with confirmation dialog) — all three are graded.</w:t>
      </w:r>
    </w:p>
    <w:p>
      <w:pPr>
        <w:pStyle w:val="Heading2"/>
        <w:spacing w:after="120" w:before="200"/>
      </w:pPr>
      <w:r>
        <w:rPr>
          <w:rFonts w:ascii="Arial" w:cs="Arial" w:eastAsia="Arial" w:hAnsi="Arial"/>
          <w:b/>
          <w:bCs/>
          <w:sz w:val="24"/>
          <w:szCs w:val="24"/>
        </w:rPr>
        <w:t xml:space="preserve">Scene 8: Caseload Inventory / Residents (1.5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/residents. Use the filter dropdowns and search.</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(1) search box, (2) three filter dropdowns — Case Status (Active/Closed/Transferred), Safehouse, Priority (low/medium/high/critical) — all composable as AND filters, (3) Clear Filters button, (4) resident cards showing case control number, safehouse, case status badge, risk level badge (color-coded), date of admission, assigned social worker. Then demonstrate CRUD: (5) “New Resident” button — show form with case control number, internal code, safehouse dropdown, case status, risk level, DOB, admission date, sex, social worker, notes_restricted (admin-only field), (6) edit a resident via pencil icon, (7) delete via trash icon with confirmation dialog. Mention that the 30+ categorical fields (case category, sub-category, disability, 4Ps beneficiary, etc.) round-trip untouched on PUT even though the form only exposes the 10 most-edited fields.</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“Core case management page… Staff can view, create, and update resident profiles… filtering and searching by case status, safehouse, case category, and other key fields.”</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Show the filtering in action — pick a safehouse, then a status, then search by name. Graders want to see composition.</w:t>
      </w:r>
    </w:p>
    <w:p>
      <w:pPr>
        <w:pStyle w:val="Heading2"/>
        <w:spacing w:after="120" w:before="200"/>
      </w:pPr>
      <w:r>
        <w:rPr>
          <w:rFonts w:ascii="Arial" w:cs="Arial" w:eastAsia="Arial" w:hAnsi="Arial"/>
          <w:b/>
          <w:bCs/>
          <w:sz w:val="24"/>
          <w:szCs w:val="24"/>
        </w:rPr>
        <w:t xml:space="preserve">Scene 9: Process Recording (1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/process-recording. Filter by resident. Create a new entry, then edit it.</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(1) resident filter dropdown, (2) chronological card list of counseling session notes, (3) each card shows session date, social worker, session type (individual/group), emotional state, narrative summary, interventions, follow-up actions. Demonstrate: (4) “New Recording” — fill out form with resident, session date, session type, emotional state, summary, interventions, follow-up, (5) edit an existing recording via pencil icon, (6) delete via trash icon (admin-only or own-record for staff) with confirmation dialog. Mention per-author ownership: staff can only edit/delete records they personally created; admins can modify any record in scope.</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“Provides forms for entering and viewing dated counseling session notes for each resident… Staff should be able to view the full history of process recordings for any resident, displayed chronologically.”</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Show the chronological ordering clearly. Mention “per-author ownership” as a security feature.</w:t>
      </w:r>
    </w:p>
    <w:p>
      <w:pPr>
        <w:pStyle w:val="Heading2"/>
        <w:spacing w:after="120" w:before="200"/>
      </w:pPr>
      <w:r>
        <w:rPr>
          <w:rFonts w:ascii="Arial" w:cs="Arial" w:eastAsia="Arial" w:hAnsi="Arial"/>
          <w:b/>
          <w:bCs/>
          <w:sz w:val="24"/>
          <w:szCs w:val="24"/>
        </w:rPr>
        <w:t xml:space="preserve">Scene 10: Home Visitation &amp; Case Conferences (1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/home-visitation, then /case-conferences.</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Home Visitation: (1) resident filter, (2) entries split into “Upcoming visits” (future, soonest-first) and “Visit history” (past, newest-first), (3) each card shows visit date, visit type (initial assessment / routine follow-up / reintegration assessment / post-placement monitoring / emergency), observations, family cooperation, safety concerns, follow-up actions, (4) CRUD with same per-author ownership model. Case Conferences (/case-conferences): (5) plans grouped by conference date into chronological blocks, (6) filter by category, status, resident, (7) summary stat cards, (8) full CRUD on intervention plans with resident, date, category, description, services, target value/date, status.</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“Allows staff to log home and field visits… Also provides a view of case conference history and upcoming conferences for each resident.”</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Show the upcoming vs. history split on Home Visitation — that’s explicitly in the rubric.</w:t>
      </w:r>
    </w:p>
    <w:p>
      <w:pPr>
        <w:pStyle w:val="Heading2"/>
        <w:spacing w:after="120" w:before="200"/>
      </w:pPr>
      <w:r>
        <w:rPr>
          <w:rFonts w:ascii="Arial" w:cs="Arial" w:eastAsia="Arial" w:hAnsi="Arial"/>
          <w:b/>
          <w:bCs/>
          <w:sz w:val="24"/>
          <w:szCs w:val="24"/>
        </w:rPr>
        <w:t xml:space="preserve">Scene 11: Reports &amp; Analytics (1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Navigate to /reports. Adjust the date range picker.</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all six sections powered by GET /api/reports/summary: (1) Annual Accomplishment Report header (Caring / Healing / Teaching pillars: girls served, counseling sessions, home visits, risk improvements, reintegrations), (2) Donation trends bar chart with monthly time series, (3) Donations by type and by campaign, (4) Allocation across safehouses (weighted by residents served), (5) Safehouse performance comparison table (capacity, active, utilization per safehouse), (6) Resident outcomes (case status breakdown, reintegration success rate and type breakdown). Mention the date picker adjusts the query window and all data comes from one scope-aware endpoint.</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“Displays aggregated insights and trends… donation trends over time, resident outcome metrics… safehouse performance comparisons, and reintegration success rates.”</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Change the date range on camera so graders see the data update live.</w:t>
      </w:r>
    </w:p>
    <w:p>
      <w:pPr>
        <w:pStyle w:val="Heading2"/>
        <w:spacing w:after="120" w:before="200"/>
      </w:pPr>
      <w:r>
        <w:rPr>
          <w:rFonts w:ascii="Arial" w:cs="Arial" w:eastAsia="Arial" w:hAnsi="Arial"/>
          <w:b/>
          <w:bCs/>
          <w:sz w:val="24"/>
          <w:szCs w:val="24"/>
        </w:rPr>
        <w:t xml:space="preserve">Scene 12: Donor Portal — My Impact (45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Log out of admin. Log in as the donor test account. Show /my-impact.</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Walk through the authenticated donor experience: (1) hero banner with donor name, care provided metric, total contributions, and Donate / Tax Receipt buttons, (2) three stat cards (Care Provided, Girl-Years Funded, Donations Made), (3) in-app messages strip from admins with unread badge, (4) donation history table (monetary + in-kind with badges), (5) active campaigns with progress bars and Contribute buttons. Mention the safehouse designation label and that all data comes from /api/donorportal/me/* endpoints.</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“Allows an authenticated donor to donate and to view their donation history.”</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Show the in-app messages and tax receipt as “beyond minimum” features.</w:t>
      </w:r>
    </w:p>
    <w:p>
      <w:pPr>
        <w:pStyle w:val="Heading2"/>
        <w:spacing w:after="120" w:before="200"/>
      </w:pPr>
      <w:r>
        <w:rPr>
          <w:rFonts w:ascii="Arial" w:cs="Arial" w:eastAsia="Arial" w:hAnsi="Arial"/>
          <w:b/>
          <w:bCs/>
          <w:sz w:val="24"/>
          <w:szCs w:val="24"/>
        </w:rPr>
        <w:t xml:space="preserve">Scene 13: Additional Pages &amp; Polish (1 min)</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Quick montage of: Tax Receipt (/tax-receipt), Account Settings (/account with dark mode toggle), Staff Dashboard (log in as staff), Safehouses (/safehouses with print-to-PDF), ML Insights (/ml-insights, founder-only), Forgot Password (/forgot-password).</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Quickly highlight additional pages built beyond the core requirements: (1) Tax Receipt page with IRS-compliant written acknowledgment letter, print/save-as-PDF, year picker, (2) Account Settings with dark/light/system theme switcher (persisted in a browser-accessible cookie), change email, change password, delete account, (3) Staff Dashboard showing staff profile, assigned safehouse, upcoming/recent events, (4) Safehouses management page with Print Report for PDF export, (5) ML Insights page integrating 8 ML pipelines with interactive prediction forms, (6) Forgot Password self-service flow. Also mention: role-filtered sidebar navigation, viewport-locked layouts, responsive design, consistent Ember design system throughout.</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“Any additional pages required to support functionality described in other portions of the project.”</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Keep each one to 5–10 seconds. This is the “wow factor” montage.</w:t>
      </w:r>
    </w:p>
    <w:p>
      <w:pPr>
        <w:pStyle w:val="Heading2"/>
        <w:spacing w:after="120" w:before="200"/>
      </w:pPr>
      <w:r>
        <w:rPr>
          <w:rFonts w:ascii="Arial" w:cs="Arial" w:eastAsia="Arial" w:hAnsi="Arial"/>
          <w:b/>
          <w:bCs/>
          <w:sz w:val="24"/>
          <w:szCs w:val="24"/>
        </w:rPr>
        <w:t xml:space="preserve">Scene 14: Tech Quality &amp; Finishing Touches (30 sec)</w:t>
      </w:r>
    </w:p>
    <w:p>
      <w:pPr>
        <w:spacing w:after="80"/>
      </w:pPr>
      <w:r>
        <w:rPr>
          <w:rFonts w:ascii="Arial" w:cs="Arial" w:eastAsia="Arial" w:hAnsi="Arial"/>
          <w:b/>
          <w:bCs/>
          <w:color w:val="2B6777"/>
          <w:sz w:val="19"/>
          <w:szCs w:val="19"/>
        </w:rPr>
        <w:t xml:space="preserve">WHAT TO SHOW ON SCREEN:</w:t>
      </w:r>
    </w:p>
    <w:p>
      <w:pPr>
        <w:spacing w:after="80"/>
      </w:pPr>
      <w:r>
        <w:rPr>
          <w:rFonts w:ascii="Arial" w:cs="Arial" w:eastAsia="Arial" w:hAnsi="Arial"/>
          <w:sz w:val="19"/>
          <w:szCs w:val="19"/>
        </w:rPr>
        <w:t xml:space="preserve">Open browser dev tools briefly to show network requests hitting the Azure API. Resize the browser to show mobile responsiveness.</w:t>
      </w:r>
    </w:p>
    <w:p>
      <w:pPr>
        <w:spacing w:after="80"/>
      </w:pPr>
      <w:r>
        <w:rPr>
          <w:rFonts w:ascii="Arial" w:cs="Arial" w:eastAsia="Arial" w:hAnsi="Arial"/>
          <w:b/>
          <w:bCs/>
          <w:color w:val="2B6777"/>
          <w:sz w:val="19"/>
          <w:szCs w:val="19"/>
        </w:rPr>
        <w:t xml:space="preserve">WHAT TO SAY:</w:t>
      </w:r>
    </w:p>
    <w:p>
      <w:pPr>
        <w:spacing w:after="80"/>
      </w:pPr>
      <w:r>
        <w:rPr>
          <w:rFonts w:ascii="Arial" w:cs="Arial" w:eastAsia="Arial" w:hAnsi="Arial"/>
          <w:sz w:val="19"/>
          <w:szCs w:val="19"/>
        </w:rPr>
        <w:t xml:space="preserve">Summarize code quality highlights: (1) all data from live Azure SQL — no mock data, (2) TypeScript compiles clean with zero errors, (3) consistent Ember design system with Tailwind + shadcn/ui, (4) form validation on every input, (5) error handling with inline messages, (6) responsive design — resize browser to show mobile layout, (7) dark mode fully functional across every page, (8) every delete has a confirmation dialog.</w:t>
      </w:r>
    </w:p>
    <w:p>
      <w:pPr>
        <w:spacing w:after="80"/>
      </w:pPr>
      <w:r>
        <w:rPr>
          <w:rFonts w:ascii="Arial" w:cs="Arial" w:eastAsia="Arial" w:hAnsi="Arial"/>
          <w:b/>
          <w:bCs/>
          <w:color w:val="C0392B"/>
          <w:sz w:val="19"/>
          <w:szCs w:val="19"/>
        </w:rPr>
        <w:t xml:space="preserve">RUBRIC REQUIREMENT:</w:t>
      </w:r>
    </w:p>
    <w:p>
      <w:pPr>
        <w:spacing w:after="80"/>
      </w:pPr>
      <w:r>
        <w:rPr>
          <w:rFonts w:ascii="Arial" w:cs="Arial" w:eastAsia="Arial" w:hAnsi="Arial"/>
          <w:i/>
          <w:iCs/>
          <w:color w:val="555555"/>
          <w:sz w:val="19"/>
          <w:szCs w:val="19"/>
        </w:rPr>
        <w:t xml:space="preserve">“Validate data and handle errors… Pay attention to details and finishing touches—titles, icons, logos, consistent look and feel, pagination, speed.”</w:t>
      </w:r>
    </w:p>
    <w:p>
      <w:pPr>
        <w:pStyle w:val="ListParagraph"/>
        <w:numPr>
          <w:ilvl w:val="0"/>
          <w:numId w:val="2"/>
        </w:numPr>
        <w:spacing w:after="160"/>
      </w:pPr>
      <w:r>
        <w:rPr>
          <w:rFonts w:ascii="Arial" w:cs="Arial" w:eastAsia="Arial" w:hAnsi="Arial"/>
          <w:b/>
          <w:bCs/>
          <w:color w:val="D4A017"/>
          <w:sz w:val="19"/>
          <w:szCs w:val="19"/>
        </w:rPr>
        <w:t xml:space="preserve">TIP: </w:t>
      </w:r>
      <w:r>
        <w:rPr>
          <w:rFonts w:ascii="Arial" w:cs="Arial" w:eastAsia="Arial" w:hAnsi="Arial"/>
          <w:color w:val="666666"/>
          <w:sz w:val="19"/>
          <w:szCs w:val="19"/>
        </w:rPr>
        <w:t xml:space="preserve">Resize the window on camera. Show one network request in dev tools to prove it’s hitting Azure.</w:t>
      </w:r>
    </w:p>
    <w:p>
      <w:pPr>
        <w:pStyle w:val="Heading1"/>
        <w:spacing w:after="120" w:before="200"/>
      </w:pPr>
      <w:r>
        <w:rPr>
          <w:rFonts w:ascii="Arial" w:cs="Arial" w:eastAsia="Arial" w:hAnsi="Arial"/>
          <w:b/>
          <w:bCs/>
          <w:sz w:val="28"/>
          <w:szCs w:val="28"/>
        </w:rPr>
        <w:t xml:space="preserve">Recording Checklist</w:t>
      </w:r>
    </w:p>
    <w:p>
      <w:pPr>
        <w:pStyle w:val="ListParagraph"/>
        <w:numPr>
          <w:ilvl w:val="0"/>
          <w:numId w:val="2"/>
        </w:numPr>
        <w:spacing w:after="80"/>
      </w:pPr>
      <w:r>
        <w:rPr>
          <w:rFonts w:ascii="Arial" w:cs="Arial" w:eastAsia="Arial" w:hAnsi="Arial"/>
          <w:sz w:val="19"/>
          <w:szCs w:val="19"/>
        </w:rPr>
        <w:t xml:space="preserve">Screen resolution is at least 1080p and text is readable</w:t>
      </w:r>
    </w:p>
    <w:p>
      <w:pPr>
        <w:pStyle w:val="ListParagraph"/>
        <w:numPr>
          <w:ilvl w:val="0"/>
          <w:numId w:val="2"/>
        </w:numPr>
        <w:spacing w:after="80"/>
      </w:pPr>
      <w:r>
        <w:rPr>
          <w:rFonts w:ascii="Arial" w:cs="Arial" w:eastAsia="Arial" w:hAnsi="Arial"/>
          <w:sz w:val="19"/>
          <w:szCs w:val="19"/>
        </w:rPr>
        <w:t xml:space="preserve">Audio is clear — use a headset mic, not laptop speakers</w:t>
      </w:r>
    </w:p>
    <w:p>
      <w:pPr>
        <w:pStyle w:val="ListParagraph"/>
        <w:numPr>
          <w:ilvl w:val="0"/>
          <w:numId w:val="2"/>
        </w:numPr>
        <w:spacing w:after="80"/>
      </w:pPr>
      <w:r>
        <w:rPr>
          <w:rFonts w:ascii="Arial" w:cs="Arial" w:eastAsia="Arial" w:hAnsi="Arial"/>
          <w:sz w:val="19"/>
          <w:szCs w:val="19"/>
        </w:rPr>
        <w:t xml:space="preserve">Show the deployed Azure URL in the browser address bar (not localhost)</w:t>
      </w:r>
    </w:p>
    <w:p>
      <w:pPr>
        <w:pStyle w:val="ListParagraph"/>
        <w:numPr>
          <w:ilvl w:val="0"/>
          <w:numId w:val="2"/>
        </w:numPr>
        <w:spacing w:after="80"/>
      </w:pPr>
      <w:r>
        <w:rPr>
          <w:rFonts w:ascii="Arial" w:cs="Arial" w:eastAsia="Arial" w:hAnsi="Arial"/>
          <w:sz w:val="19"/>
          <w:szCs w:val="19"/>
        </w:rPr>
        <w:t xml:space="preserve">Log in with the grading credentials (admin + donor) so TAs see the same accounts</w:t>
      </w:r>
    </w:p>
    <w:p>
      <w:pPr>
        <w:pStyle w:val="ListParagraph"/>
        <w:numPr>
          <w:ilvl w:val="0"/>
          <w:numId w:val="2"/>
        </w:numPr>
        <w:spacing w:after="80"/>
      </w:pPr>
      <w:r>
        <w:rPr>
          <w:rFonts w:ascii="Arial" w:cs="Arial" w:eastAsia="Arial" w:hAnsi="Arial"/>
          <w:sz w:val="19"/>
          <w:szCs w:val="19"/>
        </w:rPr>
        <w:t xml:space="preserve">Show a wrong-password attempt on the Login scene for error handling</w:t>
      </w:r>
    </w:p>
    <w:p>
      <w:pPr>
        <w:pStyle w:val="ListParagraph"/>
        <w:numPr>
          <w:ilvl w:val="0"/>
          <w:numId w:val="2"/>
        </w:numPr>
        <w:spacing w:after="80"/>
      </w:pPr>
      <w:r>
        <w:rPr>
          <w:rFonts w:ascii="Arial" w:cs="Arial" w:eastAsia="Arial" w:hAnsi="Arial"/>
          <w:sz w:val="19"/>
          <w:szCs w:val="19"/>
        </w:rPr>
        <w:t xml:space="preserve">Resize the browser at least once to demonstrate responsive design</w:t>
      </w:r>
    </w:p>
    <w:p>
      <w:pPr>
        <w:pStyle w:val="ListParagraph"/>
        <w:numPr>
          <w:ilvl w:val="0"/>
          <w:numId w:val="2"/>
        </w:numPr>
        <w:spacing w:after="80"/>
      </w:pPr>
      <w:r>
        <w:rPr>
          <w:rFonts w:ascii="Arial" w:cs="Arial" w:eastAsia="Arial" w:hAnsi="Arial"/>
          <w:sz w:val="19"/>
          <w:szCs w:val="19"/>
        </w:rPr>
        <w:t xml:space="preserve">Every delete shown on camera includes the confirmation dialog</w:t>
      </w:r>
    </w:p>
    <w:p>
      <w:pPr>
        <w:pStyle w:val="ListParagraph"/>
        <w:numPr>
          <w:ilvl w:val="0"/>
          <w:numId w:val="2"/>
        </w:numPr>
        <w:spacing w:after="80"/>
      </w:pPr>
      <w:r>
        <w:rPr>
          <w:rFonts w:ascii="Arial" w:cs="Arial" w:eastAsia="Arial" w:hAnsi="Arial"/>
          <w:sz w:val="19"/>
          <w:szCs w:val="19"/>
        </w:rPr>
        <w:t xml:space="preserve">Change the date range on the Reports page to show live data refresh</w:t>
      </w:r>
    </w:p>
    <w:p>
      <w:pPr>
        <w:pStyle w:val="ListParagraph"/>
        <w:numPr>
          <w:ilvl w:val="0"/>
          <w:numId w:val="2"/>
        </w:numPr>
        <w:spacing w:after="80"/>
      </w:pPr>
      <w:r>
        <w:rPr>
          <w:rFonts w:ascii="Arial" w:cs="Arial" w:eastAsia="Arial" w:hAnsi="Arial"/>
          <w:sz w:val="19"/>
          <w:szCs w:val="19"/>
        </w:rPr>
        <w:t xml:space="preserve">Total video length stays under 12 minutes — graders stop granting points when videos ramble</w:t>
      </w:r>
    </w:p>
    <w:p>
      <w:pPr>
        <w:pStyle w:val="ListParagraph"/>
        <w:numPr>
          <w:ilvl w:val="0"/>
          <w:numId w:val="2"/>
        </w:numPr>
        <w:spacing w:after="80"/>
      </w:pPr>
      <w:r>
        <w:rPr>
          <w:rFonts w:ascii="Arial" w:cs="Arial" w:eastAsia="Arial" w:hAnsi="Arial"/>
          <w:sz w:val="19"/>
          <w:szCs w:val="19"/>
        </w:rPr>
        <w:t xml:space="preserve">Watch the final recording end-to-end before submitting — check for wrong-screen captures</w:t>
      </w:r>
    </w:p>
    <w:p>
      <w:pPr>
        <w:pStyle w:val="ListParagraph"/>
        <w:numPr>
          <w:ilvl w:val="0"/>
          <w:numId w:val="2"/>
        </w:numPr>
        <w:spacing w:after="80"/>
      </w:pPr>
      <w:r>
        <w:rPr>
          <w:rFonts w:ascii="Arial" w:cs="Arial" w:eastAsia="Arial" w:hAnsi="Arial"/>
          <w:sz w:val="19"/>
          <w:szCs w:val="19"/>
        </w:rPr>
        <w:t xml:space="preserve">Upload to a public/unlisted host (YouTube, Box, Dropbox) and verify the link works in an incognito window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777" w:sz="4" w:space="4"/>
      </w:pBdr>
      <w:jc w:val="right"/>
    </w:pPr>
    <w:r>
      <w:rPr>
        <w:rFonts w:ascii="Arial" w:cs="Arial" w:eastAsia="Arial" w:hAnsi="Arial"/>
        <w:i/>
        <w:iCs/>
        <w:color w:val="999999"/>
        <w:sz w:val="18"/>
        <w:szCs w:val="18"/>
      </w:rPr>
      <w:t xml:space="preserve">IS 413 Video Outline</w:t>
    </w:r>
    <w:r>
      <w:rPr>
        <w:rFonts w:ascii="Arial" w:cs="Arial" w:eastAsia="Arial" w:hAnsi="Arial"/>
        <w:b/>
        <w:bCs/>
        <w:color w:val="2B6777"/>
        <w:sz w:val="18"/>
        <w:szCs w:val="18"/>
      </w:rPr>
      <w:t xml:space="preserve">  —  Ember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B6777"/>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B6777"/>
      <w:sz w:val="24"/>
      <w:szCs w:val="24"/>
    </w:rPr>
  </w:style>
  <w:style w:type="character" w:styleId="BoldTeal">
    <w:name w:val="Bold Teal"/>
    <w:basedOn w:val="Default Paragraph Font"/>
    <w:uiPriority w:val="99"/>
    <w:unhideWhenUsed/>
    <w:rPr>
      <w:b/>
      <w:bCs/>
      <w:color w:val="2B677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2026-04-10T00:05:54.442Z</dcterms:created>
  <dcterms:modified xsi:type="dcterms:W3CDTF">2026-04-10T00:05:54.442Z</dcterms:modified>
</cp:coreProperties>
</file>

<file path=docProps/custom.xml><?xml version="1.0" encoding="utf-8"?>
<Properties xmlns="http://schemas.openxmlformats.org/officeDocument/2006/custom-properties" xmlns:vt="http://schemas.openxmlformats.org/officeDocument/2006/docPropsVTypes"/>
</file>