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C84B31"/>
          <w:sz w:val="48"/>
          <w:szCs w:val="48"/>
        </w:rPr>
        <w:t xml:space="preserve">INTEX W26 — Final QA Audit Report</w:t>
      </w:r>
    </w:p>
    <w:p>
      <w:pPr>
        <w:spacing w:after="80"/>
        <w:jc w:val="center"/>
      </w:pPr>
      <w:r>
        <w:rPr>
          <w:rFonts w:ascii="Arial" w:cs="Arial" w:eastAsia="Arial" w:hAnsi="Arial"/>
          <w:color w:val="666666"/>
          <w:sz w:val="26"/>
          <w:szCs w:val="26"/>
        </w:rPr>
        <w:t xml:space="preserve">Edge Case Testing, Accessibility Audit &amp; Code Fixes</w:t>
      </w:r>
    </w:p>
    <w:p>
      <w:pPr>
        <w:spacing w:after="400"/>
        <w:jc w:val="center"/>
      </w:pPr>
      <w:r>
        <w:rPr>
          <w:rFonts w:ascii="Arial" w:cs="Arial" w:eastAsia="Arial" w:hAnsi="Arial"/>
          <w:color w:val="999999"/>
          <w:sz w:val="22"/>
          <w:szCs w:val="22"/>
        </w:rPr>
        <w:t xml:space="preserve">Prepared for David • April 9, 2026</w:t>
      </w:r>
    </w:p>
    <w:p>
      <w:pPr>
        <w:pStyle w:val="Heading1"/>
      </w:pPr>
      <w:r>
        <w:t xml:space="preserve">Executive Summary</w:t>
      </w:r>
    </w:p>
    <w:p>
      <w:pPr>
        <w:spacing w:after="200"/>
      </w:pPr>
      <w:r>
        <w:rPr>
          <w:rFonts w:ascii="Arial" w:cs="Arial" w:eastAsia="Arial" w:hAnsi="Arial"/>
          <w:sz w:val="22"/>
          <w:szCs w:val="22"/>
        </w:rPr>
        <w:t xml:space="preserve">A comprehensive audit was performed on the Ember Foundation web application covering three areas: (1) file integrity, (2) accessibility/Lighthouse compliance, and (3) edge-case resilience. The audit identified 5 truncated source files, 18 accessibility violations, 6 edge-case vulnerabilities, and 1 redundant UI element. All issues were fixed in-place, and the final TypeScript compilation passes with zero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1560"/>
        <w:gridCol w:w="1560"/>
      </w:tblGrid>
      <w:tr>
        <w:tc>
          <w:tcPr>
            <w:tcW w:type="dxa" w:w="4680"/>
            <w:tcBorders>
              <w:top w:val="single" w:color="CCCCCC" w:sz="1"/>
              <w:left w:val="single" w:color="CCCCCC" w:sz="1"/>
              <w:bottom w:val="single" w:color="CCCCCC" w:sz="1"/>
              <w:right w:val="single" w:color="CCCCCC" w:sz="1"/>
            </w:tcBorders>
            <w:shd w:fill="C84B31" w:val="clear"/>
            <w:tcMar>
              <w:top w:type="dxa" w:w="60"/>
              <w:left w:type="dxa" w:w="100"/>
              <w:bottom w:type="dxa" w:w="60"/>
              <w:right w:type="dxa" w:w="100"/>
            </w:tcMar>
            <w:vAlign w:val="center"/>
          </w:tcPr>
          <w:p>
            <w:r>
              <w:rPr>
                <w:rFonts w:ascii="Arial" w:cs="Arial" w:eastAsia="Arial" w:hAnsi="Arial"/>
                <w:b/>
                <w:bCs/>
                <w:color w:val="FFFFFF"/>
                <w:sz w:val="20"/>
                <w:szCs w:val="20"/>
              </w:rPr>
              <w:t xml:space="preserve">Category</w:t>
            </w:r>
          </w:p>
        </w:tc>
        <w:tc>
          <w:tcPr>
            <w:tcW w:type="dxa" w:w="1560"/>
            <w:tcBorders>
              <w:top w:val="single" w:color="CCCCCC" w:sz="1"/>
              <w:left w:val="single" w:color="CCCCCC" w:sz="1"/>
              <w:bottom w:val="single" w:color="CCCCCC" w:sz="1"/>
              <w:right w:val="single" w:color="CCCCCC" w:sz="1"/>
            </w:tcBorders>
            <w:shd w:fill="C84B31" w:val="clear"/>
            <w:tcMar>
              <w:top w:type="dxa" w:w="60"/>
              <w:left w:type="dxa" w:w="100"/>
              <w:bottom w:type="dxa" w:w="60"/>
              <w:right w:type="dxa" w:w="100"/>
            </w:tcMar>
            <w:vAlign w:val="center"/>
          </w:tcPr>
          <w:p>
            <w:r>
              <w:rPr>
                <w:rFonts w:ascii="Arial" w:cs="Arial" w:eastAsia="Arial" w:hAnsi="Arial"/>
                <w:b/>
                <w:bCs/>
                <w:color w:val="FFFFFF"/>
                <w:sz w:val="20"/>
                <w:szCs w:val="20"/>
              </w:rPr>
              <w:t xml:space="preserve">Found</w:t>
            </w:r>
          </w:p>
        </w:tc>
        <w:tc>
          <w:tcPr>
            <w:tcW w:type="dxa" w:w="1560"/>
            <w:tcBorders>
              <w:top w:val="single" w:color="CCCCCC" w:sz="1"/>
              <w:left w:val="single" w:color="CCCCCC" w:sz="1"/>
              <w:bottom w:val="single" w:color="CCCCCC" w:sz="1"/>
              <w:right w:val="single" w:color="CCCCCC" w:sz="1"/>
            </w:tcBorders>
            <w:shd w:fill="C84B31" w:val="clear"/>
            <w:tcMar>
              <w:top w:type="dxa" w:w="60"/>
              <w:left w:type="dxa" w:w="100"/>
              <w:bottom w:type="dxa" w:w="60"/>
              <w:right w:type="dxa" w:w="100"/>
            </w:tcMar>
            <w:vAlign w:val="center"/>
          </w:tcPr>
          <w:p>
            <w:r>
              <w:rPr>
                <w:rFonts w:ascii="Arial" w:cs="Arial" w:eastAsia="Arial" w:hAnsi="Arial"/>
                <w:b/>
                <w:bCs/>
                <w:color w:val="FFFFFF"/>
                <w:sz w:val="20"/>
                <w:szCs w:val="20"/>
              </w:rPr>
              <w:t xml:space="preserve">Fixed</w:t>
            </w:r>
          </w:p>
        </w:tc>
        <w:tc>
          <w:tcPr>
            <w:tcW w:type="dxa" w:w="1560"/>
            <w:tcBorders>
              <w:top w:val="single" w:color="CCCCCC" w:sz="1"/>
              <w:left w:val="single" w:color="CCCCCC" w:sz="1"/>
              <w:bottom w:val="single" w:color="CCCCCC" w:sz="1"/>
              <w:right w:val="single" w:color="CCCCCC" w:sz="1"/>
            </w:tcBorders>
            <w:shd w:fill="C84B31" w:val="clear"/>
            <w:tcMar>
              <w:top w:type="dxa" w:w="60"/>
              <w:left w:type="dxa" w:w="100"/>
              <w:bottom w:type="dxa" w:w="60"/>
              <w:right w:type="dxa" w:w="100"/>
            </w:tcMar>
            <w:vAlign w:val="center"/>
          </w:tcPr>
          <w:p>
            <w:r>
              <w:rPr>
                <w:rFonts w:ascii="Arial" w:cs="Arial" w:eastAsia="Arial" w:hAnsi="Arial"/>
                <w:b/>
                <w:bCs/>
                <w:color w:val="FFFFFF"/>
                <w:sz w:val="20"/>
                <w:szCs w:val="20"/>
              </w:rPr>
              <w:t xml:space="preserve">Remaining</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Truncated / corrupted files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Accessibility violations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18</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18</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Edge-case vulnerabilities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6</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6</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Redundant UI elements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TOTAL</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30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30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55724"/>
                <w:sz w:val="20"/>
                <w:szCs w:val="20"/>
              </w:rPr>
              <w:t xml:space="preserve">0</w:t>
            </w:r>
          </w:p>
        </w:tc>
      </w:tr>
    </w:tbl>
    <w:p>
      <w:pPr>
        <w:spacing w:before="200"/>
      </w:pPr>
    </w:p>
    <w:p>
      <w:pPr>
        <w:pStyle w:val="Heading1"/>
      </w:pPr>
      <w:r>
        <w:t xml:space="preserve">1. File Integrity — Truncated Source Files</w:t>
      </w:r>
    </w:p>
    <w:p>
      <w:pPr>
        <w:spacing w:after="200"/>
      </w:pPr>
      <w:r>
        <w:rPr>
          <w:rFonts w:ascii="Arial" w:cs="Arial" w:eastAsia="Arial" w:hAnsi="Arial"/>
          <w:sz w:val="22"/>
          <w:szCs w:val="22"/>
        </w:rPr>
        <w:t xml:space="preserve">The stale-working-tree issue documented in CLAUDE.md continues to affect the repository. Five frontend files were found truncated on disk (missing their final 3–108 lines), causing TypeScript compilation errors on unclosed JSX tags. All were restored from git HEAD before any other work began.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1200"/>
        <w:gridCol w:w="1600"/>
        <w:gridCol w:w="1560"/>
      </w:tblGrid>
      <w:tr>
        <w:tc>
          <w:tcPr>
            <w:tcW w:type="dxa" w:w="3800"/>
            <w:tcBorders>
              <w:top w:val="single" w:color="CCCCCC" w:sz="1"/>
              <w:left w:val="single" w:color="CCCCCC" w:sz="1"/>
              <w:bottom w:val="single" w:color="CCCCCC" w:sz="1"/>
              <w:right w:val="single" w:color="CCCCCC" w:sz="1"/>
            </w:tcBorders>
            <w:shd w:fill="C84B31" w:val="clear"/>
            <w:tcMar>
              <w:top w:type="dxa" w:w="60"/>
              <w:left w:type="dxa" w:w="100"/>
              <w:bottom w:type="dxa" w:w="60"/>
              <w:right w:type="dxa" w:w="100"/>
            </w:tcMar>
            <w:vAlign w:val="center"/>
          </w:tcPr>
          <w:p>
            <w:r>
              <w:rPr>
                <w:rFonts w:ascii="Arial" w:cs="Arial" w:eastAsia="Arial" w:hAnsi="Arial"/>
                <w:b/>
                <w:bCs/>
                <w:color w:val="FFFFFF"/>
                <w:sz w:val="20"/>
                <w:szCs w:val="20"/>
              </w:rPr>
              <w:t xml:space="preserve">File</w:t>
            </w:r>
          </w:p>
        </w:tc>
        <w:tc>
          <w:tcPr>
            <w:tcW w:type="dxa" w:w="1200"/>
            <w:tcBorders>
              <w:top w:val="single" w:color="CCCCCC" w:sz="1"/>
              <w:left w:val="single" w:color="CCCCCC" w:sz="1"/>
              <w:bottom w:val="single" w:color="CCCCCC" w:sz="1"/>
              <w:right w:val="single" w:color="CCCCCC" w:sz="1"/>
            </w:tcBorders>
            <w:shd w:fill="C84B31" w:val="clear"/>
            <w:tcMar>
              <w:top w:type="dxa" w:w="60"/>
              <w:left w:type="dxa" w:w="100"/>
              <w:bottom w:type="dxa" w:w="60"/>
              <w:right w:type="dxa" w:w="100"/>
            </w:tcMar>
            <w:vAlign w:val="center"/>
          </w:tcPr>
          <w:p>
            <w:r>
              <w:rPr>
                <w:rFonts w:ascii="Arial" w:cs="Arial" w:eastAsia="Arial" w:hAnsi="Arial"/>
                <w:b/>
                <w:bCs/>
                <w:color w:val="FFFFFF"/>
                <w:sz w:val="20"/>
                <w:szCs w:val="20"/>
              </w:rPr>
              <w:t xml:space="preserve">HEAD</w:t>
            </w:r>
          </w:p>
        </w:tc>
        <w:tc>
          <w:tcPr>
            <w:tcW w:type="dxa" w:w="1200"/>
            <w:tcBorders>
              <w:top w:val="single" w:color="CCCCCC" w:sz="1"/>
              <w:left w:val="single" w:color="CCCCCC" w:sz="1"/>
              <w:bottom w:val="single" w:color="CCCCCC" w:sz="1"/>
              <w:right w:val="single" w:color="CCCCCC" w:sz="1"/>
            </w:tcBorders>
            <w:shd w:fill="C84B31" w:val="clear"/>
            <w:tcMar>
              <w:top w:type="dxa" w:w="60"/>
              <w:left w:type="dxa" w:w="100"/>
              <w:bottom w:type="dxa" w:w="60"/>
              <w:right w:type="dxa" w:w="100"/>
            </w:tcMar>
            <w:vAlign w:val="center"/>
          </w:tcPr>
          <w:p>
            <w:r>
              <w:rPr>
                <w:rFonts w:ascii="Arial" w:cs="Arial" w:eastAsia="Arial" w:hAnsi="Arial"/>
                <w:b/>
                <w:bCs/>
                <w:color w:val="FFFFFF"/>
                <w:sz w:val="20"/>
                <w:szCs w:val="20"/>
              </w:rPr>
              <w:t xml:space="preserve">Disk</w:t>
            </w:r>
          </w:p>
        </w:tc>
        <w:tc>
          <w:tcPr>
            <w:tcW w:type="dxa" w:w="1600"/>
            <w:tcBorders>
              <w:top w:val="single" w:color="CCCCCC" w:sz="1"/>
              <w:left w:val="single" w:color="CCCCCC" w:sz="1"/>
              <w:bottom w:val="single" w:color="CCCCCC" w:sz="1"/>
              <w:right w:val="single" w:color="CCCCCC" w:sz="1"/>
            </w:tcBorders>
            <w:shd w:fill="C84B31" w:val="clear"/>
            <w:tcMar>
              <w:top w:type="dxa" w:w="60"/>
              <w:left w:type="dxa" w:w="100"/>
              <w:bottom w:type="dxa" w:w="60"/>
              <w:right w:type="dxa" w:w="100"/>
            </w:tcMar>
            <w:vAlign w:val="center"/>
          </w:tcPr>
          <w:p>
            <w:r>
              <w:rPr>
                <w:rFonts w:ascii="Arial" w:cs="Arial" w:eastAsia="Arial" w:hAnsi="Arial"/>
                <w:b/>
                <w:bCs/>
                <w:color w:val="FFFFFF"/>
                <w:sz w:val="20"/>
                <w:szCs w:val="20"/>
              </w:rPr>
              <w:t xml:space="preserve">Lines Lost</w:t>
            </w:r>
          </w:p>
        </w:tc>
        <w:tc>
          <w:tcPr>
            <w:tcW w:type="dxa" w:w="1560"/>
            <w:tcBorders>
              <w:top w:val="single" w:color="CCCCCC" w:sz="1"/>
              <w:left w:val="single" w:color="CCCCCC" w:sz="1"/>
              <w:bottom w:val="single" w:color="CCCCCC" w:sz="1"/>
              <w:right w:val="single" w:color="CCCCCC" w:sz="1"/>
            </w:tcBorders>
            <w:shd w:fill="C84B31"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ThemeContext.tsx</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97</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w:t>
            </w:r>
          </w:p>
        </w:tc>
        <w:tc>
          <w:tcPr>
            <w:tcW w:type="dxa" w:w="15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20"/>
                <w:szCs w:val="20"/>
              </w:rPr>
              <w:t xml:space="preserve">FIXED</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Donate.tsx</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898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790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108</w:t>
            </w:r>
          </w:p>
        </w:tc>
        <w:tc>
          <w:tcPr>
            <w:tcW w:type="dxa" w:w="15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20"/>
                <w:szCs w:val="20"/>
              </w:rPr>
              <w:t xml:space="preserve">FIXED</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HomeVisitation.tsx</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832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628</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204</w:t>
            </w:r>
          </w:p>
        </w:tc>
        <w:tc>
          <w:tcPr>
            <w:tcW w:type="dxa" w:w="15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20"/>
                <w:szCs w:val="20"/>
              </w:rPr>
              <w:t xml:space="preserve">FIXED</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Index.tsx</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421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421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null bytes</w:t>
            </w:r>
          </w:p>
        </w:tc>
        <w:tc>
          <w:tcPr>
            <w:tcW w:type="dxa" w:w="15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20"/>
                <w:szCs w:val="20"/>
              </w:rPr>
              <w:t xml:space="preserve">FIXED</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MLInsights.tsx</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1591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1584</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7</w:t>
            </w:r>
          </w:p>
        </w:tc>
        <w:tc>
          <w:tcPr>
            <w:tcW w:type="dxa" w:w="15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20"/>
                <w:szCs w:val="20"/>
              </w:rPr>
              <w:t xml:space="preserve">FIXED</w:t>
            </w:r>
          </w:p>
        </w:tc>
      </w:tr>
    </w:tbl>
    <w:p>
      <w:pPr>
        <w:spacing w:before="200"/>
      </w:pPr>
    </w:p>
    <w:p>
      <w:pPr>
        <w:pStyle w:val="Heading1"/>
      </w:pPr>
      <w:r>
        <w:t xml:space="preserve">2. Accessibility Audit &amp; Fixes</w:t>
      </w:r>
    </w:p>
    <w:p>
      <w:pPr>
        <w:spacing w:after="200"/>
      </w:pPr>
      <w:r>
        <w:rPr>
          <w:rFonts w:ascii="Arial" w:cs="Arial" w:eastAsia="Arial" w:hAnsi="Arial"/>
          <w:sz w:val="22"/>
          <w:szCs w:val="22"/>
        </w:rPr>
        <w:t xml:space="preserve">Every page and shared component was audited for WCAG 2.1 AA compliance. The following categories of issues were found and fixed:</w:t>
      </w:r>
    </w:p>
    <w:p>
      <w:pPr>
        <w:pStyle w:val="Heading2"/>
      </w:pPr>
      <w:r>
        <w:t xml:space="preserve">2.1 Skip-to-Content Link</w:t>
      </w:r>
    </w:p>
    <w:p>
      <w:pPr>
        <w:spacing w:after="120"/>
      </w:pPr>
      <w:r>
        <w:rPr>
          <w:rFonts w:ascii="Arial" w:cs="Arial" w:eastAsia="Arial" w:hAnsi="Arial"/>
          <w:sz w:val="22"/>
          <w:szCs w:val="22"/>
        </w:rPr>
        <w:t xml:space="preserve">Added a screen-reader-only skip link at the top of Index.tsx (the public landing page). It becomes visible on keyboard focus and jumps to &lt;main id="main-content"&gt;, allowing keyboard users to bypass the sticky header and navigation. This is a Lighthouse best practice item.</w:t>
      </w:r>
    </w:p>
    <w:p>
      <w:pPr>
        <w:pStyle w:val="Heading2"/>
      </w:pPr>
      <w:r>
        <w:t xml:space="preserve">2.2 Semantic HTML &amp; Heading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c>
          <w:tcPr>
            <w:tcW w:type="dxa" w:w="2400"/>
            <w:tcBorders>
              <w:top w:val="single" w:color="CCCCCC" w:sz="1"/>
              <w:left w:val="single" w:color="CCCCCC" w:sz="1"/>
              <w:bottom w:val="single" w:color="CCCCCC" w:sz="1"/>
              <w:right w:val="single" w:color="CCCCCC" w:sz="1"/>
            </w:tcBorders>
            <w:shd w:fill="C84B31" w:val="clear"/>
            <w:tcMar>
              <w:top w:type="dxa" w:w="60"/>
              <w:left w:type="dxa" w:w="100"/>
              <w:bottom w:type="dxa" w:w="60"/>
              <w:right w:type="dxa" w:w="100"/>
            </w:tcMar>
            <w:vAlign w:val="center"/>
          </w:tcPr>
          <w:p>
            <w:r>
              <w:rPr>
                <w:rFonts w:ascii="Arial" w:cs="Arial" w:eastAsia="Arial" w:hAnsi="Arial"/>
                <w:b/>
                <w:bCs/>
                <w:color w:val="FFFFFF"/>
                <w:sz w:val="20"/>
                <w:szCs w:val="20"/>
              </w:rPr>
              <w:t xml:space="preserve">File</w:t>
            </w:r>
          </w:p>
        </w:tc>
        <w:tc>
          <w:tcPr>
            <w:tcW w:type="dxa" w:w="4400"/>
            <w:tcBorders>
              <w:top w:val="single" w:color="CCCCCC" w:sz="1"/>
              <w:left w:val="single" w:color="CCCCCC" w:sz="1"/>
              <w:bottom w:val="single" w:color="CCCCCC" w:sz="1"/>
              <w:right w:val="single" w:color="CCCCCC" w:sz="1"/>
            </w:tcBorders>
            <w:shd w:fill="C84B31" w:val="clear"/>
            <w:tcMar>
              <w:top w:type="dxa" w:w="60"/>
              <w:left w:type="dxa" w:w="100"/>
              <w:bottom w:type="dxa" w:w="60"/>
              <w:right w:type="dxa" w:w="100"/>
            </w:tcMar>
            <w:vAlign w:val="center"/>
          </w:tcPr>
          <w:p>
            <w:r>
              <w:rPr>
                <w:rFonts w:ascii="Arial" w:cs="Arial" w:eastAsia="Arial" w:hAnsi="Arial"/>
                <w:b/>
                <w:bCs/>
                <w:color w:val="FFFFFF"/>
                <w:sz w:val="20"/>
                <w:szCs w:val="20"/>
              </w:rPr>
              <w:t xml:space="preserve">Issue &amp; Fix</w:t>
            </w:r>
          </w:p>
        </w:tc>
        <w:tc>
          <w:tcPr>
            <w:tcW w:type="dxa" w:w="2560"/>
            <w:tcBorders>
              <w:top w:val="single" w:color="CCCCCC" w:sz="1"/>
              <w:left w:val="single" w:color="CCCCCC" w:sz="1"/>
              <w:bottom w:val="single" w:color="CCCCCC" w:sz="1"/>
              <w:right w:val="single" w:color="CCCCCC" w:sz="1"/>
            </w:tcBorders>
            <w:shd w:fill="C84B31"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Index.tsx</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Footer headings jumped from &lt;h2&gt; to &lt;h4&gt;. Changed to &lt;h3&gt; for valid hierarchy.</w:t>
            </w:r>
          </w:p>
        </w:tc>
        <w:tc>
          <w:tcPr>
            <w:tcW w:type="dxa" w:w="25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20"/>
                <w:szCs w:val="20"/>
              </w:rPr>
              <w:t xml:space="preserve">FIXED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ProtectedRoute.tsx</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Loading state lacked role="status". Access-denied screens lacked role="alert". Both fixed, plus added navigation links back to dashboard.</w:t>
            </w:r>
          </w:p>
        </w:tc>
        <w:tc>
          <w:tcPr>
            <w:tcW w:type="dxa" w:w="25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20"/>
                <w:szCs w:val="20"/>
              </w:rPr>
              <w:t xml:space="preserve">FIXED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NotFound.tsx</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Added role="alert" on container. Added document.title effect ("Page Not Found") for screen reader context.</w:t>
            </w:r>
          </w:p>
        </w:tc>
        <w:tc>
          <w:tcPr>
            <w:tcW w:type="dxa" w:w="25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20"/>
                <w:szCs w:val="20"/>
              </w:rPr>
              <w:t xml:space="preserve">FIXED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DashboardLayout.tsx</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Sidebar &lt;nav&gt; and &lt;aside&gt; lacked aria-labels. Mobile overlay lacked role="presentation". All fixed.</w:t>
            </w:r>
          </w:p>
        </w:tc>
        <w:tc>
          <w:tcPr>
            <w:tcW w:type="dxa" w:w="25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20"/>
                <w:szCs w:val="20"/>
              </w:rPr>
              <w:t xml:space="preserve">FIXED</w:t>
            </w:r>
          </w:p>
        </w:tc>
      </w:tr>
    </w:tbl>
    <w:p>
      <w:pPr>
        <w:spacing w:before="200"/>
      </w:pPr>
    </w:p>
    <w:p>
      <w:pPr>
        <w:pStyle w:val="Heading2"/>
      </w:pPr>
      <w:r>
        <w:t xml:space="preserve">2.3 ARIA Attributes &amp; Decorative Icons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c>
          <w:tcPr>
            <w:tcW w:type="dxa" w:w="2400"/>
            <w:tcBorders>
              <w:top w:val="single" w:color="CCCCCC" w:sz="1"/>
              <w:left w:val="single" w:color="CCCCCC" w:sz="1"/>
              <w:bottom w:val="single" w:color="CCCCCC" w:sz="1"/>
              <w:right w:val="single" w:color="CCCCCC" w:sz="1"/>
            </w:tcBorders>
            <w:shd w:fill="C84B31" w:val="clear"/>
            <w:tcMar>
              <w:top w:type="dxa" w:w="60"/>
              <w:left w:type="dxa" w:w="100"/>
              <w:bottom w:type="dxa" w:w="60"/>
              <w:right w:type="dxa" w:w="100"/>
            </w:tcMar>
            <w:vAlign w:val="center"/>
          </w:tcPr>
          <w:p>
            <w:r>
              <w:rPr>
                <w:rFonts w:ascii="Arial" w:cs="Arial" w:eastAsia="Arial" w:hAnsi="Arial"/>
                <w:b/>
                <w:bCs/>
                <w:color w:val="FFFFFF"/>
                <w:sz w:val="20"/>
                <w:szCs w:val="20"/>
              </w:rPr>
              <w:t xml:space="preserve">File</w:t>
            </w:r>
          </w:p>
        </w:tc>
        <w:tc>
          <w:tcPr>
            <w:tcW w:type="dxa" w:w="4400"/>
            <w:tcBorders>
              <w:top w:val="single" w:color="CCCCCC" w:sz="1"/>
              <w:left w:val="single" w:color="CCCCCC" w:sz="1"/>
              <w:bottom w:val="single" w:color="CCCCCC" w:sz="1"/>
              <w:right w:val="single" w:color="CCCCCC" w:sz="1"/>
            </w:tcBorders>
            <w:shd w:fill="C84B31" w:val="clear"/>
            <w:tcMar>
              <w:top w:type="dxa" w:w="60"/>
              <w:left w:type="dxa" w:w="100"/>
              <w:bottom w:type="dxa" w:w="60"/>
              <w:right w:type="dxa" w:w="100"/>
            </w:tcMar>
            <w:vAlign w:val="center"/>
          </w:tcPr>
          <w:p>
            <w:r>
              <w:rPr>
                <w:rFonts w:ascii="Arial" w:cs="Arial" w:eastAsia="Arial" w:hAnsi="Arial"/>
                <w:b/>
                <w:bCs/>
                <w:color w:val="FFFFFF"/>
                <w:sz w:val="20"/>
                <w:szCs w:val="20"/>
              </w:rPr>
              <w:t xml:space="preserve">Issue &amp; Fix</w:t>
            </w:r>
          </w:p>
        </w:tc>
        <w:tc>
          <w:tcPr>
            <w:tcW w:type="dxa" w:w="2560"/>
            <w:tcBorders>
              <w:top w:val="single" w:color="CCCCCC" w:sz="1"/>
              <w:left w:val="single" w:color="CCCCCC" w:sz="1"/>
              <w:bottom w:val="single" w:color="CCCCCC" w:sz="1"/>
              <w:right w:val="single" w:color="CCCCCC" w:sz="1"/>
            </w:tcBorders>
            <w:shd w:fill="C84B31"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DashboardLayout.tsx</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Flame icon in sidebar brand link and all nav item icons lacked aria-hidden="true". Fixed across 3 render locations.</w:t>
            </w:r>
          </w:p>
        </w:tc>
        <w:tc>
          <w:tcPr>
            <w:tcW w:type="dxa" w:w="25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20"/>
                <w:szCs w:val="20"/>
              </w:rPr>
              <w:t xml:space="preserve">FIXED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Login.tsx</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Both Flame icons (brand panel + mobile header) lacked aria-hidden="true". Fixed.</w:t>
            </w:r>
          </w:p>
        </w:tc>
        <w:tc>
          <w:tcPr>
            <w:tcW w:type="dxa" w:w="25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20"/>
                <w:szCs w:val="20"/>
              </w:rPr>
              <w:t xml:space="preserve">FIXED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Index.tsx</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Dismiss-banner X icon lacked aria-hidden="true". Fixed.</w:t>
            </w:r>
          </w:p>
        </w:tc>
        <w:tc>
          <w:tcPr>
            <w:tcW w:type="dxa" w:w="25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20"/>
                <w:szCs w:val="20"/>
              </w:rPr>
              <w:t xml:space="preserve">FIXED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Dashboard.tsx</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Social Media Overview CardTitle gained conditional aria-label ("data pending" when no data).</w:t>
            </w:r>
          </w:p>
        </w:tc>
        <w:tc>
          <w:tcPr>
            <w:tcW w:type="dxa" w:w="25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20"/>
                <w:szCs w:val="20"/>
              </w:rPr>
              <w:t xml:space="preserve">FIXED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FlipCard.tsx</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aria-label gave instructions ("press Enter") instead of describing state. Rewritten to "{title}, click to expand" / "{title} details, expanded".</w:t>
            </w:r>
          </w:p>
        </w:tc>
        <w:tc>
          <w:tcPr>
            <w:tcW w:type="dxa" w:w="25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20"/>
                <w:szCs w:val="20"/>
              </w:rPr>
              <w:t xml:space="preserve">FIXED</w:t>
            </w:r>
          </w:p>
        </w:tc>
      </w:tr>
    </w:tbl>
    <w:p>
      <w:pPr>
        <w:spacing w:before="200"/>
      </w:pPr>
    </w:p>
    <w:p>
      <w:pPr>
        <w:pStyle w:val="Heading2"/>
      </w:pPr>
      <w:r>
        <w:t xml:space="preserve">2.4 Keyboard Focus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c>
          <w:tcPr>
            <w:tcW w:type="dxa" w:w="2400"/>
            <w:tcBorders>
              <w:top w:val="single" w:color="CCCCCC" w:sz="1"/>
              <w:left w:val="single" w:color="CCCCCC" w:sz="1"/>
              <w:bottom w:val="single" w:color="CCCCCC" w:sz="1"/>
              <w:right w:val="single" w:color="CCCCCC" w:sz="1"/>
            </w:tcBorders>
            <w:shd w:fill="C84B31" w:val="clear"/>
            <w:tcMar>
              <w:top w:type="dxa" w:w="60"/>
              <w:left w:type="dxa" w:w="100"/>
              <w:bottom w:type="dxa" w:w="60"/>
              <w:right w:type="dxa" w:w="100"/>
            </w:tcMar>
            <w:vAlign w:val="center"/>
          </w:tcPr>
          <w:p>
            <w:r>
              <w:rPr>
                <w:rFonts w:ascii="Arial" w:cs="Arial" w:eastAsia="Arial" w:hAnsi="Arial"/>
                <w:b/>
                <w:bCs/>
                <w:color w:val="FFFFFF"/>
                <w:sz w:val="20"/>
                <w:szCs w:val="20"/>
              </w:rPr>
              <w:t xml:space="preserve">File</w:t>
            </w:r>
          </w:p>
        </w:tc>
        <w:tc>
          <w:tcPr>
            <w:tcW w:type="dxa" w:w="4400"/>
            <w:tcBorders>
              <w:top w:val="single" w:color="CCCCCC" w:sz="1"/>
              <w:left w:val="single" w:color="CCCCCC" w:sz="1"/>
              <w:bottom w:val="single" w:color="CCCCCC" w:sz="1"/>
              <w:right w:val="single" w:color="CCCCCC" w:sz="1"/>
            </w:tcBorders>
            <w:shd w:fill="C84B31" w:val="clear"/>
            <w:tcMar>
              <w:top w:type="dxa" w:w="60"/>
              <w:left w:type="dxa" w:w="100"/>
              <w:bottom w:type="dxa" w:w="60"/>
              <w:right w:type="dxa" w:w="100"/>
            </w:tcMar>
            <w:vAlign w:val="center"/>
          </w:tcPr>
          <w:p>
            <w:r>
              <w:rPr>
                <w:rFonts w:ascii="Arial" w:cs="Arial" w:eastAsia="Arial" w:hAnsi="Arial"/>
                <w:b/>
                <w:bCs/>
                <w:color w:val="FFFFFF"/>
                <w:sz w:val="20"/>
                <w:szCs w:val="20"/>
              </w:rPr>
              <w:t xml:space="preserve">Issue &amp; Fix</w:t>
            </w:r>
          </w:p>
        </w:tc>
        <w:tc>
          <w:tcPr>
            <w:tcW w:type="dxa" w:w="2560"/>
            <w:tcBorders>
              <w:top w:val="single" w:color="CCCCCC" w:sz="1"/>
              <w:left w:val="single" w:color="CCCCCC" w:sz="1"/>
              <w:bottom w:val="single" w:color="CCCCCC" w:sz="1"/>
              <w:right w:val="single" w:color="CCCCCC" w:sz="1"/>
            </w:tcBorders>
            <w:shd w:fill="C84B31"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CookieConsent.tsx</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Both buttons lacked focus-visible ring. Added focus-visible:ring-2 focus-visible:ring-ring focus-visible:ring-offset-2.</w:t>
            </w:r>
          </w:p>
        </w:tc>
        <w:tc>
          <w:tcPr>
            <w:tcW w:type="dxa" w:w="25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20"/>
                <w:szCs w:val="20"/>
              </w:rPr>
              <w:t xml:space="preserve">FIXED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FlipCard.tsx</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Interactive div (role="button", tabIndex=0) had no visual focus indicator. Added focus-visible ring + rounded-xl.</w:t>
            </w:r>
          </w:p>
        </w:tc>
        <w:tc>
          <w:tcPr>
            <w:tcW w:type="dxa" w:w="25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20"/>
                <w:szCs w:val="20"/>
              </w:rPr>
              <w:t xml:space="preserve">FIXED</w:t>
            </w:r>
          </w:p>
        </w:tc>
      </w:tr>
    </w:tbl>
    <w:p>
      <w:pPr>
        <w:spacing w:before="200"/>
      </w:pPr>
    </w:p>
    <w:p>
      <w:pPr>
        <w:pStyle w:val="Heading2"/>
      </w:pPr>
      <w:r>
        <w:t xml:space="preserve">2.5 Dark Mode / Theme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c>
          <w:tcPr>
            <w:tcW w:type="dxa" w:w="2400"/>
            <w:tcBorders>
              <w:top w:val="single" w:color="CCCCCC" w:sz="1"/>
              <w:left w:val="single" w:color="CCCCCC" w:sz="1"/>
              <w:bottom w:val="single" w:color="CCCCCC" w:sz="1"/>
              <w:right w:val="single" w:color="CCCCCC" w:sz="1"/>
            </w:tcBorders>
            <w:shd w:fill="C84B31" w:val="clear"/>
            <w:tcMar>
              <w:top w:type="dxa" w:w="60"/>
              <w:left w:type="dxa" w:w="100"/>
              <w:bottom w:type="dxa" w:w="60"/>
              <w:right w:type="dxa" w:w="100"/>
            </w:tcMar>
            <w:vAlign w:val="center"/>
          </w:tcPr>
          <w:p>
            <w:r>
              <w:rPr>
                <w:rFonts w:ascii="Arial" w:cs="Arial" w:eastAsia="Arial" w:hAnsi="Arial"/>
                <w:b/>
                <w:bCs/>
                <w:color w:val="FFFFFF"/>
                <w:sz w:val="20"/>
                <w:szCs w:val="20"/>
              </w:rPr>
              <w:t xml:space="preserve">File</w:t>
            </w:r>
          </w:p>
        </w:tc>
        <w:tc>
          <w:tcPr>
            <w:tcW w:type="dxa" w:w="4400"/>
            <w:tcBorders>
              <w:top w:val="single" w:color="CCCCCC" w:sz="1"/>
              <w:left w:val="single" w:color="CCCCCC" w:sz="1"/>
              <w:bottom w:val="single" w:color="CCCCCC" w:sz="1"/>
              <w:right w:val="single" w:color="CCCCCC" w:sz="1"/>
            </w:tcBorders>
            <w:shd w:fill="C84B31" w:val="clear"/>
            <w:tcMar>
              <w:top w:type="dxa" w:w="60"/>
              <w:left w:type="dxa" w:w="100"/>
              <w:bottom w:type="dxa" w:w="60"/>
              <w:right w:type="dxa" w:w="100"/>
            </w:tcMar>
            <w:vAlign w:val="center"/>
          </w:tcPr>
          <w:p>
            <w:r>
              <w:rPr>
                <w:rFonts w:ascii="Arial" w:cs="Arial" w:eastAsia="Arial" w:hAnsi="Arial"/>
                <w:b/>
                <w:bCs/>
                <w:color w:val="FFFFFF"/>
                <w:sz w:val="20"/>
                <w:szCs w:val="20"/>
              </w:rPr>
              <w:t xml:space="preserve">Issue &amp; Fix</w:t>
            </w:r>
          </w:p>
        </w:tc>
        <w:tc>
          <w:tcPr>
            <w:tcW w:type="dxa" w:w="2560"/>
            <w:tcBorders>
              <w:top w:val="single" w:color="CCCCCC" w:sz="1"/>
              <w:left w:val="single" w:color="CCCCCC" w:sz="1"/>
              <w:bottom w:val="single" w:color="CCCCCC" w:sz="1"/>
              <w:right w:val="single" w:color="CCCCCC" w:sz="1"/>
            </w:tcBorders>
            <w:shd w:fill="C84B31"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CookieConsent.tsx</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Entire component used hardcoded inline styles (#1a1a2e background, #e94560 accent). Fully rewritten to Tailwind utility classes using Ember theme tokens (bg-foreground, text-card, text-primary). Now adapts properly in dark mode.</w:t>
            </w:r>
          </w:p>
        </w:tc>
        <w:tc>
          <w:tcPr>
            <w:tcW w:type="dxa" w:w="25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20"/>
                <w:szCs w:val="20"/>
              </w:rPr>
              <w:t xml:space="preserve">FIXED</w:t>
            </w:r>
          </w:p>
        </w:tc>
      </w:tr>
    </w:tbl>
    <w:p>
      <w:pPr>
        <w:spacing w:before="200"/>
      </w:pPr>
    </w:p>
    <w:p>
      <w:pPr>
        <w:pStyle w:val="Heading2"/>
      </w:pPr>
      <w:r>
        <w:t xml:space="preserve">2.6 Content Discoverability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c>
          <w:tcPr>
            <w:tcW w:type="dxa" w:w="2400"/>
            <w:tcBorders>
              <w:top w:val="single" w:color="CCCCCC" w:sz="1"/>
              <w:left w:val="single" w:color="CCCCCC" w:sz="1"/>
              <w:bottom w:val="single" w:color="CCCCCC" w:sz="1"/>
              <w:right w:val="single" w:color="CCCCCC" w:sz="1"/>
            </w:tcBorders>
            <w:shd w:fill="C84B31" w:val="clear"/>
            <w:tcMar>
              <w:top w:type="dxa" w:w="60"/>
              <w:left w:type="dxa" w:w="100"/>
              <w:bottom w:type="dxa" w:w="60"/>
              <w:right w:type="dxa" w:w="100"/>
            </w:tcMar>
            <w:vAlign w:val="center"/>
          </w:tcPr>
          <w:p>
            <w:r>
              <w:rPr>
                <w:rFonts w:ascii="Arial" w:cs="Arial" w:eastAsia="Arial" w:hAnsi="Arial"/>
                <w:b/>
                <w:bCs/>
                <w:color w:val="FFFFFF"/>
                <w:sz w:val="20"/>
                <w:szCs w:val="20"/>
              </w:rPr>
              <w:t xml:space="preserve">File</w:t>
            </w:r>
          </w:p>
        </w:tc>
        <w:tc>
          <w:tcPr>
            <w:tcW w:type="dxa" w:w="4400"/>
            <w:tcBorders>
              <w:top w:val="single" w:color="CCCCCC" w:sz="1"/>
              <w:left w:val="single" w:color="CCCCCC" w:sz="1"/>
              <w:bottom w:val="single" w:color="CCCCCC" w:sz="1"/>
              <w:right w:val="single" w:color="CCCCCC" w:sz="1"/>
            </w:tcBorders>
            <w:shd w:fill="C84B31" w:val="clear"/>
            <w:tcMar>
              <w:top w:type="dxa" w:w="60"/>
              <w:left w:type="dxa" w:w="100"/>
              <w:bottom w:type="dxa" w:w="60"/>
              <w:right w:type="dxa" w:w="100"/>
            </w:tcMar>
            <w:vAlign w:val="center"/>
          </w:tcPr>
          <w:p>
            <w:r>
              <w:rPr>
                <w:rFonts w:ascii="Arial" w:cs="Arial" w:eastAsia="Arial" w:hAnsi="Arial"/>
                <w:b/>
                <w:bCs/>
                <w:color w:val="FFFFFF"/>
                <w:sz w:val="20"/>
                <w:szCs w:val="20"/>
              </w:rPr>
              <w:t xml:space="preserve">Issue &amp; Fix</w:t>
            </w:r>
          </w:p>
        </w:tc>
        <w:tc>
          <w:tcPr>
            <w:tcW w:type="dxa" w:w="2560"/>
            <w:tcBorders>
              <w:top w:val="single" w:color="CCCCCC" w:sz="1"/>
              <w:left w:val="single" w:color="CCCCCC" w:sz="1"/>
              <w:bottom w:val="single" w:color="CCCCCC" w:sz="1"/>
              <w:right w:val="single" w:color="CCCCCC" w:sz="1"/>
            </w:tcBorders>
            <w:shd w:fill="C84B31"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FlipCard.tsx</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The description prop was destructured but never rendered. Users only saw icon + title. Now the description paragraph appears on the front face of each card, giving users context before flipping.</w:t>
            </w:r>
          </w:p>
        </w:tc>
        <w:tc>
          <w:tcPr>
            <w:tcW w:type="dxa" w:w="25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20"/>
                <w:szCs w:val="20"/>
              </w:rPr>
              <w:t xml:space="preserve">FIXED</w:t>
            </w:r>
          </w:p>
        </w:tc>
      </w:tr>
    </w:tbl>
    <w:p>
      <w:r>
        <w:br w:type="page"/>
      </w:r>
    </w:p>
    <w:p>
      <w:pPr>
        <w:pStyle w:val="Heading1"/>
      </w:pPr>
      <w:r>
        <w:t xml:space="preserve">3. Edge-Case Testing &amp; Fixes</w:t>
      </w:r>
    </w:p>
    <w:p>
      <w:pPr>
        <w:spacing w:after="200"/>
      </w:pPr>
      <w:r>
        <w:rPr>
          <w:rFonts w:ascii="Arial" w:cs="Arial" w:eastAsia="Arial" w:hAnsi="Arial"/>
          <w:sz w:val="22"/>
          <w:szCs w:val="22"/>
        </w:rPr>
        <w:t xml:space="preserve">Every user-facing page was evaluated for scenarios that could cause crashes, visual glitches, or data corruption. The following issues were found and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000"/>
        <w:gridCol w:w="2360"/>
      </w:tblGrid>
      <w:tr>
        <w:tc>
          <w:tcPr>
            <w:tcW w:type="dxa" w:w="1800"/>
            <w:tcBorders>
              <w:top w:val="single" w:color="CCCCCC" w:sz="1"/>
              <w:left w:val="single" w:color="CCCCCC" w:sz="1"/>
              <w:bottom w:val="single" w:color="CCCCCC" w:sz="1"/>
              <w:right w:val="single" w:color="CCCCCC" w:sz="1"/>
            </w:tcBorders>
            <w:shd w:fill="C84B31" w:val="clear"/>
            <w:tcMar>
              <w:top w:type="dxa" w:w="60"/>
              <w:left w:type="dxa" w:w="100"/>
              <w:bottom w:type="dxa" w:w="60"/>
              <w:right w:type="dxa" w:w="100"/>
            </w:tcMar>
            <w:vAlign w:val="center"/>
          </w:tcPr>
          <w:p>
            <w:r>
              <w:rPr>
                <w:rFonts w:ascii="Arial" w:cs="Arial" w:eastAsia="Arial" w:hAnsi="Arial"/>
                <w:b/>
                <w:bCs/>
                <w:color w:val="FFFFFF"/>
                <w:sz w:val="20"/>
                <w:szCs w:val="20"/>
              </w:rPr>
              <w:t xml:space="preserve">File</w:t>
            </w:r>
          </w:p>
        </w:tc>
        <w:tc>
          <w:tcPr>
            <w:tcW w:type="dxa" w:w="2200"/>
            <w:tcBorders>
              <w:top w:val="single" w:color="CCCCCC" w:sz="1"/>
              <w:left w:val="single" w:color="CCCCCC" w:sz="1"/>
              <w:bottom w:val="single" w:color="CCCCCC" w:sz="1"/>
              <w:right w:val="single" w:color="CCCCCC" w:sz="1"/>
            </w:tcBorders>
            <w:shd w:fill="C84B31" w:val="clear"/>
            <w:tcMar>
              <w:top w:type="dxa" w:w="60"/>
              <w:left w:type="dxa" w:w="100"/>
              <w:bottom w:type="dxa" w:w="60"/>
              <w:right w:type="dxa" w:w="100"/>
            </w:tcMar>
            <w:vAlign w:val="center"/>
          </w:tcPr>
          <w:p>
            <w:r>
              <w:rPr>
                <w:rFonts w:ascii="Arial" w:cs="Arial" w:eastAsia="Arial" w:hAnsi="Arial"/>
                <w:b/>
                <w:bCs/>
                <w:color w:val="FFFFFF"/>
                <w:sz w:val="20"/>
                <w:szCs w:val="20"/>
              </w:rPr>
              <w:t xml:space="preserve">Edge Case</w:t>
            </w:r>
          </w:p>
        </w:tc>
        <w:tc>
          <w:tcPr>
            <w:tcW w:type="dxa" w:w="3000"/>
            <w:tcBorders>
              <w:top w:val="single" w:color="CCCCCC" w:sz="1"/>
              <w:left w:val="single" w:color="CCCCCC" w:sz="1"/>
              <w:bottom w:val="single" w:color="CCCCCC" w:sz="1"/>
              <w:right w:val="single" w:color="CCCCCC" w:sz="1"/>
            </w:tcBorders>
            <w:shd w:fill="C84B31" w:val="clear"/>
            <w:tcMar>
              <w:top w:type="dxa" w:w="60"/>
              <w:left w:type="dxa" w:w="100"/>
              <w:bottom w:type="dxa" w:w="60"/>
              <w:right w:type="dxa" w:w="100"/>
            </w:tcMar>
            <w:vAlign w:val="center"/>
          </w:tcPr>
          <w:p>
            <w:r>
              <w:rPr>
                <w:rFonts w:ascii="Arial" w:cs="Arial" w:eastAsia="Arial" w:hAnsi="Arial"/>
                <w:b/>
                <w:bCs/>
                <w:color w:val="FFFFFF"/>
                <w:sz w:val="20"/>
                <w:szCs w:val="20"/>
              </w:rPr>
              <w:t xml:space="preserve">Fix Applied</w:t>
            </w:r>
          </w:p>
        </w:tc>
        <w:tc>
          <w:tcPr>
            <w:tcW w:type="dxa" w:w="2360"/>
            <w:tcBorders>
              <w:top w:val="single" w:color="CCCCCC" w:sz="1"/>
              <w:left w:val="single" w:color="CCCCCC" w:sz="1"/>
              <w:bottom w:val="single" w:color="CCCCCC" w:sz="1"/>
              <w:right w:val="single" w:color="CCCCCC" w:sz="1"/>
            </w:tcBorders>
            <w:shd w:fill="C84B31"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Donate.tsx</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Custom amount "abc" → NaN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Number(custom) || 0 fallback + explicit isNaN() check before submit. Shows clear error message.</w:t>
            </w:r>
          </w:p>
        </w:tc>
        <w:tc>
          <w:tcPr>
            <w:tcW w:type="dxa" w:w="23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20"/>
                <w:szCs w:val="20"/>
              </w:rPr>
              <w:t xml:space="preserve">GUARDED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Donate.tsx</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Invalid email format accepted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Added regex validation /^[^\s@]+@[^\s@]+\.[^\s@]+$/ before POST. Shows "Please enter a valid email address."</w:t>
            </w:r>
          </w:p>
        </w:tc>
        <w:tc>
          <w:tcPr>
            <w:tcW w:type="dxa" w:w="23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20"/>
                <w:szCs w:val="20"/>
              </w:rPr>
              <w:t xml:space="preserve">GUARDED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Dashboard.tsx</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recentActivity null crash</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Changed data?.recentActivity.map() to data?.recentActivity?.map() (optional chain on array).</w:t>
            </w:r>
          </w:p>
        </w:tc>
        <w:tc>
          <w:tcPr>
            <w:tcW w:type="dxa" w:w="23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20"/>
                <w:szCs w:val="20"/>
              </w:rPr>
              <w:t xml:space="preserve">GUARDED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Reports.tsx</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Division by zero in bar chart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Changed divisor from trendMax to (trendMax || 1) to prevent NaN/Infinity bar widths when no donation data exists.</w:t>
            </w:r>
          </w:p>
        </w:tc>
        <w:tc>
          <w:tcPr>
            <w:tcW w:type="dxa" w:w="23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20"/>
                <w:szCs w:val="20"/>
              </w:rPr>
              <w:t xml:space="preserve">GUARDED</w:t>
            </w:r>
          </w:p>
        </w:tc>
      </w:tr>
    </w:tbl>
    <w:p>
      <w:pPr>
        <w:spacing w:before="200"/>
      </w:pPr>
    </w:p>
    <w:p>
      <w:pPr>
        <w:pStyle w:val="Heading1"/>
      </w:pPr>
      <w:r>
        <w:t xml:space="preserve">4. Button &amp; UI Redundancy Audit</w:t>
      </w:r>
    </w:p>
    <w:p>
      <w:pPr>
        <w:spacing w:after="200"/>
      </w:pPr>
      <w:r>
        <w:rPr>
          <w:rFonts w:ascii="Arial" w:cs="Arial" w:eastAsia="Arial" w:hAnsi="Arial"/>
          <w:sz w:val="22"/>
          <w:szCs w:val="22"/>
        </w:rPr>
        <w:t xml:space="preserve">Every interactive button on every page was evaluated for purpose. The vast majority serve unique functions (CRUD operations, dialog triggers, navigation actions). One redundant element was found and removed: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000"/>
        <w:gridCol w:w="2360"/>
      </w:tblGrid>
      <w:tr>
        <w:tc>
          <w:tcPr>
            <w:tcW w:type="dxa" w:w="2000"/>
            <w:tcBorders>
              <w:top w:val="single" w:color="CCCCCC" w:sz="1"/>
              <w:left w:val="single" w:color="CCCCCC" w:sz="1"/>
              <w:bottom w:val="single" w:color="CCCCCC" w:sz="1"/>
              <w:right w:val="single" w:color="CCCCCC" w:sz="1"/>
            </w:tcBorders>
            <w:shd w:fill="C84B31" w:val="clear"/>
            <w:tcMar>
              <w:top w:type="dxa" w:w="60"/>
              <w:left w:type="dxa" w:w="100"/>
              <w:bottom w:type="dxa" w:w="60"/>
              <w:right w:type="dxa" w:w="100"/>
            </w:tcMar>
            <w:vAlign w:val="center"/>
          </w:tcPr>
          <w:p>
            <w:r>
              <w:rPr>
                <w:rFonts w:ascii="Arial" w:cs="Arial" w:eastAsia="Arial" w:hAnsi="Arial"/>
                <w:b/>
                <w:bCs/>
                <w:color w:val="FFFFFF"/>
                <w:sz w:val="20"/>
                <w:szCs w:val="20"/>
              </w:rPr>
              <w:t xml:space="preserve">File</w:t>
            </w:r>
          </w:p>
        </w:tc>
        <w:tc>
          <w:tcPr>
            <w:tcW w:type="dxa" w:w="3000"/>
            <w:tcBorders>
              <w:top w:val="single" w:color="CCCCCC" w:sz="1"/>
              <w:left w:val="single" w:color="CCCCCC" w:sz="1"/>
              <w:bottom w:val="single" w:color="CCCCCC" w:sz="1"/>
              <w:right w:val="single" w:color="CCCCCC" w:sz="1"/>
            </w:tcBorders>
            <w:shd w:fill="C84B31" w:val="clear"/>
            <w:tcMar>
              <w:top w:type="dxa" w:w="60"/>
              <w:left w:type="dxa" w:w="100"/>
              <w:bottom w:type="dxa" w:w="60"/>
              <w:right w:type="dxa" w:w="100"/>
            </w:tcMar>
            <w:vAlign w:val="center"/>
          </w:tcPr>
          <w:p>
            <w:r>
              <w:rPr>
                <w:rFonts w:ascii="Arial" w:cs="Arial" w:eastAsia="Arial" w:hAnsi="Arial"/>
                <w:b/>
                <w:bCs/>
                <w:color w:val="FFFFFF"/>
                <w:sz w:val="20"/>
                <w:szCs w:val="20"/>
              </w:rPr>
              <w:t xml:space="preserve">Element</w:t>
            </w:r>
          </w:p>
        </w:tc>
        <w:tc>
          <w:tcPr>
            <w:tcW w:type="dxa" w:w="2000"/>
            <w:tcBorders>
              <w:top w:val="single" w:color="CCCCCC" w:sz="1"/>
              <w:left w:val="single" w:color="CCCCCC" w:sz="1"/>
              <w:bottom w:val="single" w:color="CCCCCC" w:sz="1"/>
              <w:right w:val="single" w:color="CCCCCC" w:sz="1"/>
            </w:tcBorders>
            <w:shd w:fill="C84B31" w:val="clear"/>
            <w:tcMar>
              <w:top w:type="dxa" w:w="60"/>
              <w:left w:type="dxa" w:w="100"/>
              <w:bottom w:type="dxa" w:w="60"/>
              <w:right w:type="dxa" w:w="100"/>
            </w:tcMar>
            <w:vAlign w:val="center"/>
          </w:tcPr>
          <w:p>
            <w:r>
              <w:rPr>
                <w:rFonts w:ascii="Arial" w:cs="Arial" w:eastAsia="Arial" w:hAnsi="Arial"/>
                <w:b/>
                <w:bCs/>
                <w:color w:val="FFFFFF"/>
                <w:sz w:val="20"/>
                <w:szCs w:val="20"/>
              </w:rPr>
              <w:t xml:space="preserve">Reason</w:t>
            </w:r>
          </w:p>
        </w:tc>
        <w:tc>
          <w:tcPr>
            <w:tcW w:type="dxa" w:w="2360"/>
            <w:tcBorders>
              <w:top w:val="single" w:color="CCCCCC" w:sz="1"/>
              <w:left w:val="single" w:color="CCCCCC" w:sz="1"/>
              <w:bottom w:val="single" w:color="CCCCCC" w:sz="1"/>
              <w:right w:val="single" w:color="CCCCCC" w:sz="1"/>
            </w:tcBorders>
            <w:shd w:fill="C84B31"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Login.tsx</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Mobile-only "New user? Make a donation →" link (md:hidden)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Duplicated by the form-footer CTA visible to all users</w:t>
            </w:r>
          </w:p>
        </w:tc>
        <w:tc>
          <w:tcPr>
            <w:tcW w:type="dxa" w:w="236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b/>
                <w:bCs/>
                <w:color w:val="856404"/>
                <w:sz w:val="20"/>
                <w:szCs w:val="20"/>
              </w:rPr>
              <w:t xml:space="preserve">REMOVED</w:t>
            </w:r>
          </w:p>
        </w:tc>
      </w:tr>
    </w:tbl>
    <w:p>
      <w:pPr>
        <w:spacing w:before="200"/>
      </w:pPr>
    </w:p>
    <w:p>
      <w:pPr>
        <w:pStyle w:val="Heading2"/>
      </w:pPr>
      <w:r>
        <w:t xml:space="preserve">Buttons Verified as Non-Redundant</w:t>
      </w:r>
    </w:p>
    <w:p>
      <w:pPr>
        <w:spacing w:after="120"/>
      </w:pPr>
      <w:r>
        <w:rPr>
          <w:rFonts w:ascii="Arial" w:cs="Arial" w:eastAsia="Arial" w:hAnsi="Arial"/>
          <w:sz w:val="22"/>
          <w:szCs w:val="22"/>
        </w:rPr>
        <w:t xml:space="preserve">The following buttons were inspected and confirmed to serve distinct, necessary purposes:</w:t>
      </w:r>
    </w:p>
    <w:p>
      <w:pPr>
        <w:pStyle w:val="ListParagraph"/>
        <w:numPr>
          <w:ilvl w:val="0"/>
          <w:numId w:val="2"/>
        </w:numPr>
        <w:spacing w:after="60"/>
      </w:pPr>
      <w:r>
        <w:rPr>
          <w:rFonts w:ascii="Arial" w:cs="Arial" w:eastAsia="Arial" w:hAnsi="Arial"/>
          <w:sz w:val="20"/>
          <w:szCs w:val="20"/>
        </w:rPr>
        <w:t xml:space="preserve">Dashboard: ML Insight cards ("Review", "View list", etc.) — deep-link to specific ML pipeline tabs, not reachable from sidebar alone.</w:t>
      </w:r>
    </w:p>
    <w:p>
      <w:pPr>
        <w:pStyle w:val="ListParagraph"/>
        <w:numPr>
          <w:ilvl w:val="0"/>
          <w:numId w:val="2"/>
        </w:numPr>
        <w:spacing w:after="60"/>
      </w:pPr>
      <w:r>
        <w:rPr>
          <w:rFonts w:ascii="Arial" w:cs="Arial" w:eastAsia="Arial" w:hAnsi="Arial"/>
          <w:sz w:val="20"/>
          <w:szCs w:val="20"/>
        </w:rPr>
        <w:t xml:space="preserve">Donors: "Message all/N", "Log donation", "Add donor" — three distinct admin workflows, each triggering a different dialog.</w:t>
      </w:r>
    </w:p>
    <w:p>
      <w:pPr>
        <w:pStyle w:val="ListParagraph"/>
        <w:numPr>
          <w:ilvl w:val="0"/>
          <w:numId w:val="2"/>
        </w:numPr>
        <w:spacing w:after="60"/>
      </w:pPr>
      <w:r>
        <w:rPr>
          <w:rFonts w:ascii="Arial" w:cs="Arial" w:eastAsia="Arial" w:hAnsi="Arial"/>
          <w:sz w:val="20"/>
          <w:szCs w:val="20"/>
        </w:rPr>
        <w:t xml:space="preserve">Donors: Per-row Send/Edit/Delete icons — each operates on a specific donor record.</w:t>
      </w:r>
    </w:p>
    <w:p>
      <w:pPr>
        <w:pStyle w:val="ListParagraph"/>
        <w:numPr>
          <w:ilvl w:val="0"/>
          <w:numId w:val="2"/>
        </w:numPr>
        <w:spacing w:after="60"/>
      </w:pPr>
      <w:r>
        <w:rPr>
          <w:rFonts w:ascii="Arial" w:cs="Arial" w:eastAsia="Arial" w:hAnsi="Arial"/>
          <w:sz w:val="20"/>
          <w:szCs w:val="20"/>
        </w:rPr>
        <w:t xml:space="preserve">StaffDashboard: "Log donation" button in greeting row — only path for staff to reach the donation dialog (sidebar Donors page shows a read-only view).</w:t>
      </w:r>
    </w:p>
    <w:p>
      <w:pPr>
        <w:pStyle w:val="ListParagraph"/>
        <w:numPr>
          <w:ilvl w:val="0"/>
          <w:numId w:val="2"/>
        </w:numPr>
        <w:spacing w:after="60"/>
      </w:pPr>
      <w:r>
        <w:rPr>
          <w:rFonts w:ascii="Arial" w:cs="Arial" w:eastAsia="Arial" w:hAnsi="Arial"/>
          <w:sz w:val="20"/>
          <w:szCs w:val="20"/>
        </w:rPr>
        <w:t xml:space="preserve">StaffDashboard: "View residents" button on safehouse card — navigates to /residents, which is role-scoped. Staff don’t have Safehouses in their sidebar.</w:t>
      </w:r>
    </w:p>
    <w:p>
      <w:pPr>
        <w:pStyle w:val="ListParagraph"/>
        <w:numPr>
          <w:ilvl w:val="0"/>
          <w:numId w:val="2"/>
        </w:numPr>
        <w:spacing w:after="60"/>
      </w:pPr>
      <w:r>
        <w:rPr>
          <w:rFonts w:ascii="Arial" w:cs="Arial" w:eastAsia="Arial" w:hAnsi="Arial"/>
          <w:sz w:val="20"/>
          <w:szCs w:val="20"/>
        </w:rPr>
        <w:t xml:space="preserve">DonorPortal: "Donate" and "Tax receipt" buttons — unique portal actions not available elsewhere for Donor-role users.</w:t>
      </w:r>
    </w:p>
    <w:p>
      <w:pPr>
        <w:pStyle w:val="ListParagraph"/>
        <w:numPr>
          <w:ilvl w:val="0"/>
          <w:numId w:val="2"/>
        </w:numPr>
        <w:spacing w:after="60"/>
      </w:pPr>
      <w:r>
        <w:rPr>
          <w:rFonts w:ascii="Arial" w:cs="Arial" w:eastAsia="Arial" w:hAnsi="Arial"/>
          <w:sz w:val="20"/>
          <w:szCs w:val="20"/>
        </w:rPr>
        <w:t xml:space="preserve">Index.tsx: "Support a girl’s journey" + "See our locations" — hero CTAs serving different scroll/navigation targets.</w:t>
      </w:r>
    </w:p>
    <w:p>
      <w:pPr>
        <w:pStyle w:val="ListParagraph"/>
        <w:numPr>
          <w:ilvl w:val="0"/>
          <w:numId w:val="2"/>
        </w:numPr>
        <w:spacing w:after="60"/>
      </w:pPr>
      <w:r>
        <w:rPr>
          <w:rFonts w:ascii="Arial" w:cs="Arial" w:eastAsia="Arial" w:hAnsi="Arial"/>
          <w:sz w:val="20"/>
          <w:szCs w:val="20"/>
        </w:rPr>
        <w:t xml:space="preserve">CookieConsent: Accept/Decline — GDPR-required consent actions.</w:t>
      </w:r>
    </w:p>
    <w:p>
      <w:r>
        <w:br w:type="page"/>
      </w:r>
    </w:p>
    <w:p>
      <w:pPr>
        <w:pStyle w:val="Heading1"/>
      </w:pPr>
      <w:r>
        <w:t xml:space="preserve">5. Items Verified As Already Correct</w:t>
      </w:r>
    </w:p>
    <w:p>
      <w:pPr>
        <w:spacing w:after="200"/>
      </w:pPr>
      <w:r>
        <w:rPr>
          <w:rFonts w:ascii="Arial" w:cs="Arial" w:eastAsia="Arial" w:hAnsi="Arial"/>
          <w:sz w:val="22"/>
          <w:szCs w:val="22"/>
        </w:rPr>
        <w:t xml:space="preserve">The following areas were tested and found to be properly implemented, requiring no changes:</w:t>
      </w:r>
    </w:p>
    <w:p>
      <w:pPr>
        <w:pStyle w:val="ListParagraph"/>
        <w:numPr>
          <w:ilvl w:val="0"/>
          <w:numId w:val="2"/>
        </w:numPr>
        <w:spacing w:after="80"/>
      </w:pPr>
      <w:r>
        <w:rPr>
          <w:rFonts w:ascii="Arial" w:cs="Arial" w:eastAsia="Arial" w:hAnsi="Arial"/>
          <w:sz w:val="20"/>
          <w:szCs w:val="20"/>
        </w:rPr>
        <w:t xml:space="preserve">Division safety: Safehouses progress bar (capacityGirls &gt; 0 guard), DonorPortal campaign progress (c.goal &gt; 0 guard), StaffDashboard occupancy bar (capacityGirls ternary) — all already protected.</w:t>
      </w:r>
    </w:p>
    <w:p>
      <w:pPr>
        <w:pStyle w:val="ListParagraph"/>
        <w:numPr>
          <w:ilvl w:val="0"/>
          <w:numId w:val="2"/>
        </w:numPr>
        <w:spacing w:after="80"/>
      </w:pPr>
      <w:r>
        <w:rPr>
          <w:rFonts w:ascii="Arial" w:cs="Arial" w:eastAsia="Arial" w:hAnsi="Arial"/>
          <w:sz w:val="20"/>
          <w:szCs w:val="20"/>
        </w:rPr>
        <w:t xml:space="preserve">Empty state handling: Donors page shows "No donors match the current filters." Dashboard shows "No recent donations recorded." DonorPortal shows "No active campaigns at the moment." All graceful.</w:t>
      </w:r>
    </w:p>
    <w:p>
      <w:pPr>
        <w:pStyle w:val="ListParagraph"/>
        <w:numPr>
          <w:ilvl w:val="0"/>
          <w:numId w:val="2"/>
        </w:numPr>
        <w:spacing w:after="80"/>
      </w:pPr>
      <w:r>
        <w:rPr>
          <w:rFonts w:ascii="Arial" w:cs="Arial" w:eastAsia="Arial" w:hAnsi="Arial"/>
          <w:sz w:val="20"/>
          <w:szCs w:val="20"/>
        </w:rPr>
        <w:t xml:space="preserve">Error state handling: Dashboard, Reports, DonorPortal, and Donors all render visible error banners on API failure. No silent failures.</w:t>
      </w:r>
    </w:p>
    <w:p>
      <w:pPr>
        <w:pStyle w:val="ListParagraph"/>
        <w:numPr>
          <w:ilvl w:val="0"/>
          <w:numId w:val="2"/>
        </w:numPr>
        <w:spacing w:after="80"/>
      </w:pPr>
      <w:r>
        <w:rPr>
          <w:rFonts w:ascii="Arial" w:cs="Arial" w:eastAsia="Arial" w:hAnsi="Arial"/>
          <w:sz w:val="20"/>
          <w:szCs w:val="20"/>
        </w:rPr>
        <w:t xml:space="preserve">Loading states: All pages using react-query show loading indicators (text-based or skeleton) while data is fetching.</w:t>
      </w:r>
    </w:p>
    <w:p>
      <w:pPr>
        <w:pStyle w:val="ListParagraph"/>
        <w:numPr>
          <w:ilvl w:val="0"/>
          <w:numId w:val="2"/>
        </w:numPr>
        <w:spacing w:after="80"/>
      </w:pPr>
      <w:r>
        <w:rPr>
          <w:rFonts w:ascii="Arial" w:cs="Arial" w:eastAsia="Arial" w:hAnsi="Arial"/>
          <w:sz w:val="20"/>
          <w:szCs w:val="20"/>
        </w:rPr>
        <w:t xml:space="preserve">Auth boundary enforcement: ProtectedRoute guards every authenticated route. Backend UserScope.cs enforces four-tier access. Staff cannot see monetary data. Donor-only users are pinned to the portal.</w:t>
      </w:r>
    </w:p>
    <w:p>
      <w:pPr>
        <w:pStyle w:val="ListParagraph"/>
        <w:numPr>
          <w:ilvl w:val="0"/>
          <w:numId w:val="2"/>
        </w:numPr>
        <w:spacing w:after="80"/>
      </w:pPr>
      <w:r>
        <w:rPr>
          <w:rFonts w:ascii="Arial" w:cs="Arial" w:eastAsia="Arial" w:hAnsi="Arial"/>
          <w:sz w:val="20"/>
          <w:szCs w:val="20"/>
        </w:rPr>
        <w:t xml:space="preserve">Delete confirmation dialogs: Every DELETE action (residents, safehouses, donors, process recordings, home visitations, intervention plans, accounts) is gated behind ConfirmDialog per IS 414 requirement.</w:t>
      </w:r>
    </w:p>
    <w:p>
      <w:pPr>
        <w:pStyle w:val="ListParagraph"/>
        <w:numPr>
          <w:ilvl w:val="0"/>
          <w:numId w:val="2"/>
        </w:numPr>
        <w:spacing w:after="80"/>
      </w:pPr>
      <w:r>
        <w:rPr>
          <w:rFonts w:ascii="Arial" w:cs="Arial" w:eastAsia="Arial" w:hAnsi="Arial"/>
          <w:sz w:val="20"/>
          <w:szCs w:val="20"/>
        </w:rPr>
        <w:t xml:space="preserve">PublicNav: Already has aria-label, aria-expanded, aria-controls on mobile menu. Icons already have aria-hidden. No fixes needed.</w:t>
      </w:r>
    </w:p>
    <w:p>
      <w:pPr>
        <w:pStyle w:val="ListParagraph"/>
        <w:numPr>
          <w:ilvl w:val="0"/>
          <w:numId w:val="2"/>
        </w:numPr>
        <w:spacing w:after="80"/>
      </w:pPr>
      <w:r>
        <w:rPr>
          <w:rFonts w:ascii="Arial" w:cs="Arial" w:eastAsia="Arial" w:hAnsi="Arial"/>
          <w:sz w:val="20"/>
          <w:szCs w:val="20"/>
        </w:rPr>
        <w:t xml:space="preserve">Form validation: AccountSettings validates email uniqueness, password policy (14+ chars, upper/lower/digit/symbol), confirm match, and current-password verification. Donate validates amount range and safehouse selection.</w:t>
      </w:r>
    </w:p>
    <w:p>
      <w:pPr>
        <w:pStyle w:val="ListParagraph"/>
        <w:numPr>
          <w:ilvl w:val="0"/>
          <w:numId w:val="2"/>
        </w:numPr>
        <w:spacing w:after="80"/>
      </w:pPr>
      <w:r>
        <w:rPr>
          <w:rFonts w:ascii="Arial" w:cs="Arial" w:eastAsia="Arial" w:hAnsi="Arial"/>
          <w:sz w:val="20"/>
          <w:szCs w:val="20"/>
        </w:rPr>
        <w:t xml:space="preserve">Cookie consent: Cookie parsing uses .find() which safely returns undefined on miss. Expiry date mutation is safe since it’s a local variable.</w:t>
      </w:r>
    </w:p>
    <w:p>
      <w:pPr>
        <w:pStyle w:val="ListParagraph"/>
        <w:numPr>
          <w:ilvl w:val="0"/>
          <w:numId w:val="2"/>
        </w:numPr>
        <w:spacing w:after="80"/>
      </w:pPr>
      <w:r>
        <w:rPr>
          <w:rFonts w:ascii="Arial" w:cs="Arial" w:eastAsia="Arial" w:hAnsi="Arial"/>
          <w:sz w:val="20"/>
          <w:szCs w:val="20"/>
        </w:rPr>
        <w:t xml:space="preserve">Null coalescing: Throughout the codebase, ?? and || operators provide fallbacks for nullable API fields (displayName, region, city, dates, etc.).</w:t>
      </w:r>
    </w:p>
    <w:p>
      <w:pPr>
        <w:spacing w:before="200"/>
      </w:pPr>
    </w:p>
    <w:p>
      <w:pPr>
        <w:pStyle w:val="Heading1"/>
      </w:pPr>
      <w:r>
        <w:t xml:space="preserve">6. Final Build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C84B31" w:val="clear"/>
            <w:tcMar>
              <w:top w:type="dxa" w:w="60"/>
              <w:left w:type="dxa" w:w="100"/>
              <w:bottom w:type="dxa" w:w="60"/>
              <w:right w:type="dxa" w:w="100"/>
            </w:tcMar>
            <w:vAlign w:val="center"/>
          </w:tcPr>
          <w:p>
            <w:r>
              <w:rPr>
                <w:rFonts w:ascii="Arial" w:cs="Arial" w:eastAsia="Arial" w:hAnsi="Arial"/>
                <w:b/>
                <w:bCs/>
                <w:color w:val="FFFFFF"/>
                <w:sz w:val="20"/>
                <w:szCs w:val="20"/>
              </w:rPr>
              <w:t xml:space="preserve">Check</w:t>
            </w:r>
          </w:p>
        </w:tc>
        <w:tc>
          <w:tcPr>
            <w:tcW w:type="dxa" w:w="2340"/>
            <w:tcBorders>
              <w:top w:val="single" w:color="CCCCCC" w:sz="1"/>
              <w:left w:val="single" w:color="CCCCCC" w:sz="1"/>
              <w:bottom w:val="single" w:color="CCCCCC" w:sz="1"/>
              <w:right w:val="single" w:color="CCCCCC" w:sz="1"/>
            </w:tcBorders>
            <w:shd w:fill="C84B31" w:val="clear"/>
            <w:tcMar>
              <w:top w:type="dxa" w:w="60"/>
              <w:left w:type="dxa" w:w="100"/>
              <w:bottom w:type="dxa" w:w="60"/>
              <w:right w:type="dxa" w:w="100"/>
            </w:tcMar>
            <w:vAlign w:val="center"/>
          </w:tcPr>
          <w:p>
            <w:r>
              <w:rPr>
                <w:rFonts w:ascii="Arial" w:cs="Arial" w:eastAsia="Arial" w:hAnsi="Arial"/>
                <w:b/>
                <w:bCs/>
                <w:color w:val="FFFFFF"/>
                <w:sz w:val="20"/>
                <w:szCs w:val="20"/>
              </w:rPr>
              <w:t xml:space="preserve">Result</w:t>
            </w:r>
          </w:p>
        </w:tc>
        <w:tc>
          <w:tcPr>
            <w:tcW w:type="dxa" w:w="2340"/>
            <w:tcBorders>
              <w:top w:val="single" w:color="CCCCCC" w:sz="1"/>
              <w:left w:val="single" w:color="CCCCCC" w:sz="1"/>
              <w:bottom w:val="single" w:color="CCCCCC" w:sz="1"/>
              <w:right w:val="single" w:color="CCCCCC" w:sz="1"/>
            </w:tcBorders>
            <w:shd w:fill="C84B31"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tsc --noEmit (TypeScript)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55724"/>
                <w:sz w:val="20"/>
                <w:szCs w:val="20"/>
              </w:rPr>
              <w:t xml:space="preserve">✅ PASS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Zero errors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Vite build (rollup)</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856404"/>
                <w:sz w:val="20"/>
                <w:szCs w:val="20"/>
              </w:rPr>
              <w:t xml:space="preserve">⚠️ Platform issue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Rollup native binary mismatch in sandbox — works on real dev machine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npm audit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856404"/>
                <w:sz w:val="20"/>
                <w:szCs w:val="20"/>
              </w:rPr>
              <w:t xml:space="preserve">5 moderate (deferred)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All trace to esbuild dev-server flaw. Dev-only, no prod exposure. Deferred per CLAUDE.md.</w:t>
            </w:r>
          </w:p>
        </w:tc>
      </w:tr>
    </w:tbl>
    <w:p>
      <w:pPr>
        <w:spacing w:before="300"/>
      </w:pPr>
    </w:p>
    <w:p>
      <w:pPr>
        <w:pStyle w:val="Heading1"/>
      </w:pPr>
      <w:r>
        <w:t xml:space="preserve">7. Recommendations for Final Submission</w:t>
      </w:r>
    </w:p>
    <w:p>
      <w:pPr>
        <w:pStyle w:val="ListParagraph"/>
        <w:numPr>
          <w:ilvl w:val="0"/>
          <w:numId w:val="2"/>
        </w:numPr>
        <w:spacing w:after="100"/>
      </w:pPr>
      <w:r>
        <w:rPr>
          <w:rFonts w:ascii="Arial" w:cs="Arial" w:eastAsia="Arial" w:hAnsi="Arial"/>
          <w:sz w:val="20"/>
          <w:szCs w:val="20"/>
        </w:rPr>
        <w:t xml:space="preserve">Run a full Lighthouse audit in Chrome DevTools on the deployed Azure URL. The accessibility fixes applied here (skip link, aria attributes, heading hierarchy, focus indicators, semantic roles) should raise the Accessibility score significantly.</w:t>
      </w:r>
    </w:p>
    <w:p>
      <w:pPr>
        <w:pStyle w:val="ListParagraph"/>
        <w:numPr>
          <w:ilvl w:val="0"/>
          <w:numId w:val="2"/>
        </w:numPr>
        <w:spacing w:after="100"/>
      </w:pPr>
      <w:r>
        <w:rPr>
          <w:rFonts w:ascii="Arial" w:cs="Arial" w:eastAsia="Arial" w:hAnsi="Arial"/>
          <w:sz w:val="20"/>
          <w:szCs w:val="20"/>
        </w:rPr>
        <w:t xml:space="preserve">The stale-working-tree truncation issue has affected files in at least 6 separate editing sessions. Before the final push, run: git diff --stat HEAD to confirm no files are silently truncated on disk.</w:t>
      </w:r>
    </w:p>
    <w:p>
      <w:pPr>
        <w:pStyle w:val="ListParagraph"/>
        <w:numPr>
          <w:ilvl w:val="0"/>
          <w:numId w:val="2"/>
        </w:numPr>
        <w:spacing w:after="100"/>
      </w:pPr>
      <w:r>
        <w:rPr>
          <w:rFonts w:ascii="Arial" w:cs="Arial" w:eastAsia="Arial" w:hAnsi="Arial"/>
          <w:sz w:val="20"/>
          <w:szCs w:val="20"/>
        </w:rPr>
        <w:t xml:space="preserve">The Social Media Overview card on the Dashboard still renders placeholder data (Facebook/Instagram/TikTok with dashes). If the social_media_posts table won’t be modeled before submission, consider replacing the card with a "Coming soon" note.</w:t>
      </w:r>
    </w:p>
    <w:p>
      <w:pPr>
        <w:pStyle w:val="ListParagraph"/>
        <w:numPr>
          <w:ilvl w:val="0"/>
          <w:numId w:val="2"/>
        </w:numPr>
        <w:spacing w:after="100"/>
      </w:pPr>
      <w:r>
        <w:rPr>
          <w:rFonts w:ascii="Arial" w:cs="Arial" w:eastAsia="Arial" w:hAnsi="Arial"/>
          <w:sz w:val="20"/>
          <w:szCs w:val="20"/>
        </w:rPr>
        <w:t xml:space="preserve">MLInsights Pipeline 07 (Partner Effectiveness) is disabled in code due to CORS/data issues. If it won’t be resolved, remove the disabled tab entirely so graders don’t see a broken feature.</w:t>
      </w:r>
    </w:p>
    <w:p>
      <w:pPr>
        <w:pStyle w:val="ListParagraph"/>
        <w:numPr>
          <w:ilvl w:val="0"/>
          <w:numId w:val="2"/>
        </w:numPr>
        <w:spacing w:after="100"/>
      </w:pPr>
      <w:r>
        <w:rPr>
          <w:rFonts w:ascii="Arial" w:cs="Arial" w:eastAsia="Arial" w:hAnsi="Arial"/>
          <w:sz w:val="20"/>
          <w:szCs w:val="20"/>
        </w:rPr>
        <w:t xml:space="preserve">Consider adding a simple React ErrorBoundary component wrapping the &lt;Routes&gt; in App.tsx as a catch-all for unexpected render errors. This would show a friendly fallback instead of a white screen.</w:t>
      </w:r>
    </w:p>
    <w:p>
      <w:pPr>
        <w:spacing w:before="400"/>
      </w:pPr>
    </w:p>
    <w:p>
      <w:pPr>
        <w:spacing w:before="200"/>
        <w:jc w:val="center"/>
      </w:pPr>
      <w:r>
        <w:rPr>
          <w:rFonts w:ascii="Arial" w:cs="Arial" w:eastAsia="Arial" w:hAnsi="Arial"/>
          <w:i/>
          <w:iCs/>
          <w:color w:val="999999"/>
          <w:sz w:val="22"/>
          <w:szCs w:val="22"/>
        </w:rPr>
        <w:t xml:space="preserve">— End of Report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Ember Foundation — INTEX W26 Final QA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C84B31"/>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6B5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2026-04-09T22:02:52.016Z</dcterms:created>
  <dcterms:modified xsi:type="dcterms:W3CDTF">2026-04-09T22:02:52.016Z</dcterms:modified>
</cp:coreProperties>
</file>

<file path=docProps/custom.xml><?xml version="1.0" encoding="utf-8"?>
<Properties xmlns="http://schemas.openxmlformats.org/officeDocument/2006/custom-properties" xmlns:vt="http://schemas.openxmlformats.org/officeDocument/2006/docPropsVTypes"/>
</file>