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80" w:after="240"/>
      </w:pPr>
      <w:r>
        <w:t>Informe académico del proyecto Sumatoria</w:t>
      </w:r>
    </w:p>
    <w:p>
      <w:pPr>
        <w:pStyle w:val="Subtitle"/>
        <w:spacing w:after="560"/>
      </w:pPr>
      <w:r>
        <w:t>Proyecto APT · Ruta Scrum y Kanban · Corte documental 15 de octubre de 2026</w:t>
      </w:r>
    </w:p>
    <w:p>
      <w:pPr>
        <w:jc w:val="left"/>
      </w:pPr>
      <w:r>
        <w:rPr>
          <w:b/>
        </w:rPr>
        <w:t xml:space="preserve">Empresa  </w:t>
      </w:r>
      <w:r>
        <w:t>SumatoriaCO</w:t>
        <w:br/>
      </w:r>
      <w:r>
        <w:rPr>
          <w:b/>
        </w:rPr>
        <w:t xml:space="preserve">Equipo  </w:t>
      </w:r>
      <w:r>
        <w:t>EFFIXI</w:t>
        <w:br/>
      </w:r>
      <w:r>
        <w:rPr>
          <w:b/>
        </w:rPr>
        <w:t xml:space="preserve">Sistema  </w:t>
      </w:r>
      <w:r>
        <w:t>Sumatoria</w:t>
        <w:br/>
      </w:r>
      <w:r>
        <w:rPr>
          <w:b/>
        </w:rPr>
        <w:t xml:space="preserve">Estado del documento  </w:t>
      </w:r>
      <w:r>
        <w:t>Síntesis académica de evidencia documental y código observado</w:t>
      </w:r>
    </w:p>
    <w:p>
      <w:pPr>
        <w:jc w:val="left"/>
      </w:pPr>
      <w:r>
        <w:t>Documento preparado para revisión académica y retroalimentación. No reemplaza las fuentes oficiales del producto y no certifica por sí solo el estado de producción.</w:t>
      </w:r>
    </w:p>
    <w:p>
      <w:r/>
    </w:p>
    <w:p>
      <w:pPr>
        <w:pStyle w:val="Heading1"/>
      </w:pPr>
      <w:r>
        <w:t>Resumen ejecutivo</w:t>
      </w:r>
    </w:p>
    <w:p>
      <w:r>
        <w:t>Al corte del 15 de octubre de 2026, los repositorios fuente están actualizados en main: el código integrado reúne React/Tauri, una API Node.js/Fastify, PostgreSQL, inicio de sesión de escritorio con Google OAuth e Identity Platform, y creación de proyectos asociada a Database 2.2.3. La madurez varía por módulo; la integración en main no acredita despliegue ni que todos los recorridos estén disponibles.</w:t>
      </w:r>
    </w:p>
    <w:p>
      <w:r>
        <w:t>Los registros documentan 251 pruebas de regresión post-migración y gates locales para Database 2.2.3 y sus rutas. Database 2.2.3 sigue como candidata y no consta desplegada. El HTTP 200 en STAGING del 3 de octubre corresponde a una lectura acotada sobre el estado documentado entonces, no a la nueva creación de proyectos. La documentación ahora enlaza 21 frentes globales con 39 fichas; esa reorganización mejora la trazabilidad, pero no indica que las tareas estén cerradas.</w:t>
      </w:r>
    </w:p>
    <w:p>
      <w:r>
        <w:t>La evidencia permite describir incrementos concretos, pero no asignar un porcentaje global, afirmar impacto medido ni certificar todos los módulos, producción, infraestructura actual o cumplimiento académico completo. No se encontraron retrospectivas completas, mediciones de resultados de negocio ni todos los artefactos de la ruta Scrum/Kanban. Esos vacíos quedan señalados para revisión del equipo y del docente.</w:t>
      </w:r>
    </w:p>
    <w:p>
      <w:pPr>
        <w:pStyle w:val="Heading1"/>
      </w:pPr>
      <w:r>
        <w:t>Contenido</w:t>
      </w:r>
    </w:p>
    <w:p>
      <w:pPr>
        <w:pStyle w:val="ListBullet"/>
        <w:spacing w:after="60"/>
        <w:jc w:val="left"/>
      </w:pPr>
      <w:r>
        <w:t>1 Relevancia del proyecto APT</w:t>
      </w:r>
    </w:p>
    <w:p>
      <w:pPr>
        <w:pStyle w:val="ListBullet"/>
        <w:spacing w:after="60"/>
        <w:jc w:val="left"/>
      </w:pPr>
      <w:r>
        <w:t>2 Objetivos y alcance</w:t>
      </w:r>
    </w:p>
    <w:p>
      <w:pPr>
        <w:pStyle w:val="ListBullet"/>
        <w:spacing w:after="60"/>
        <w:jc w:val="left"/>
      </w:pPr>
      <w:r>
        <w:t>3 Metodología Scrum y Kanban</w:t>
      </w:r>
    </w:p>
    <w:p>
      <w:pPr>
        <w:pStyle w:val="ListBullet"/>
        <w:spacing w:after="60"/>
        <w:jc w:val="left"/>
      </w:pPr>
      <w:r>
        <w:t>4 Desarrollo del proyecto</w:t>
      </w:r>
    </w:p>
    <w:p>
      <w:pPr>
        <w:pStyle w:val="ListBullet"/>
        <w:spacing w:after="60"/>
        <w:jc w:val="left"/>
      </w:pPr>
      <w:r>
        <w:t>5 Evidencias y validación</w:t>
      </w:r>
    </w:p>
    <w:p>
      <w:pPr>
        <w:pStyle w:val="ListBullet"/>
        <w:spacing w:after="60"/>
        <w:jc w:val="left"/>
      </w:pPr>
      <w:r>
        <w:t>6 Intereses y proyecciones profesionales</w:t>
      </w:r>
    </w:p>
    <w:p>
      <w:pPr>
        <w:pStyle w:val="ListBullet"/>
        <w:spacing w:after="60"/>
        <w:jc w:val="left"/>
      </w:pPr>
      <w:r>
        <w:t>7 Síntesis de resultados y pendientes</w:t>
      </w:r>
    </w:p>
    <w:p>
      <w:pPr>
        <w:pStyle w:val="ListBullet"/>
        <w:spacing w:after="60"/>
        <w:jc w:val="left"/>
      </w:pPr>
      <w:r>
        <w:t>8 Referencias y anexos</w:t>
      </w:r>
    </w:p>
    <w:p>
      <w:pPr>
        <w:pStyle w:val="Heading1"/>
      </w:pPr>
      <w:r>
        <w:t>1 Relevancia del proyecto APT</w:t>
      </w:r>
    </w:p>
    <w:p>
      <w:r>
        <w:t>La documentación de Sumatoria plantea reducir la dispersión de información que aparece cuando una cartera de proyectos, su planificación, compras, documentos y seguimiento se administran por separado. El problema se ubica en la coordinación de proyectos de arquitectura y construcción. Las fuentes no fijan una región, una muestra de usuarios ni una línea base cuantitativa; por eso, este informe no atribuye una reducción medida de tiempos, costos o errores.</w:t>
      </w:r>
    </w:p>
    <w:p>
      <w:r>
        <w:t>El proyecto es pertinente como ejercicio aplicado de desarrollo de software porque reúne levantamiento de necesidades, diseño de arquitectura, interfaces, persistencia, integración y pruebas. El aporte observable hasta el corte consiste en cambios de software y validaciones técnicas documentadas. El valor para usuarios finales y la mejora de procesos siguen sin medirse.</w:t>
      </w:r>
    </w:p>
    <w:p>
      <w:r>
        <w:t>La guía DUOC para el informe APT solicita explicar el problema, su contexto profesional, usuarios afectados y aporte de valor. La documentación disponible cubre el problema y los usuarios previstos, pero no acredita ubicación específica, muestra, impacto social o económico ni validación con usuarios. Esos campos quedan como pendientes de confirmación académica.</w:t>
      </w:r>
    </w:p>
    <w:p>
      <w:pPr>
        <w:pStyle w:val="Heading1"/>
      </w:pPr>
      <w:r>
        <w:t>2 Objetivos y alcance</w:t>
      </w:r>
    </w:p>
    <w:p>
      <w:pPr>
        <w:pStyle w:val="Heading2"/>
      </w:pPr>
      <w:r>
        <w:t>Objetivo general</w:t>
      </w:r>
    </w:p>
    <w:p>
      <w:r>
        <w:t>Evolucionar Sumatoria hacia una plataforma modular que apoye la gestión de cartera y proyectos, preserve los flujos de trabajo requeridos y separe responsabilidades entre interfaz, servicios y datos. Esta formulación procede del informe APT con corte 30-09-2026 y se presenta como objetivo, no como resultado terminado.</w:t>
      </w:r>
    </w:p>
    <w:p>
      <w:pPr>
        <w:pStyle w:val="Heading2"/>
      </w:pPr>
      <w:r>
        <w:t>Objetivos específicos documentados</w:t>
      </w:r>
    </w:p>
    <w:p>
      <w:pPr>
        <w:pStyle w:val="ListBullet"/>
        <w:spacing w:after="60"/>
        <w:jc w:val="left"/>
      </w:pPr>
      <w:r>
        <w:t>Organizar la experiencia de usuario por funcionalidades y validar navegación, cartera, fichas y formularios.</w:t>
      </w:r>
    </w:p>
    <w:p>
      <w:pPr>
        <w:pStyle w:val="ListBullet"/>
        <w:spacing w:after="60"/>
        <w:jc w:val="left"/>
      </w:pPr>
      <w:r>
        <w:t>Establecer una base backend con Fastify, contexto de solicitud y actor, validación, servicios, transacciones y acceso a PostgreSQL.</w:t>
      </w:r>
    </w:p>
    <w:p>
      <w:pPr>
        <w:pStyle w:val="ListBullet"/>
        <w:spacing w:after="60"/>
        <w:jc w:val="left"/>
      </w:pPr>
      <w:r>
        <w:t>Reconciliar los flujos e identificadores de preservación definidos para MIG-ARCH-001.</w:t>
      </w:r>
    </w:p>
    <w:p>
      <w:pPr>
        <w:pStyle w:val="ListBullet"/>
        <w:spacing w:after="60"/>
        <w:jc w:val="left"/>
      </w:pPr>
      <w:r>
        <w:t>Completar validaciones independientes y asociar la evidencia a un baseline reproducible.</w:t>
      </w:r>
    </w:p>
    <w:p>
      <w:r>
        <w:t>El gate formal reportado el 01-10-2026 cerró MIG-ARCH-001 dentro de su alcance. El estado del backlog posterior y la cobertura funcional total no se deducen de ese cierre. Los objetivos de impacto de negocio no tienen medidas ni metas cuantitativas documentadas.</w:t>
      </w:r>
    </w:p>
    <w:p>
      <w:pPr>
        <w:pStyle w:val="Heading2"/>
      </w:pPr>
      <w:r>
        <w:t>Áreas y competencias</w:t>
      </w:r>
    </w:p>
    <w:p>
      <w:r>
        <w:t>El trabajo observado involucra análisis y diseño de software, construcción frontend y backend, modelado de datos, integración y validación. La guía pide vincular áreas de desempeño y competencias al plan de estudios. Las fuentes consultadas no contienen la malla oficial aplicable; esta relación es descriptiva y debe cotejarse con el docente.</w:t>
      </w:r>
    </w:p>
    <w:p>
      <w:pPr>
        <w:pStyle w:val="Heading1"/>
      </w:pPr>
      <w:r>
        <w:t>3 Metodología Scrum y Kanban</w:t>
      </w:r>
    </w:p>
    <w:p>
      <w:r>
        <w:t>El cronograma académico describe Scrum con ciclos planificados de dos semanas. El trabajo técnico de migración se registra mediante unidades, gates y checkpoints. El checklist integrado funciona como evidencia de seguimiento de tareas; la existencia de componentes Kanban en el producto no sustituye un tablero de trabajo del equipo.</w:t>
      </w:r>
    </w:p>
    <w:p>
      <w:r>
        <w:t>No se encontraron registros suficientes para afirmar que cada sprint se ejecutó con planificación, revisión y retrospectiva documentadas. Tampoco se obtuvo una Definition of Done aprobada y aplicada de forma consistente a todo el backlog. Por ello, se describe la metodología prevista y las prácticas de trazabilidad observables, sin inventar ceremonias realizadas.</w:t>
      </w:r>
    </w:p>
    <w:tbl>
      <w:tblPr>
        <w:tblStyle w:val="TableGrid"/>
        <w:tblW w:type="auto" w:w="0"/>
        <w:jc w:val="center"/>
        <w:tblLayout w:type="fixed"/>
        <w:tblLook w:firstColumn="1" w:firstRow="1" w:lastColumn="0" w:lastRow="0" w:noHBand="0" w:noVBand="1" w:val="04A0"/>
        <w:tblLayout/>
      </w:tblPr>
      <w:tblGrid>
        <w:gridCol w:w="2376"/>
        <w:gridCol w:w="5760"/>
        <w:gridCol w:w="1742"/>
      </w:tblGrid>
      <w:tr>
        <w:trPr>
          <w:tblHeader w:val="true"/>
          <w:cantSplit/>
        </w:trPr>
        <w:tc>
          <w:tcPr>
            <w:tcW w:type="dxa" w:w="2376"/>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6"/>
              </w:rPr>
              <w:t>Entregable de la ruta Scrum/Kanban</w:t>
            </w:r>
          </w:p>
        </w:tc>
        <w:tc>
          <w:tcPr>
            <w:tcW w:type="dxa" w:w="5760"/>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6"/>
              </w:rPr>
              <w:t>Evidencia disponible</w:t>
            </w:r>
          </w:p>
        </w:tc>
        <w:tc>
          <w:tcPr>
            <w:tcW w:type="dxa" w:w="1742"/>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6"/>
              </w:rPr>
              <w:t>Estado de auditoría</w:t>
            </w:r>
          </w:p>
        </w:tc>
      </w:tr>
      <w:tr>
        <w:trPr>
          <w:cantSplit/>
        </w:trPr>
        <w:tc>
          <w:tcPr>
            <w:tcW w:type="dxa" w:w="237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Documento de inicio y Product Vision</w:t>
            </w:r>
          </w:p>
        </w:tc>
        <w:tc>
          <w:tcPr>
            <w:tcW w:type="dxa" w:w="576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Objetivos y planteamiento aparecen en documentos de planificación; no hay un paquete académico completo verificable.</w:t>
            </w:r>
          </w:p>
        </w:tc>
        <w:tc>
          <w:tcPr>
            <w:tcW w:type="dxa" w:w="174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PARCIAL</w:t>
            </w:r>
          </w:p>
        </w:tc>
      </w:tr>
      <w:tr>
        <w:trPr>
          <w:cantSplit/>
        </w:trPr>
        <w:tc>
          <w:tcPr>
            <w:tcW w:type="dxa" w:w="237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Product Backlog priorizado</w:t>
            </w:r>
          </w:p>
        </w:tc>
        <w:tc>
          <w:tcPr>
            <w:tcW w:type="dxa" w:w="576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Checklist integrado de 39 unidades, con snapshot fechado; prioridad académica no reconstruida para cada ítem.</w:t>
            </w:r>
          </w:p>
        </w:tc>
        <w:tc>
          <w:tcPr>
            <w:tcW w:type="dxa" w:w="174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PARCIAL</w:t>
            </w:r>
          </w:p>
        </w:tc>
      </w:tr>
      <w:tr>
        <w:trPr>
          <w:cantSplit/>
        </w:trPr>
        <w:tc>
          <w:tcPr>
            <w:tcW w:type="dxa" w:w="237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Sprint Backlog o tablero Kanban</w:t>
            </w:r>
          </w:p>
        </w:tc>
        <w:tc>
          <w:tcPr>
            <w:tcW w:type="dxa" w:w="576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Hay tareas y componentes del producto; no se encontró exportación fechada del tablero del equipo.</w:t>
            </w:r>
          </w:p>
        </w:tc>
        <w:tc>
          <w:tcPr>
            <w:tcW w:type="dxa" w:w="174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PENDIENTE</w:t>
            </w:r>
          </w:p>
        </w:tc>
      </w:tr>
      <w:tr>
        <w:trPr>
          <w:cantSplit/>
        </w:trPr>
        <w:tc>
          <w:tcPr>
            <w:tcW w:type="dxa" w:w="237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Definition of Done</w:t>
            </w:r>
          </w:p>
        </w:tc>
        <w:tc>
          <w:tcPr>
            <w:tcW w:type="dxa" w:w="576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La documentación explica gates y evidencia, pero no acredita aplicación homogénea a todos los elementos.</w:t>
            </w:r>
          </w:p>
        </w:tc>
        <w:tc>
          <w:tcPr>
            <w:tcW w:type="dxa" w:w="174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PENDIENTE</w:t>
            </w:r>
          </w:p>
        </w:tc>
      </w:tr>
      <w:tr>
        <w:trPr>
          <w:cantSplit/>
        </w:trPr>
        <w:tc>
          <w:tcPr>
            <w:tcW w:type="dxa" w:w="237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Fichas de sprint o ciclo</w:t>
            </w:r>
          </w:p>
        </w:tc>
        <w:tc>
          <w:tcPr>
            <w:tcW w:type="dxa" w:w="576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Se documentan checkpoints técnicos; no una serie completa de fichas de sprint.</w:t>
            </w:r>
          </w:p>
        </w:tc>
        <w:tc>
          <w:tcPr>
            <w:tcW w:type="dxa" w:w="174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PARCIAL</w:t>
            </w:r>
          </w:p>
        </w:tc>
      </w:tr>
      <w:tr>
        <w:trPr>
          <w:cantSplit/>
        </w:trPr>
        <w:tc>
          <w:tcPr>
            <w:tcW w:type="dxa" w:w="237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Retrospectivas</w:t>
            </w:r>
          </w:p>
        </w:tc>
        <w:tc>
          <w:tcPr>
            <w:tcW w:type="dxa" w:w="576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No se encontró evidencia suficiente de retrospectivas realizadas ni de acciones y efectos observados.</w:t>
            </w:r>
          </w:p>
        </w:tc>
        <w:tc>
          <w:tcPr>
            <w:tcW w:type="dxa" w:w="174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PENDIENTE</w:t>
            </w:r>
          </w:p>
        </w:tc>
      </w:tr>
      <w:tr>
        <w:trPr>
          <w:cantSplit/>
        </w:trPr>
        <w:tc>
          <w:tcPr>
            <w:tcW w:type="dxa" w:w="237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Diseño y modelo de datos</w:t>
            </w:r>
          </w:p>
        </w:tc>
        <w:tc>
          <w:tcPr>
            <w:tcW w:type="dxa" w:w="576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Hay documentación técnica, decisiones y modelo PostgreSQL versionado.</w:t>
            </w:r>
          </w:p>
        </w:tc>
        <w:tc>
          <w:tcPr>
            <w:tcW w:type="dxa" w:w="174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DOCUMENTADO; implementación por dominio variable</w:t>
            </w:r>
          </w:p>
        </w:tc>
      </w:tr>
      <w:tr>
        <w:trPr>
          <w:cantSplit/>
        </w:trPr>
        <w:tc>
          <w:tcPr>
            <w:tcW w:type="dxa" w:w="237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Pruebas y trazabilidad</w:t>
            </w:r>
          </w:p>
        </w:tc>
        <w:tc>
          <w:tcPr>
            <w:tcW w:type="dxa" w:w="576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Hay resultados fechados para suites, gates y una lectura E2E acotada.</w:t>
            </w:r>
          </w:p>
        </w:tc>
        <w:tc>
          <w:tcPr>
            <w:tcW w:type="dxa" w:w="174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DOCUMENTADO con límites</w:t>
            </w:r>
          </w:p>
        </w:tc>
      </w:tr>
      <w:tr>
        <w:trPr>
          <w:cantSplit/>
        </w:trPr>
        <w:tc>
          <w:tcPr>
            <w:tcW w:type="dxa" w:w="237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Cierre e innovación</w:t>
            </w:r>
          </w:p>
        </w:tc>
        <w:tc>
          <w:tcPr>
            <w:tcW w:type="dxa" w:w="576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No hay medición de impacto o novedad ni cierre académico completo.</w:t>
            </w:r>
          </w:p>
        </w:tc>
        <w:tc>
          <w:tcPr>
            <w:tcW w:type="dxa" w:w="174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PENDIENTE</w:t>
            </w:r>
          </w:p>
        </w:tc>
      </w:tr>
    </w:tbl>
    <w:p>
      <w:pPr>
        <w:spacing w:after="20"/>
      </w:pPr>
    </w:p>
    <w:p>
      <w:pPr>
        <w:pStyle w:val="Heading1"/>
      </w:pPr>
      <w:r>
        <w:t>4 Desarrollo del proyecto</w:t>
      </w:r>
    </w:p>
    <w:p>
      <w:pPr>
        <w:pStyle w:val="Heading2"/>
      </w:pPr>
      <w:r>
        <w:t>Evolución técnica</w:t>
      </w:r>
    </w:p>
    <w:p>
      <w:r>
        <w:t>El historial integrado muestra primero modularización de la interfaz y luego una migración hacia un backend Fastify con separación de rutas, contexto de solicitud, identidad, persistencia y transacciones. En octubre también se integraron cambios de identidad OIDC y lectura de proyectos. La integración de commits en main respalda que esos cambios forman parte del historial del checkout observado; no significa que todos los módulos del producto estén validados.</w:t>
      </w:r>
    </w:p>
    <w:p>
      <w:pPr>
        <w:pStyle w:val="Heading2"/>
      </w:pPr>
      <w:r>
        <w:t>Cronología de evidencia</w:t>
      </w:r>
    </w:p>
    <w:tbl>
      <w:tblPr>
        <w:tblStyle w:val="TableGrid"/>
        <w:tblW w:type="auto" w:w="0"/>
        <w:jc w:val="center"/>
        <w:tblLayout w:type="fixed"/>
        <w:tblLook w:firstColumn="1" w:firstRow="1" w:lastColumn="0" w:lastRow="0" w:noHBand="0" w:noVBand="1" w:val="04A0"/>
        <w:tblLayout/>
      </w:tblPr>
      <w:tblGrid>
        <w:gridCol w:w="1944"/>
        <w:gridCol w:w="3456"/>
        <w:gridCol w:w="4478"/>
      </w:tblGrid>
      <w:tr>
        <w:trPr>
          <w:tblHeader w:val="true"/>
          <w:cantSplit/>
        </w:trPr>
        <w:tc>
          <w:tcPr>
            <w:tcW w:type="dxa" w:w="1944"/>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6"/>
              </w:rPr>
              <w:t>Fecha y tipo</w:t>
            </w:r>
          </w:p>
        </w:tc>
        <w:tc>
          <w:tcPr>
            <w:tcW w:type="dxa" w:w="3456"/>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6"/>
              </w:rPr>
              <w:t>Hito</w:t>
            </w:r>
          </w:p>
        </w:tc>
        <w:tc>
          <w:tcPr>
            <w:tcW w:type="dxa" w:w="4478"/>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6"/>
              </w:rPr>
              <w:t>Qué demuestra y qué no</w:t>
            </w:r>
          </w:p>
        </w:tc>
      </w:tr>
      <w:tr>
        <w:trPr>
          <w:cantSplit/>
        </w:trPr>
        <w:tc>
          <w:tcPr>
            <w:tcW w:type="dxa" w:w="1944"/>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15-08-2026 · fecha de documento</w:t>
            </w:r>
          </w:p>
        </w:tc>
        <w:tc>
          <w:tcPr>
            <w:tcW w:type="dxa" w:w="345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Se registra una propuesta de módulos y alcance del producto.</w:t>
            </w:r>
          </w:p>
        </w:tc>
        <w:tc>
          <w:tcPr>
            <w:tcW w:type="dxa" w:w="447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PROPUESTO; no prueba implementación ni resultados.</w:t>
            </w:r>
          </w:p>
        </w:tc>
      </w:tr>
      <w:tr>
        <w:trPr>
          <w:cantSplit/>
        </w:trPr>
        <w:tc>
          <w:tcPr>
            <w:tcW w:type="dxa" w:w="1944"/>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26-09-2026 · fecha de documento</w:t>
            </w:r>
          </w:p>
        </w:tc>
        <w:tc>
          <w:tcPr>
            <w:tcW w:type="dxa" w:w="345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Se declara congelada la baseline relacional PostgreSQL V2.2.0 para instalaciones nuevas.</w:t>
            </w:r>
          </w:p>
        </w:tc>
        <w:tc>
          <w:tcPr>
            <w:tcW w:type="dxa" w:w="447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Baseline versionada y pruebas locales reportadas; no prueba despliegue remoto.</w:t>
            </w:r>
          </w:p>
        </w:tc>
      </w:tr>
      <w:tr>
        <w:trPr>
          <w:cantSplit/>
        </w:trPr>
        <w:tc>
          <w:tcPr>
            <w:tcW w:type="dxa" w:w="1944"/>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30-09-2026 · corte de informe APT</w:t>
            </w:r>
          </w:p>
        </w:tc>
        <w:tc>
          <w:tcPr>
            <w:tcW w:type="dxa" w:w="345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El informe grupal describía la migración como en curso.</w:t>
            </w:r>
          </w:p>
        </w:tc>
        <w:tc>
          <w:tcPr>
            <w:tcW w:type="dxa" w:w="447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HISTÓRICO. Fue superado por el gate del 01-10; el original no se publicó.</w:t>
            </w:r>
          </w:p>
        </w:tc>
      </w:tr>
      <w:tr>
        <w:trPr>
          <w:cantSplit/>
        </w:trPr>
        <w:tc>
          <w:tcPr>
            <w:tcW w:type="dxa" w:w="1944"/>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01-10-2026 · fecha de documento</w:t>
            </w:r>
          </w:p>
        </w:tc>
        <w:tc>
          <w:tcPr>
            <w:tcW w:type="dxa" w:w="345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MIG-ARCH-001 se reporta PASS/CLOSED; el gate informa reconciliación de 220 elementos de preservación y suites de validación.</w:t>
            </w:r>
          </w:p>
        </w:tc>
        <w:tc>
          <w:tcPr>
            <w:tcW w:type="dxa" w:w="447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Cierre del gate en su alcance; no cierre de todo el backlog ni de cada módulo.</w:t>
            </w:r>
          </w:p>
        </w:tc>
      </w:tr>
      <w:tr>
        <w:trPr>
          <w:cantSplit/>
        </w:trPr>
        <w:tc>
          <w:tcPr>
            <w:tcW w:type="dxa" w:w="1944"/>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01-02-10-2026 · fechas de commit</w:t>
            </w:r>
          </w:p>
        </w:tc>
        <w:tc>
          <w:tcPr>
            <w:tcW w:type="dxa" w:w="345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El historial local de main integra conexión de frontend con endpoints Fastify, pruebas de base real y retiro del runtime Express legado.</w:t>
            </w:r>
          </w:p>
        </w:tc>
        <w:tc>
          <w:tcPr>
            <w:tcW w:type="dxa" w:w="447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Cambios integrados localmente; sus mensajes no sustituyen resultados de ejecución.</w:t>
            </w:r>
          </w:p>
        </w:tc>
      </w:tr>
      <w:tr>
        <w:trPr>
          <w:cantSplit/>
        </w:trPr>
        <w:tc>
          <w:tcPr>
            <w:tcW w:type="dxa" w:w="1944"/>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03-10-2026 · fecha de log y commit</w:t>
            </w:r>
          </w:p>
        </w:tc>
        <w:tc>
          <w:tcPr>
            <w:tcW w:type="dxa" w:w="345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Se registra resolución OIDC y una lectura real de proyecto en STAGING con respuesta HTTP 200 reportada.</w:t>
            </w:r>
          </w:p>
        </w:tc>
        <w:tc>
          <w:tcPr>
            <w:tcW w:type="dxa" w:w="447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E2E específico y documental; no se extrapola a escritura, producción ni otras rutas.</w:t>
            </w:r>
          </w:p>
        </w:tc>
      </w:tr>
      <w:tr>
        <w:trPr>
          <w:cantSplit/>
        </w:trPr>
        <w:tc>
          <w:tcPr>
            <w:tcW w:type="dxa" w:w="1944"/>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03-10-2026 · fecha de snapshot</w:t>
            </w:r>
          </w:p>
        </w:tc>
        <w:tc>
          <w:tcPr>
            <w:tcW w:type="dxa" w:w="345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El checklist de main mantiene 33 tareas pendientes y 6 en curso de 39.</w:t>
            </w:r>
          </w:p>
        </w:tc>
        <w:tc>
          <w:tcPr>
            <w:tcW w:type="dxa" w:w="447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Estado de un backlog en esa fecha; no porcentaje global.</w:t>
            </w:r>
          </w:p>
        </w:tc>
      </w:tr>
    </w:tbl>
    <w:p>
      <w:pPr>
        <w:spacing w:after="20"/>
      </w:pPr>
    </w:p>
    <w:p>
      <w:pPr>
        <w:pStyle w:val="Heading2"/>
      </w:pPr>
      <w:r>
        <w:t>Dificultades y ajustes registrados</w:t>
      </w:r>
    </w:p>
    <w:p>
      <w:r>
        <w:t>Los documentos describen como dificultades el coexistir de módulos legados y nuevos, la necesidad de conciliar flujos antes de declarar preservación y dependencias de decisiones técnicas. La respuesta documentada fue dividir el trabajo en unidades y gates pequeños, conservar trazabilidad y dejar los elementos abiertos como pendientes o bloqueados. Este informe no atribuye a personas tareas específicas.</w:t>
      </w:r>
    </w:p>
    <w:p>
      <w:pPr>
        <w:pStyle w:val="Heading2"/>
      </w:pPr>
      <w:r>
        <w:t>Arquitectura y módulos</w:t>
      </w:r>
    </w:p>
    <w:p>
      <w:r>
        <w:t>La arquitectura observada reúne cliente React, contenedor de escritorio Tauri, backend Node.js/Fastify y PostgreSQL. El backend contiene rutas para proyectos, usuario, auditoría y almacenamiento, y componentes de identidad. Algunas pantallas y dominios se encuentran conectados de forma parcial; el estado se resume por capacidad en la tabla siguiente.</w:t>
      </w:r>
    </w:p>
    <w:tbl>
      <w:tblPr>
        <w:tblStyle w:val="TableGrid"/>
        <w:tblW w:type="auto" w:w="0"/>
        <w:jc w:val="center"/>
        <w:tblLayout w:type="fixed"/>
        <w:tblLook w:firstColumn="1" w:firstRow="1" w:lastColumn="0" w:lastRow="0" w:noHBand="0" w:noVBand="1" w:val="04A0"/>
        <w:tblLayout/>
      </w:tblPr>
      <w:tblGrid>
        <w:gridCol w:w="2520"/>
        <w:gridCol w:w="1656"/>
        <w:gridCol w:w="5702"/>
      </w:tblGrid>
      <w:tr>
        <w:trPr>
          <w:tblHeader w:val="true"/>
          <w:cantSplit/>
        </w:trPr>
        <w:tc>
          <w:tcPr>
            <w:tcW w:type="dxa" w:w="2520"/>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6"/>
              </w:rPr>
              <w:t>Dominio</w:t>
            </w:r>
          </w:p>
        </w:tc>
        <w:tc>
          <w:tcPr>
            <w:tcW w:type="dxa" w:w="1656"/>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6"/>
              </w:rPr>
              <w:t>Estado</w:t>
            </w:r>
          </w:p>
        </w:tc>
        <w:tc>
          <w:tcPr>
            <w:tcW w:type="dxa" w:w="5702"/>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6"/>
              </w:rPr>
              <w:t>Evidencia y límite</w:t>
            </w:r>
          </w:p>
        </w:tc>
      </w:tr>
      <w:tr>
        <w:trPr>
          <w:cantSplit/>
        </w:trPr>
        <w:tc>
          <w:tcPr>
            <w:tcW w:type="dxa" w:w="252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Cartera y lectura de proyectos</w:t>
            </w:r>
          </w:p>
        </w:tc>
        <w:tc>
          <w:tcPr>
            <w:tcW w:type="dxa" w:w="165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PARCIAL</w:t>
            </w:r>
          </w:p>
        </w:tc>
        <w:tc>
          <w:tcPr>
            <w:tcW w:type="dxa" w:w="570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Vistas y rutas de lectura presentes; no se acredita ciclo completo de edición y sincronización.</w:t>
            </w:r>
          </w:p>
        </w:tc>
      </w:tr>
      <w:tr>
        <w:trPr>
          <w:cantSplit/>
        </w:trPr>
        <w:tc>
          <w:tcPr>
            <w:tcW w:type="dxa" w:w="252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Planificación WBS, presupuesto y Gantt</w:t>
            </w:r>
          </w:p>
        </w:tc>
        <w:tc>
          <w:tcPr>
            <w:tcW w:type="dxa" w:w="165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PARCIAL</w:t>
            </w:r>
          </w:p>
        </w:tc>
        <w:tc>
          <w:tcPr>
            <w:tcW w:type="dxa" w:w="570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Interfaces y estructuras observables; falta validación integral persistida.</w:t>
            </w:r>
          </w:p>
        </w:tc>
      </w:tr>
      <w:tr>
        <w:trPr>
          <w:cantSplit/>
        </w:trPr>
        <w:tc>
          <w:tcPr>
            <w:tcW w:type="dxa" w:w="252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Tareas y Kanban</w:t>
            </w:r>
          </w:p>
        </w:tc>
        <w:tc>
          <w:tcPr>
            <w:tcW w:type="dxa" w:w="165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PARCIAL</w:t>
            </w:r>
          </w:p>
        </w:tc>
        <w:tc>
          <w:tcPr>
            <w:tcW w:type="dxa" w:w="570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Hay vistas; no demuestra persistencia, permisos ni recorrido completo.</w:t>
            </w:r>
          </w:p>
        </w:tc>
      </w:tr>
      <w:tr>
        <w:trPr>
          <w:cantSplit/>
        </w:trPr>
        <w:tc>
          <w:tcPr>
            <w:tcW w:type="dxa" w:w="252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Compras y catálogo</w:t>
            </w:r>
          </w:p>
        </w:tc>
        <w:tc>
          <w:tcPr>
            <w:tcW w:type="dxa" w:w="165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PROTOTIPO</w:t>
            </w:r>
          </w:p>
        </w:tc>
        <w:tc>
          <w:tcPr>
            <w:tcW w:type="dxa" w:w="570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El alcance está en UI y modelo; no se acredita flujo de compra completo en runtime.</w:t>
            </w:r>
          </w:p>
        </w:tc>
      </w:tr>
      <w:tr>
        <w:trPr>
          <w:cantSplit/>
        </w:trPr>
        <w:tc>
          <w:tcPr>
            <w:tcW w:type="dxa" w:w="252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Minutas, documentos y calidad</w:t>
            </w:r>
          </w:p>
        </w:tc>
        <w:tc>
          <w:tcPr>
            <w:tcW w:type="dxa" w:w="165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PARCIAL</w:t>
            </w:r>
          </w:p>
        </w:tc>
        <w:tc>
          <w:tcPr>
            <w:tcW w:type="dxa" w:w="570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Hay componentes y entidades documentadas; el cierre de cada flujo no está demostrado.</w:t>
            </w:r>
          </w:p>
        </w:tc>
      </w:tr>
      <w:tr>
        <w:trPr>
          <w:cantSplit/>
        </w:trPr>
        <w:tc>
          <w:tcPr>
            <w:tcW w:type="dxa" w:w="252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Autenticación OIDC y resolución de identidad</w:t>
            </w:r>
          </w:p>
        </w:tc>
        <w:tc>
          <w:tcPr>
            <w:tcW w:type="dxa" w:w="165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IMPLEMENTADO en código</w:t>
            </w:r>
          </w:p>
        </w:tc>
        <w:tc>
          <w:tcPr>
            <w:tcW w:type="dxa" w:w="570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La validación de identidad está integrada; la prueba real documentada cubre una lectura.</w:t>
            </w:r>
          </w:p>
        </w:tc>
      </w:tr>
      <w:tr>
        <w:trPr>
          <w:cantSplit/>
        </w:trPr>
        <w:tc>
          <w:tcPr>
            <w:tcW w:type="dxa" w:w="252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Tauri y distribución de escritorio</w:t>
            </w:r>
          </w:p>
        </w:tc>
        <w:tc>
          <w:tcPr>
            <w:tcW w:type="dxa" w:w="165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PARCIAL</w:t>
            </w:r>
          </w:p>
        </w:tc>
        <w:tc>
          <w:tcPr>
            <w:tcW w:type="dxa" w:w="570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Código presente; no hay evidencia suficiente de empaquetado, firma y distribución actual.</w:t>
            </w:r>
          </w:p>
        </w:tc>
      </w:tr>
      <w:tr>
        <w:trPr>
          <w:cantSplit/>
        </w:trPr>
        <w:tc>
          <w:tcPr>
            <w:tcW w:type="dxa" w:w="252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Producción e infraestructura cloud</w:t>
            </w:r>
          </w:p>
        </w:tc>
        <w:tc>
          <w:tcPr>
            <w:tcW w:type="dxa" w:w="165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PENDIENTE / no verificado</w:t>
            </w:r>
          </w:p>
        </w:tc>
        <w:tc>
          <w:tcPr>
            <w:tcW w:type="dxa" w:w="570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No se inspeccionó GCP en esta preparación.</w:t>
            </w:r>
          </w:p>
        </w:tc>
      </w:tr>
    </w:tbl>
    <w:p>
      <w:pPr>
        <w:spacing w:after="20"/>
      </w:pPr>
    </w:p>
    <w:p>
      <w:pPr>
        <w:pStyle w:val="Heading2"/>
      </w:pPr>
      <w:r>
        <w:t>Modelo de datos y decisiones</w:t>
      </w:r>
    </w:p>
    <w:p>
      <w:r>
        <w:t>La documentación del modelo declara V2.2.0 como baseline congelada para instalaciones nuevas el 26-09-2026 y reporta validaciones en PostgreSQL 16.15. El modelo organiza dominios de proyecto, planificación, abastecimiento, documentos, gestión y seguimiento. La figura conceptual del anexo omite tablas, campos, permisos y controles operativos para facilitar la lectura académica.</w:t>
      </w:r>
    </w:p>
    <w:p>
      <w:r>
        <w:t>Registros anteriores describen migraciones forward hasta V2.2.2 y una validación en STAGING. El corte actualizado de 15-10-2026 incorpora Database 2.2.3 en main como candidata validada localmente, sin despliegue documentado. Los README del modelo que describen cortes anteriores se leen con su fecha. El estado actual de GCP no fue comprobado y este compendio no publica SQL ni configuraciones.</w:t>
      </w:r>
    </w:p>
    <w:tbl>
      <w:tblPr>
        <w:tblStyle w:val="TableGrid"/>
        <w:tblW w:type="auto" w:w="0"/>
        <w:jc w:val="center"/>
        <w:tblLayout w:type="fixed"/>
        <w:tblLook w:firstColumn="1" w:firstRow="1" w:lastColumn="0" w:lastRow="0" w:noHBand="0" w:noVBand="1" w:val="04A0"/>
        <w:tblLayout/>
      </w:tblPr>
      <w:tblGrid>
        <w:gridCol w:w="2592"/>
        <w:gridCol w:w="2592"/>
        <w:gridCol w:w="4694"/>
      </w:tblGrid>
      <w:tr>
        <w:trPr>
          <w:tblHeader w:val="true"/>
          <w:cantSplit/>
        </w:trPr>
        <w:tc>
          <w:tcPr>
            <w:tcW w:type="dxa" w:w="2592"/>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6"/>
              </w:rPr>
              <w:t>Tema de diseño</w:t>
            </w:r>
          </w:p>
        </w:tc>
        <w:tc>
          <w:tcPr>
            <w:tcW w:type="dxa" w:w="2592"/>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6"/>
              </w:rPr>
              <w:t>Estado documentado</w:t>
            </w:r>
          </w:p>
        </w:tc>
        <w:tc>
          <w:tcPr>
            <w:tcW w:type="dxa" w:w="4694"/>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6"/>
              </w:rPr>
              <w:t>Límite</w:t>
            </w:r>
          </w:p>
        </w:tc>
      </w:tr>
      <w:tr>
        <w:trPr>
          <w:cantSplit/>
        </w:trPr>
        <w:tc>
          <w:tcPr>
            <w:tcW w:type="dxa" w:w="259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PostgreSQL como modelo relacional canónico</w:t>
            </w:r>
          </w:p>
        </w:tc>
        <w:tc>
          <w:tcPr>
            <w:tcW w:type="dxa" w:w="259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Baseline V2.2.0 congelada; cambios posteriores mediante migraciones forward.</w:t>
            </w:r>
          </w:p>
        </w:tc>
        <w:tc>
          <w:tcPr>
            <w:tcW w:type="dxa" w:w="4694"/>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Los documentos de release y despliegue son evidencia documental, no una inspección actual de bases.</w:t>
            </w:r>
          </w:p>
        </w:tc>
      </w:tr>
      <w:tr>
        <w:trPr>
          <w:cantSplit/>
        </w:trPr>
        <w:tc>
          <w:tcPr>
            <w:tcW w:type="dxa" w:w="259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Backend Fastify</w:t>
            </w:r>
          </w:p>
        </w:tc>
        <w:tc>
          <w:tcPr>
            <w:tcW w:type="dxa" w:w="259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Integrado en el historial local de main para las rutas observadas.</w:t>
            </w:r>
          </w:p>
        </w:tc>
        <w:tc>
          <w:tcPr>
            <w:tcW w:type="dxa" w:w="4694"/>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No todas las funcionalidades de negocio tienen integración completa.</w:t>
            </w:r>
          </w:p>
        </w:tc>
      </w:tr>
      <w:tr>
        <w:trPr>
          <w:cantSplit/>
        </w:trPr>
        <w:tc>
          <w:tcPr>
            <w:tcW w:type="dxa" w:w="259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Resolución de identidad externa</w:t>
            </w:r>
          </w:p>
        </w:tc>
        <w:tc>
          <w:tcPr>
            <w:tcW w:type="dxa" w:w="259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Código presente; ADR asociado aparece ACTIVE en su encabezado.</w:t>
            </w:r>
          </w:p>
        </w:tc>
        <w:tc>
          <w:tcPr>
            <w:tcW w:type="dxa" w:w="4694"/>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No se afirma que el ADR esté cerrado ni que todos los flujos estén validados.</w:t>
            </w:r>
          </w:p>
        </w:tc>
      </w:tr>
      <w:tr>
        <w:trPr>
          <w:cantSplit/>
        </w:trPr>
        <w:tc>
          <w:tcPr>
            <w:tcW w:type="dxa" w:w="259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Ownership y cierre de dominios</w:t>
            </w:r>
          </w:p>
        </w:tc>
        <w:tc>
          <w:tcPr>
            <w:tcW w:type="dxa" w:w="2592"/>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Parte de las decisiones tiene estado registrado; otras dependencias permanecen abiertas.</w:t>
            </w:r>
          </w:p>
        </w:tc>
        <w:tc>
          <w:tcPr>
            <w:tcW w:type="dxa" w:w="4694"/>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Se requiere leer cada decisión por su estado explícito; un ADR no implica aprobación.</w:t>
            </w:r>
          </w:p>
        </w:tc>
      </w:tr>
    </w:tbl>
    <w:p>
      <w:pPr>
        <w:spacing w:after="20"/>
      </w:pPr>
    </w:p>
    <w:p>
      <w:pPr>
        <w:pStyle w:val="Heading1"/>
      </w:pPr>
      <w:r>
        <w:t>5 Evidencias y validación</w:t>
      </w:r>
    </w:p>
    <w:p>
      <w:r>
        <w:t>La tabla diferencia resultados documentados de pruebas reejecutadas. Todos los resultados citados proceden de registros existentes en PR-SUM-CO-DOCS. La preparación de esta edición no inició suites, builds, migraciones ni llamadas a servicios externos.</w:t>
      </w:r>
    </w:p>
    <w:tbl>
      <w:tblPr>
        <w:tblStyle w:val="TableGrid"/>
        <w:tblW w:type="auto" w:w="0"/>
        <w:jc w:val="center"/>
        <w:tblLayout w:type="fixed"/>
        <w:tblLook w:firstColumn="1" w:firstRow="1" w:lastColumn="0" w:lastRow="0" w:noHBand="0" w:noVBand="1" w:val="04A0"/>
        <w:tblLayout/>
      </w:tblPr>
      <w:tblGrid>
        <w:gridCol w:w="3096"/>
        <w:gridCol w:w="3096"/>
        <w:gridCol w:w="3686"/>
      </w:tblGrid>
      <w:tr>
        <w:trPr>
          <w:tblHeader w:val="true"/>
          <w:cantSplit/>
        </w:trPr>
        <w:tc>
          <w:tcPr>
            <w:tcW w:type="dxa" w:w="3096"/>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5"/>
              </w:rPr>
              <w:t>Fecha y procedimiento</w:t>
            </w:r>
          </w:p>
        </w:tc>
        <w:tc>
          <w:tcPr>
            <w:tcW w:type="dxa" w:w="3096"/>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5"/>
              </w:rPr>
              <w:t>Resultado documentado</w:t>
            </w:r>
          </w:p>
        </w:tc>
        <w:tc>
          <w:tcPr>
            <w:tcW w:type="dxa" w:w="3686"/>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5"/>
              </w:rPr>
              <w:t>Alcance y limitación</w:t>
            </w:r>
          </w:p>
        </w:tc>
      </w:tr>
      <w:tr>
        <w:trPr>
          <w:cantSplit/>
        </w:trPr>
        <w:tc>
          <w:tcPr>
            <w:tcW w:type="dxa" w:w="309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5"/>
              </w:rPr>
              <w:t>26-09-2026 · dos bootstraps limpios de DB V2.2.0 en PostgreSQL 16.15, verificación de catálogo y proyección.</w:t>
            </w:r>
          </w:p>
        </w:tc>
        <w:tc>
          <w:tcPr>
            <w:tcW w:type="dxa" w:w="309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5"/>
              </w:rPr>
              <w:t>PASS según release; 37 verificaciones estáticas reportadas sin fallos.</w:t>
            </w:r>
          </w:p>
        </w:tc>
        <w:tc>
          <w:tcPr>
            <w:tcW w:type="dxa" w:w="368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5"/>
              </w:rPr>
              <w:t>Validación local de la baseline. No acredita despliegue, restore cloud o integración total.</w:t>
            </w:r>
          </w:p>
        </w:tc>
      </w:tr>
      <w:tr>
        <w:trPr>
          <w:cantSplit/>
        </w:trPr>
        <w:tc>
          <w:tcPr>
            <w:tcW w:type="dxa" w:w="309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5"/>
              </w:rPr>
              <w:t>26-09-2026 · gates de seguridad y concurrencia del modelo; concurrencia repetida tres veces.</w:t>
            </w:r>
          </w:p>
        </w:tc>
        <w:tc>
          <w:tcPr>
            <w:tcW w:type="dxa" w:w="309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5"/>
              </w:rPr>
              <w:t>PASS según release de base de datos.</w:t>
            </w:r>
          </w:p>
        </w:tc>
        <w:tc>
          <w:tcPr>
            <w:tcW w:type="dxa" w:w="368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5"/>
              </w:rPr>
              <w:t>Aplica al modelo y entorno descritos; scripts y controles detallados no se publican.</w:t>
            </w:r>
          </w:p>
        </w:tc>
      </w:tr>
      <w:tr>
        <w:trPr>
          <w:cantSplit/>
        </w:trPr>
        <w:tc>
          <w:tcPr>
            <w:tcW w:type="dxa" w:w="309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5"/>
              </w:rPr>
              <w:t>01-10-2026 · suite de integración física PostgreSQL U4 sobre motor 16.15.</w:t>
            </w:r>
          </w:p>
        </w:tc>
        <w:tc>
          <w:tcPr>
            <w:tcW w:type="dxa" w:w="309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5"/>
              </w:rPr>
              <w:t>21/21 pruebas PASS en gate formal.</w:t>
            </w:r>
          </w:p>
        </w:tc>
        <w:tc>
          <w:tcPr>
            <w:tcW w:type="dxa" w:w="368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5"/>
              </w:rPr>
              <w:t>Cubre el gate U4; no equivale al total de pruebas del producto.</w:t>
            </w:r>
          </w:p>
        </w:tc>
      </w:tr>
      <w:tr>
        <w:trPr>
          <w:cantSplit/>
        </w:trPr>
        <w:tc>
          <w:tcPr>
            <w:tcW w:type="dxa" w:w="309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5"/>
              </w:rPr>
              <w:t>01-10-2026 · suite backend foundation y suite frontend de estado/dominio.</w:t>
            </w:r>
          </w:p>
        </w:tc>
        <w:tc>
          <w:tcPr>
            <w:tcW w:type="dxa" w:w="309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5"/>
              </w:rPr>
              <w:t>182 pruebas backend y 165 frontend reportadas PASS; ocho suites backend.</w:t>
            </w:r>
          </w:p>
        </w:tc>
        <w:tc>
          <w:tcPr>
            <w:tcW w:type="dxa" w:w="368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5"/>
              </w:rPr>
              <w:t>Conteos del gate final, no reejecutados aquí y no sumados como avance global.</w:t>
            </w:r>
          </w:p>
        </w:tc>
      </w:tr>
      <w:tr>
        <w:trPr>
          <w:cantSplit/>
        </w:trPr>
        <w:tc>
          <w:tcPr>
            <w:tcW w:type="dxa" w:w="309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5"/>
              </w:rPr>
              <w:t>01-10-2026 · validación browser FLOW-008 con Chromium/Puppeteer.</w:t>
            </w:r>
          </w:p>
        </w:tc>
        <w:tc>
          <w:tcPr>
            <w:tcW w:type="dxa" w:w="309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5"/>
              </w:rPr>
              <w:t>PASS reportado; se registraron dos documentos PDF generados sin errores observados.</w:t>
            </w:r>
          </w:p>
        </w:tc>
        <w:tc>
          <w:tcPr>
            <w:tcW w:type="dxa" w:w="368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5"/>
              </w:rPr>
              <w:t>Solo ese flujo de render; no certifica todo el frontend. No se adjuntan los PDFs.</w:t>
            </w:r>
          </w:p>
        </w:tc>
      </w:tr>
      <w:tr>
        <w:trPr>
          <w:cantSplit/>
        </w:trPr>
        <w:tc>
          <w:tcPr>
            <w:tcW w:type="dxa" w:w="309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5"/>
              </w:rPr>
              <w:t>03-10-2026 · identidad real y lectura de un proyecto en STAGING.</w:t>
            </w:r>
          </w:p>
        </w:tc>
        <w:tc>
          <w:tcPr>
            <w:tcW w:type="dxa" w:w="309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5"/>
              </w:rPr>
              <w:t>El log reporta HTTP 200 y respuesta exitosa.</w:t>
            </w:r>
          </w:p>
        </w:tc>
        <w:tc>
          <w:tcPr>
            <w:tcW w:type="dxa" w:w="368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5"/>
              </w:rPr>
              <w:t>Resultado suministrado por el owner; no reejecutado. Una lectura específica, sin extrapolar a otros usuarios, rutas, escrituras o producción.</w:t>
            </w:r>
          </w:p>
        </w:tc>
      </w:tr>
    </w:tbl>
    <w:p>
      <w:pPr>
        <w:spacing w:after="20"/>
      </w:pPr>
    </w:p>
    <w:p>
      <w:pPr>
        <w:pStyle w:val="Heading2"/>
      </w:pPr>
      <w:r>
        <w:t>Registro de evidencia</w:t>
      </w:r>
    </w:p>
    <w:tbl>
      <w:tblPr>
        <w:tblStyle w:val="TableGrid"/>
        <w:tblW w:type="auto" w:w="0"/>
        <w:jc w:val="center"/>
        <w:tblLayout w:type="fixed"/>
        <w:tblLook w:firstColumn="1" w:firstRow="1" w:lastColumn="0" w:lastRow="0" w:noHBand="0" w:noVBand="1" w:val="04A0"/>
        <w:tblLayout/>
      </w:tblPr>
      <w:tblGrid>
        <w:gridCol w:w="2664"/>
        <w:gridCol w:w="3528"/>
        <w:gridCol w:w="3686"/>
      </w:tblGrid>
      <w:tr>
        <w:trPr>
          <w:tblHeader w:val="true"/>
          <w:cantSplit/>
        </w:trPr>
        <w:tc>
          <w:tcPr>
            <w:tcW w:type="dxa" w:w="2664"/>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6"/>
              </w:rPr>
              <w:t>Afirmación</w:t>
            </w:r>
          </w:p>
        </w:tc>
        <w:tc>
          <w:tcPr>
            <w:tcW w:type="dxa" w:w="3528"/>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6"/>
              </w:rPr>
              <w:t>Fuente verificable</w:t>
            </w:r>
          </w:p>
        </w:tc>
        <w:tc>
          <w:tcPr>
            <w:tcW w:type="dxa" w:w="3686"/>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6"/>
              </w:rPr>
              <w:t>Confianza y alcance</w:t>
            </w:r>
          </w:p>
        </w:tc>
      </w:tr>
      <w:tr>
        <w:trPr>
          <w:cantSplit/>
        </w:trPr>
        <w:tc>
          <w:tcPr>
            <w:tcW w:type="dxa" w:w="2664"/>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La baseline DB V2.2.0 recibió pruebas locales documentadas.</w:t>
            </w:r>
          </w:p>
        </w:tc>
        <w:tc>
          <w:tcPr>
            <w:tcW w:type="dxa" w:w="352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PR-SUM-CO-DOCS · release DB V2.2.0 y reporte de validación final.</w:t>
            </w:r>
          </w:p>
        </w:tc>
        <w:tc>
          <w:tcPr>
            <w:tcW w:type="dxa" w:w="368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Alta para lo que el documento registra; no implica ambiente remoto.</w:t>
            </w:r>
          </w:p>
        </w:tc>
      </w:tr>
      <w:tr>
        <w:trPr>
          <w:cantSplit/>
        </w:trPr>
        <w:tc>
          <w:tcPr>
            <w:tcW w:type="dxa" w:w="2664"/>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El gate MIG-ARCH-001 se cerró según reporte formal.</w:t>
            </w:r>
          </w:p>
        </w:tc>
        <w:tc>
          <w:tcPr>
            <w:tcW w:type="dxa" w:w="352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PR-SUM-CO-DOCS · GATE-MIG-FINAL, 01-10-2026.</w:t>
            </w:r>
          </w:p>
        </w:tc>
        <w:tc>
          <w:tcPr>
            <w:tcW w:type="dxa" w:w="368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Alta como afirmación documental del gate; no cierre del producto.</w:t>
            </w:r>
          </w:p>
        </w:tc>
      </w:tr>
      <w:tr>
        <w:trPr>
          <w:cantSplit/>
        </w:trPr>
        <w:tc>
          <w:tcPr>
            <w:tcW w:type="dxa" w:w="2664"/>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La lectura E2E en STAGING devolvió HTTP 200.</w:t>
            </w:r>
          </w:p>
        </w:tc>
        <w:tc>
          <w:tcPr>
            <w:tcW w:type="dxa" w:w="352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PR-SUM-CO-DOCS · log de ejecución, 03-10-2026.</w:t>
            </w:r>
          </w:p>
        </w:tc>
        <w:tc>
          <w:tcPr>
            <w:tcW w:type="dxa" w:w="368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Media-alta: resultado documentado por owner; no reproducción independiente.</w:t>
            </w:r>
          </w:p>
        </w:tc>
      </w:tr>
      <w:tr>
        <w:trPr>
          <w:cantSplit/>
        </w:trPr>
        <w:tc>
          <w:tcPr>
            <w:tcW w:type="dxa" w:w="2664"/>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La implementación OIDC y runtime de lectura aparecen en main local.</w:t>
            </w:r>
          </w:p>
        </w:tc>
        <w:tc>
          <w:tcPr>
            <w:tcW w:type="dxa" w:w="352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r>
              <w:t>PR-SUM-CO-PC · código e historial de main, checkout local de main observado el 15-10-2026.</w:t>
            </w:r>
          </w:p>
        </w:tc>
        <w:tc>
          <w:tcPr>
            <w:tcW w:type="dxa" w:w="368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Alta para presencia en el checkout; no para disponibilidad actual en producción.</w:t>
            </w:r>
          </w:p>
        </w:tc>
      </w:tr>
      <w:tr>
        <w:trPr>
          <w:cantSplit/>
        </w:trPr>
        <w:tc>
          <w:tcPr>
            <w:tcW w:type="dxa" w:w="2664"/>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El backlog integrado conserva tareas abiertas.</w:t>
            </w:r>
          </w:p>
        </w:tc>
        <w:tc>
          <w:tcPr>
            <w:tcW w:type="dxa" w:w="352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PR-SUM-CO-DOCS · checklist revisado 03-10-2026.</w:t>
            </w:r>
          </w:p>
        </w:tc>
        <w:tc>
          <w:tcPr>
            <w:tcW w:type="dxa" w:w="3686"/>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Alta para el snapshot indicado; no debe proyectarse a otra fecha sin revisión.</w:t>
            </w:r>
          </w:p>
        </w:tc>
      </w:tr>
    </w:tbl>
    <w:p>
      <w:pPr>
        <w:spacing w:after="20"/>
      </w:pPr>
    </w:p>
    <w:p>
      <w:pPr>
        <w:pStyle w:val="Heading1"/>
      </w:pPr>
      <w:r>
        <w:t>6 Intereses y proyecciones profesionales</w:t>
      </w:r>
    </w:p>
    <w:p>
      <w:r>
        <w:t>La guía APT solicita reflexión sobre intereses y proyecciones profesionales. Las fuentes de equipo no permiten inferir motivaciones personales ni proyecciones laborales. Los diarios individuales se excluyeron del compendio público por privacidad. El equipo puede completar esta sección con una reflexión colectiva autorizada o cada estudiante puede entregar su reflexión por el canal académico correspondiente.</w:t>
      </w:r>
    </w:p>
    <w:p>
      <w:r>
        <w:t>Como aprendizaje técnico del proyecto, la evidencia permite identificar trabajo en modularización, integración de backend, persistencia y pruebas. Esto describe áreas abordadas; no constituye una evaluación individual ni una declaración de interés profesional.</w:t>
      </w:r>
    </w:p>
    <w:p>
      <w:pPr>
        <w:pStyle w:val="Heading1"/>
      </w:pPr>
      <w:r>
        <w:t>7 Síntesis de resultados y pendientes</w:t>
      </w:r>
    </w:p>
    <w:p>
      <w:pPr>
        <w:pStyle w:val="Heading2"/>
      </w:pPr>
      <w:r>
        <w:t>Resultados que sí están respaldados</w:t>
      </w:r>
    </w:p>
    <w:p>
      <w:pPr>
        <w:pStyle w:val="ListBullet"/>
        <w:spacing w:after="60"/>
        <w:jc w:val="left"/>
      </w:pPr>
      <w:r>
        <w:t>El checkout local de PC main contiene la migración integrada hacia Fastify y código de resolución de identidad OIDC para las superficies observadas.</w:t>
      </w:r>
    </w:p>
    <w:p>
      <w:pPr>
        <w:pStyle w:val="ListBullet"/>
        <w:spacing w:after="60"/>
        <w:jc w:val="left"/>
      </w:pPr>
      <w:r>
        <w:t>La documentación reporta cierre de MIG-ARCH-001 el 01-10-2026, con gates y reconciliación dentro del alcance definido.</w:t>
      </w:r>
    </w:p>
    <w:p>
      <w:pPr>
        <w:pStyle w:val="ListBullet"/>
        <w:spacing w:after="60"/>
        <w:jc w:val="left"/>
      </w:pPr>
      <w:r>
        <w:t>La baseline PostgreSQL V2.2.0 cuenta con release y resultados de pruebas locales documentados; registros posteriores describen una evolución a V2.2.2 en STAGING.</w:t>
      </w:r>
    </w:p>
    <w:p>
      <w:pPr>
        <w:pStyle w:val="ListBullet"/>
        <w:spacing w:after="60"/>
        <w:jc w:val="left"/>
      </w:pPr>
      <w:r>
        <w:t>Un registro de 03-10-2026 reporta una lectura real de proyecto con identidad validada y respuesta HTTP 200 en STAGING.</w:t>
      </w:r>
    </w:p>
    <w:p>
      <w:pPr>
        <w:pStyle w:val="Heading2"/>
      </w:pPr>
      <w:r>
        <w:t>Pendientes de verificación académica y técnica</w:t>
      </w:r>
    </w:p>
    <w:p>
      <w:pPr>
        <w:pStyle w:val="ListBullet"/>
        <w:spacing w:after="60"/>
        <w:jc w:val="left"/>
      </w:pPr>
      <w:r>
        <w:t>Confirmar con el docente las áreas de desempeño y competencias oficiales del plan de estudio.</w:t>
      </w:r>
    </w:p>
    <w:p>
      <w:pPr>
        <w:pStyle w:val="ListBullet"/>
        <w:spacing w:after="60"/>
        <w:jc w:val="left"/>
      </w:pPr>
      <w:r>
        <w:t>Adjuntar evidencia propia aprobada del Product Backlog priorizado, tablero o Sprint Backlog, Definition of Done, fichas de ciclo y retrospectivas.</w:t>
      </w:r>
    </w:p>
    <w:p>
      <w:pPr>
        <w:pStyle w:val="ListBullet"/>
        <w:spacing w:after="60"/>
        <w:jc w:val="left"/>
      </w:pPr>
      <w:r>
        <w:t>Definir objetivos medibles y una forma de medir valor o impacto; hoy no hay línea base cuantitativa.</w:t>
      </w:r>
    </w:p>
    <w:p>
      <w:pPr>
        <w:pStyle w:val="ListBullet"/>
        <w:spacing w:after="60"/>
        <w:jc w:val="left"/>
      </w:pPr>
      <w:r>
        <w:t>Completar validaciones de recorridos de producto que no están cubiertos por los gates citados.</w:t>
      </w:r>
    </w:p>
    <w:p>
      <w:pPr>
        <w:pStyle w:val="ListBullet"/>
        <w:spacing w:after="60"/>
        <w:jc w:val="left"/>
      </w:pPr>
      <w:r>
        <w:t>Confirmar estado de despliegue, integración y operación actual en GCP desde una fuente autorizada.</w:t>
      </w:r>
    </w:p>
    <w:p>
      <w:pPr>
        <w:pStyle w:val="ListBullet"/>
        <w:spacing w:after="60"/>
        <w:jc w:val="left"/>
      </w:pPr>
      <w:r>
        <w:t>Documentar cierre académico, innovación y proyecciones colectivas sin atribuir afirmaciones personales.</w:t>
      </w:r>
    </w:p>
    <w:p>
      <w:r>
        <w:t>No se calcula un porcentaje global de avance: las fuentes mezclan un gate técnico, módulos, migraciones y tareas con alcances distintos.</w:t>
      </w:r>
    </w:p>
    <w:p>
      <w:pPr>
        <w:pStyle w:val="Heading1"/>
      </w:pPr>
      <w:r>
        <w:t>8 Conclusión</w:t>
      </w:r>
    </w:p>
    <w:p>
      <w:r>
        <w:t>El trabajo documentado acredita avances concretos de arquitectura, backend, modelo de datos y pruebas. También muestra límites claros: varios flujos de negocio siguen parciales o en prototipo, el backlog de octubre aún tenía unidades abiertas y las pruebas positivas cubren escenarios específicos. La evidencia permite presentar el proceso con trazabilidad y cautela; no permite afirmar que Sumatoria esté terminado, validado integralmente o desplegado en producción.</w:t>
      </w:r>
    </w:p>
    <w:p>
      <w:r>
        <w:t>Para cerrar una entrega académica completa, se requiere confirmar los campos curriculares con el docente, completar los artefactos Scrum/Kanban que no aparecen en las fuentes, revisar los módulos pendientes y actualizar las evidencias con una fecha de corte posterior. Hasta entonces, las capacidades y resultados deben conservar los estados y límites de este informe.</w:t>
      </w:r>
    </w:p>
    <w:p>
      <w:pPr>
        <w:pStyle w:val="Heading1"/>
      </w:pPr>
      <w:r>
        <w:t>Referencias y procedencia</w:t>
      </w:r>
    </w:p>
    <w:p>
      <w:pPr>
        <w:pStyle w:val="ListBullet"/>
        <w:spacing w:after="60"/>
        <w:jc w:val="left"/>
      </w:pPr>
      <w:r>
        <w:t>DUOC UC, Guía de estudiante para Desarrollo de Proyecto APT y Guía para Informe Final Proyecto APT. Se utilizaron como referencias estructurales; no se adjuntan ni reproducen.</w:t>
      </w:r>
    </w:p>
    <w:p>
      <w:pPr>
        <w:pStyle w:val="ListBullet"/>
        <w:spacing w:after="60"/>
        <w:jc w:val="left"/>
      </w:pPr>
      <w:r>
        <w:t>PR-SUM-CO-DOCS, documentación del modelo PostgreSQL V2.2.0, validación, migraciones y registros de ejecución fechados entre septiembre y octubre de 2026.</w:t>
      </w:r>
    </w:p>
    <w:p>
      <w:pPr>
        <w:pStyle w:val="ListBullet"/>
        <w:spacing w:after="60"/>
        <w:jc w:val="left"/>
      </w:pPr>
      <w:r>
        <w:t>PR-SUM-CO-DOCS, GATE-MIG-FINAL del 01-10-2026 y log de lectura E2E en STAGING del 03-10-2026.</w:t>
      </w:r>
    </w:p>
    <w:p>
      <w:pPr>
        <w:pStyle w:val="ListBullet"/>
        <w:spacing w:after="60"/>
        <w:jc w:val="left"/>
      </w:pPr>
      <w:r>
        <w:t>PR-SUM-CO-DOCS, checklist integrado revisado el 03-10-2026; corte del informe APT anterior leído desde Git, fecha documental 30-09-2026.</w:t>
      </w:r>
    </w:p>
    <w:p>
      <w:pPr>
        <w:pStyle w:val="ListBullet"/>
        <w:spacing w:after="60"/>
        <w:jc w:val="left"/>
      </w:pPr>
      <w:r>
        <w:t>PR-SUM-CO-PC, checkout local de main observado el 15-10-2026.</w:t>
      </w:r>
    </w:p>
    <w:p>
      <w:pPr>
        <w:pStyle w:val="ListBullet"/>
        <w:spacing w:after="60"/>
        <w:jc w:val="left"/>
      </w:pPr>
      <w:r>
        <w:t>PR-SUM-CO-DOCS, checkout local de main observado el 15-10-2026.</w:t>
      </w:r>
    </w:p>
    <w:p>
      <w:r>
        <w:t>En la actualización del 15-10-2026 se consultó GitHub y se actualizaron por fast-forward las referencias main de ambos repositorios fuente. El informe inicial describía el snapshot anterior; para el estado vigente de main, véase la actualización de este documento. No se obtuvo un inventario completo de ramas remotas y no se atribuyen a main cambios de otras ramas.</w:t>
      </w:r>
    </w:p>
    <w:p>
      <w:pPr>
        <w:pStyle w:val="Heading1"/>
      </w:pPr>
      <w:r>
        <w:t>Anexo A Modelo de datos conceptual</w:t>
      </w:r>
    </w:p>
    <w:p>
      <w:r>
        <w:t>La figura agrupa dominios presentes en la documentación relacional. Las flechas expresan relaciones conceptuales con el proyecto; no son cardinalidades ni especificaciones completas. La existencia de entidades en el modelo no prueba que el flujo esté terminado en la interfaz y el backend.</w:t>
      </w:r>
    </w:p>
    <w:p>
      <w:pPr>
        <w:jc w:val="center"/>
      </w:pPr>
      <w:r/>
    </w:p>
    <w:p>
      <w:pPr>
        <w:jc w:val="left"/>
      </w:pPr>
      <w:r>
        <w:t>Fuente: proyección descriptiva derivada del modelo relacional V2.2.0 en PR-SUM-CO-DOCS. La figura omite tablas, atributos, permisos y detalles operativos.</w:t>
      </w:r>
    </w:p>
    <w:p>
      <w:pPr>
        <w:pStyle w:val="Heading1"/>
      </w:pPr>
      <w:r>
        <w:t>Anexo B Estados de evidencia</w:t>
      </w:r>
    </w:p>
    <w:tbl>
      <w:tblPr>
        <w:tblStyle w:val="TableGrid"/>
        <w:tblW w:type="auto" w:w="0"/>
        <w:jc w:val="center"/>
        <w:tblLayout w:type="fixed"/>
        <w:tblLook w:firstColumn="1" w:firstRow="1" w:lastColumn="0" w:lastRow="0" w:noHBand="0" w:noVBand="1" w:val="04A0"/>
        <w:tblLayout/>
      </w:tblPr>
      <w:tblGrid>
        <w:gridCol w:w="2448"/>
        <w:gridCol w:w="7430"/>
      </w:tblGrid>
      <w:tr>
        <w:trPr>
          <w:tblHeader w:val="true"/>
          <w:cantSplit/>
        </w:trPr>
        <w:tc>
          <w:tcPr>
            <w:tcW w:type="dxa" w:w="2448"/>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6"/>
              </w:rPr>
              <w:t>Estado</w:t>
            </w:r>
          </w:p>
        </w:tc>
        <w:tc>
          <w:tcPr>
            <w:tcW w:type="dxa" w:w="7430"/>
            <w:shd w:fill="E6E6E6"/>
            <w:tcBorders>
              <w:top w:val="single" w:sz="6" w:color="A6A6A6"/>
              <w:left w:val="single" w:sz="6" w:color="A6A6A6"/>
              <w:bottom w:val="single" w:sz="6" w:color="A6A6A6"/>
              <w:right w:val="single" w:sz="6" w:color="A6A6A6"/>
              <w:insideH w:val="single" w:sz="6" w:color="A6A6A6"/>
              <w:insideV w:val="single" w:sz="6" w:color="A6A6A6"/>
            </w:tcBorders>
            <w:tcMar>
              <w:top w:w="90" w:type="dxa"/>
              <w:start w:w="100" w:type="dxa"/>
              <w:bottom w:w="90" w:type="dxa"/>
              <w:end w:w="100" w:type="dxa"/>
            </w:tcMar>
            <w:vAlign w:val="center"/>
          </w:tcPr>
          <w:p>
            <w:pPr>
              <w:spacing w:after="0"/>
              <w:jc w:val="left"/>
            </w:pPr>
            <w:r>
              <w:rPr>
                <w:rFonts w:ascii="Arial" w:hAnsi="Arial"/>
                <w:b/>
                <w:color w:val="000000"/>
                <w:sz w:val="16"/>
              </w:rPr>
              <w:t>Uso en este informe</w:t>
            </w:r>
          </w:p>
        </w:tc>
      </w:tr>
      <w:tr>
        <w:trPr>
          <w:cantSplit/>
        </w:trPr>
        <w:tc>
          <w:tcPr>
            <w:tcW w:type="dxa" w:w="244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IMPLEMENTADO</w:t>
            </w:r>
          </w:p>
        </w:tc>
        <w:tc>
          <w:tcPr>
            <w:tcW w:type="dxa" w:w="743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Código actual contiene la capacidad indicada; no significa integración o validación total.</w:t>
            </w:r>
          </w:p>
        </w:tc>
      </w:tr>
      <w:tr>
        <w:trPr>
          <w:cantSplit/>
        </w:trPr>
        <w:tc>
          <w:tcPr>
            <w:tcW w:type="dxa" w:w="244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PARCIAL</w:t>
            </w:r>
          </w:p>
        </w:tc>
        <w:tc>
          <w:tcPr>
            <w:tcW w:type="dxa" w:w="743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Hay partes implementadas, pero falta integración, cobertura o cierre.</w:t>
            </w:r>
          </w:p>
        </w:tc>
      </w:tr>
      <w:tr>
        <w:trPr>
          <w:cantSplit/>
        </w:trPr>
        <w:tc>
          <w:tcPr>
            <w:tcW w:type="dxa" w:w="244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PROTOTIPO</w:t>
            </w:r>
          </w:p>
        </w:tc>
        <w:tc>
          <w:tcPr>
            <w:tcW w:type="dxa" w:w="743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Interfaz o prueba de concepto sin flujo operativo completo demostrado.</w:t>
            </w:r>
          </w:p>
        </w:tc>
      </w:tr>
      <w:tr>
        <w:trPr>
          <w:cantSplit/>
        </w:trPr>
        <w:tc>
          <w:tcPr>
            <w:tcW w:type="dxa" w:w="244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PROPUESTO</w:t>
            </w:r>
          </w:p>
        </w:tc>
        <w:tc>
          <w:tcPr>
            <w:tcW w:type="dxa" w:w="743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Está descrito en planificación o diseño, sin evidencia suficiente de implementación.</w:t>
            </w:r>
          </w:p>
        </w:tc>
      </w:tr>
      <w:tr>
        <w:trPr>
          <w:cantSplit/>
        </w:trPr>
        <w:tc>
          <w:tcPr>
            <w:tcW w:type="dxa" w:w="244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PENDIENTE</w:t>
            </w:r>
          </w:p>
        </w:tc>
        <w:tc>
          <w:tcPr>
            <w:tcW w:type="dxa" w:w="743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La fuente de seguimiento lo mantiene abierto o falta evidencia.</w:t>
            </w:r>
          </w:p>
        </w:tc>
      </w:tr>
      <w:tr>
        <w:trPr>
          <w:cantSplit/>
        </w:trPr>
        <w:tc>
          <w:tcPr>
            <w:tcW w:type="dxa" w:w="244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HISTÓRICO</w:t>
            </w:r>
          </w:p>
        </w:tc>
        <w:tc>
          <w:tcPr>
            <w:tcW w:type="dxa" w:w="743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Describe un corte previo y no se presenta como estado actual.</w:t>
            </w:r>
          </w:p>
        </w:tc>
      </w:tr>
      <w:tr>
        <w:trPr>
          <w:cantSplit/>
        </w:trPr>
        <w:tc>
          <w:tcPr>
            <w:tcW w:type="dxa" w:w="244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PASS documentado</w:t>
            </w:r>
          </w:p>
        </w:tc>
        <w:tc>
          <w:tcPr>
            <w:tcW w:type="dxa" w:w="743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Resultado positivo escrito en una fuente, limitado a fecha, entorno y criterio indicados.</w:t>
            </w:r>
          </w:p>
        </w:tc>
      </w:tr>
      <w:tr>
        <w:trPr>
          <w:cantSplit/>
        </w:trPr>
        <w:tc>
          <w:tcPr>
            <w:tcW w:type="dxa" w:w="2448"/>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AUDIT_REEXECUTION no realizada</w:t>
            </w:r>
          </w:p>
        </w:tc>
        <w:tc>
          <w:tcPr>
            <w:tcW w:type="dxa" w:w="7430"/>
            <w:tcBorders>
              <w:top w:val="single" w:sz="5" w:color="D0D0D0"/>
              <w:left w:val="single" w:sz="5" w:color="D0D0D0"/>
              <w:bottom w:val="single" w:sz="5" w:color="D0D0D0"/>
              <w:right w:val="single" w:sz="5" w:color="D0D0D0"/>
              <w:insideH w:val="single" w:sz="5" w:color="D0D0D0"/>
              <w:insideV w:val="single" w:sz="5" w:color="D0D0D0"/>
            </w:tcBorders>
            <w:tcMar>
              <w:top w:w="90" w:type="dxa"/>
              <w:start w:w="100" w:type="dxa"/>
              <w:bottom w:w="90" w:type="dxa"/>
              <w:end w:w="100" w:type="dxa"/>
            </w:tcMar>
            <w:vAlign w:val="top"/>
          </w:tcPr>
          <w:p>
            <w:pPr>
              <w:spacing w:after="20" w:line="240" w:lineRule="auto"/>
              <w:jc w:val="left"/>
            </w:pPr>
            <w:r>
              <w:rPr>
                <w:rFonts w:ascii="Arial" w:hAnsi="Arial"/>
                <w:color w:val="000000"/>
                <w:sz w:val="16"/>
              </w:rPr>
              <w:t>No se repitieron suites ni consultas externas para preparar este compendio.</w:t>
            </w:r>
          </w:p>
        </w:tc>
      </w:tr>
    </w:tbl>
    <w:p>
      <w:pPr>
        <w:spacing w:after="0" w:before="0" w:line="20" w:lineRule="exact"/>
      </w:pPr>
    </w:p>
    <w:p>
      <w:pPr>
        <w:pStyle w:val="Heading1"/>
        <w:keepNext/>
      </w:pPr>
      <w:r>
        <w:t>Actualización del estado integrado en main</w:t>
      </w:r>
    </w:p>
    <w:p>
      <w:pPr>
        <w:pStyle w:val="Subtitle"/>
        <w:keepNext/>
      </w:pPr>
      <w:r>
        <w:t>Corte de revisión: 15 de octubre de 2026</w:t>
      </w:r>
    </w:p>
    <w:p>
      <w:r>
        <w:t>Después de la primera versión de este informe, se consultaron las referencias remotas y se actualizaron por fast-forward los repositorios fuente. Esta actualización resume los cambios que ahora forman parte de main y precisa su alcance. Complementa el snapshot anterior; cuando aquel describía referencias remotas sin verificar, prevalecen aquí las referencias observadas en esta fecha.</w:t>
      </w:r>
    </w:p>
    <w:p>
      <w:pPr>
        <w:pStyle w:val="Heading2"/>
      </w:pPr>
      <w:r>
        <w:t>Cambios integrados</w:t>
      </w:r>
    </w:p>
    <w:tbl>
      <w:tblPr>
        <w:tblStyle w:val="LightShading"/>
        <w:tblW w:type="auto" w:w="0"/>
        <w:tblLook w:firstColumn="1" w:firstRow="1" w:lastColumn="0" w:lastRow="0" w:noHBand="0" w:noVBand="1" w:val="04A0"/>
      </w:tblPr>
      <w:tblGrid>
        <w:gridCol w:w="3293"/>
        <w:gridCol w:w="3293"/>
        <w:gridCol w:w="3293"/>
      </w:tblGrid>
      <w:tr>
        <w:tc>
          <w:tcPr>
            <w:tcW w:type="dxa" w:w="3293"/>
          </w:tcPr>
          <w:p>
            <w:pPr>
              <w:keepLines/>
            </w:pPr>
            <w:r>
              <w:rPr>
                <w:b/>
                <w:sz w:val="18"/>
              </w:rPr>
              <w:t>Repositorio y referencia</w:t>
            </w:r>
          </w:p>
        </w:tc>
        <w:tc>
          <w:tcPr>
            <w:tcW w:type="dxa" w:w="3293"/>
          </w:tcPr>
          <w:p>
            <w:pPr>
              <w:keepLines/>
            </w:pPr>
            <w:r>
              <w:rPr>
                <w:b/>
                <w:sz w:val="18"/>
              </w:rPr>
              <w:t>Evolución incorporada</w:t>
            </w:r>
          </w:p>
        </w:tc>
        <w:tc>
          <w:tcPr>
            <w:tcW w:type="dxa" w:w="3293"/>
          </w:tcPr>
          <w:p>
            <w:pPr>
              <w:keepLines/>
            </w:pPr>
            <w:r>
              <w:rPr>
                <w:b/>
                <w:sz w:val="18"/>
              </w:rPr>
              <w:t>Estado y límite</w:t>
            </w:r>
          </w:p>
        </w:tc>
      </w:tr>
      <w:tr>
        <w:tc>
          <w:tcPr>
            <w:tcW w:type="dxa" w:w="3293"/>
          </w:tcPr>
          <w:p>
            <w:pPr>
              <w:keepLines/>
              <w:spacing w:after="60"/>
            </w:pPr>
            <w:r>
              <w:rPr>
                <w:sz w:val="18"/>
              </w:rPr>
              <w:t>PR-SUM-CO-PC · main · ceb973b</w:t>
            </w:r>
          </w:p>
        </w:tc>
        <w:tc>
          <w:tcPr>
            <w:tcW w:type="dxa" w:w="3293"/>
          </w:tcPr>
          <w:p>
            <w:pPr>
              <w:keepLines/>
              <w:spacing w:after="60"/>
            </w:pPr>
            <w:r>
              <w:rPr>
                <w:sz w:val="18"/>
              </w:rPr>
              <w:t>13 commits desde el corte local anterior. Integración del inicio de sesión Google para escritorio con PKCE e Identity Platform; ampliación de regresión frontend y backend; creación delegada de proyectos sobre Database 2.2.3.</w:t>
            </w:r>
          </w:p>
        </w:tc>
        <w:tc>
          <w:tcPr>
            <w:tcW w:type="dxa" w:w="3293"/>
          </w:tcPr>
          <w:p>
            <w:pPr>
              <w:keepLines/>
              <w:spacing w:after="60"/>
            </w:pPr>
            <w:r>
              <w:rPr>
                <w:sz w:val="18"/>
              </w:rPr>
              <w:t>Código integrado. La autenticación de escritorio no acredita por sí sola empaquetado o distribución. Database 2.2.3 sigue como candidata y no consta desplegada.</w:t>
            </w:r>
          </w:p>
        </w:tc>
      </w:tr>
      <w:tr>
        <w:tc>
          <w:tcPr>
            <w:tcW w:type="dxa" w:w="3293"/>
          </w:tcPr>
          <w:p>
            <w:pPr>
              <w:keepLines/>
              <w:spacing w:after="60"/>
            </w:pPr>
            <w:r>
              <w:rPr>
                <w:sz w:val="18"/>
              </w:rPr>
              <w:t>PR-SUM-CO-DOCS · main · cd46933</w:t>
            </w:r>
          </w:p>
        </w:tc>
        <w:tc>
          <w:tcPr>
            <w:tcW w:type="dxa" w:w="3293"/>
          </w:tcPr>
          <w:p>
            <w:r>
              <w:t>28 commits desde el corte anterior. Backlog global con 21 frentes, 39 fichas enlazadas, criterios de aceptación, trazabilidad y logs fechados; incluye el checkpoint Database 2.2.3.</w:t>
            </w:r>
          </w:p>
        </w:tc>
        <w:tc>
          <w:tcPr>
            <w:tcW w:type="dxa" w:w="3293"/>
          </w:tcPr>
          <w:p>
            <w:pPr>
              <w:keepLines/>
              <w:spacing w:after="60"/>
            </w:pPr>
            <w:r>
              <w:rPr>
                <w:sz w:val="18"/>
              </w:rPr>
              <w:t>La reorganización facilita seguir el avance, pero no cambia automáticamente estados ni equivale a cerrar tareas. Se excluyeron asignaciones personales, prompts y reglas internas.</w:t>
            </w:r>
          </w:p>
        </w:tc>
      </w:tr>
    </w:tbl>
    <w:p>
      <w:pPr>
        <w:pStyle w:val="Heading2"/>
      </w:pPr>
      <w:r>
        <w:t>Validaciones registradas y alcance</w:t>
      </w:r>
    </w:p>
    <w:p>
      <w:pPr>
        <w:pStyle w:val="ListBullet"/>
      </w:pPr>
      <w:r>
        <w:rPr>
          <w:b/>
        </w:rPr>
        <w:t xml:space="preserve">Database 2.2.3 y rutas de proyecto. </w:t>
      </w:r>
      <w:r>
        <w:t>El checkpoint de DOCS informa validación local en PostgreSQL 16.15, 16 pruebas T01–T16 aprobadas y regresión HTTP de lectura 6/6. El registro de ejecución también comunica POST, LIST y GET, 208/208 en test:foundation, typecheck y build aprobados. Son resultados documentados, no repetidos para esta edición. No se desplegó a STAGING, Cloud SQL o producción y no consta autorización productiva para crear proyectos.</w:t>
      </w:r>
    </w:p>
    <w:p>
      <w:pPr>
        <w:pStyle w:val="ListBullet"/>
      </w:pPr>
      <w:r>
        <w:rPr>
          <w:b/>
        </w:rPr>
        <w:t xml:space="preserve">Regresión frontend. </w:t>
      </w:r>
      <w:r>
        <w:t>Los registros del 12 de octubre informan 251 pruebas y validaciones complementarias de build, lint, typecheck y flujo PDF. El ciclo aún figuraba pendiente de revisión final. Este conteo tiene alcance propio y no se suma a los conteos de otros gates.</w:t>
      </w:r>
    </w:p>
    <w:p>
      <w:pPr>
        <w:pStyle w:val="ListBullet"/>
      </w:pPr>
      <w:r>
        <w:rPr>
          <w:b/>
        </w:rPr>
        <w:t xml:space="preserve">Autenticación de escritorio. </w:t>
      </w:r>
      <w:r>
        <w:t>El código integrado implementa el flujo nativo Google OAuth con PKCE, intercambio con Identity Platform y sesión en memoria del runtime Tauri. Los registros documentan validación del flujo; no se verificó en esta revisión una distribución firmada ni la configuración activa.</w:t>
      </w:r>
    </w:p>
    <w:p>
      <w:pPr>
        <w:pStyle w:val="ListBullet"/>
      </w:pPr>
      <w:r>
        <w:rPr>
          <w:b/>
        </w:rPr>
        <w:t xml:space="preserve">STAGING. </w:t>
      </w:r>
      <w:r>
        <w:t>El resultado HTTP 200 documentado el 3 de octubre sigue referido a una lectura de proyecto con identidad real sobre el estado registrado entonces. No acredita escritura, la nueva creación de proyectos ni el estado actual de GCP.</w:t>
      </w:r>
    </w:p>
    <w:sectPr w:rsidR="00FC693F" w:rsidRPr="0006063C" w:rsidSect="00034616">
      <w:headerReference w:type="default" r:id="rId9"/>
      <w:footerReference w:type="default" r:id="rId10"/>
      <w:pgSz w:w="12240" w:h="15840"/>
      <w:pgMar w:top="1037" w:right="1181" w:bottom="979"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64646"/>
        <w:sz w:val="16"/>
      </w:rPr>
      <w:t xml:space="preserve">Compendio académico  ·  15-10-2026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808080"/>
      </w:pBdr>
    </w:pPr>
    <w:r>
      <w:rPr>
        <w:rFonts w:ascii="Arial" w:hAnsi="Arial"/>
        <w:b/>
        <w:color w:val="000000"/>
        <w:sz w:val="17"/>
      </w:rPr>
      <w:t>EFFIXI  /  SUMATORIA+CO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jc w:val="both"/>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20"/>
      <w:contextualSpacing/>
    </w:pPr>
    <w:rPr>
      <w:rFonts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100"/>
    </w:pPr>
    <w:rPr>
      <w:rFonts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académico del proyecto Sumatoria</dc:title>
  <dc:subject>Proyecto APT, metodología Scrum y Kanban, evidencia y estado documentado</dc:subject>
  <dc:creator>EFFIXI</dc:creator>
  <cp:keywords>Sumatoria, APT, Scrum, Kanban, arquitectura, pruebas</cp:keywords>
  <dc:description/>
  <cp:lastModifiedBy/>
  <cp:revision>1</cp:revision>
  <dcterms:created xsi:type="dcterms:W3CDTF">2013-12-23T23:15:00Z</dcterms:created>
  <dcterms:modified xsi:type="dcterms:W3CDTF">2013-12-23T23:15:00Z</dcterms:modified>
  <cp:category/>
</cp:coreProperties>
</file>