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See the </w:t>
      </w:r>
      <w:hyperlink r:id="rId9">
        <w:r>
          <w:rPr>
            <w:u w:val="single"/>
          </w:rPr>
          <w:t>regulatory docket</w:t>
        </w:r>
      </w:hyperlink>
      <w:r>
        <w:t xml:space="preserve"> for background.</w:t>
      </w:r>
    </w:p>
    <w:p>
      <w:r>
        <w:drawing>
          <wp:inline xmlns:a="http://schemas.openxmlformats.org/drawingml/2006/main" xmlns:pic="http://schemas.openxmlformats.org/drawingml/2006/picture">
            <wp:extent cx="100" cy="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mp_pix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" cy="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Text after the image.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gov/docket/12345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