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pBdr>
          <w:top w:val="single" w:sz="0" w:space="0" w:color="6E6E70"/>
          <w:left w:val="single" w:sz="0" w:space="0" w:color="6E6E70"/>
          <w:bottom w:val="single" w:sz="0" w:space="0" w:color="6E6E70"/>
          <w:right w:val="single" w:sz="0" w:space="0" w:color="6E6E70"/>
        </w:pBdr>
        <w:shd w:val="clear" w:color="auto" w:fill="6E6E70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FFFFFF"/>
          <w:spacing w:val="0"/>
          <w:w w:val="100"/>
          <w:position w:val="0"/>
          <w:shd w:val="clear" w:color="auto" w:fill="auto"/>
        </w:rPr>
        <w:t>บทความพิเศษ</w:t>
      </w:r>
      <w:bookmarkEnd w:id="0"/>
      <w:bookmarkEnd w:id="1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spacing w:val="0"/>
          <w:w w:val="100"/>
          <w:position w:val="0"/>
          <w:shd w:val="clear" w:color="auto" w:fill="auto"/>
        </w:rPr>
        <w:t>สมรรถนะของแพทย์อาข้วเวชสาสตร์</w:t>
      </w:r>
      <w:bookmarkEnd w:id="2"/>
      <w:bookmarkEnd w:id="3"/>
    </w:p>
    <w:p>
      <w:pPr>
        <w:pStyle w:val="Style12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after="940" w:line="240" w:lineRule="auto"/>
        <w:ind w:left="0" w:right="0" w:firstLine="0"/>
        <w:jc w:val="center"/>
      </w:pPr>
      <w:bookmarkStart w:id="4" w:name="bookmark4"/>
      <w:bookmarkStart w:id="5" w:name="bookmark5"/>
      <w:r>
        <w:rPr>
          <w:spacing w:val="0"/>
          <w:w w:val="100"/>
          <w:position w:val="0"/>
          <w:shd w:val="clear" w:color="auto" w:fill="auto"/>
        </w:rPr>
        <w:t>พรชัย สิทธิศรัณย์กุล</w:t>
      </w:r>
      <w:r>
        <w:rPr>
          <w:spacing w:val="0"/>
          <w:w w:val="100"/>
          <w:position w:val="0"/>
          <w:shd w:val="clear" w:color="auto" w:fill="auto"/>
        </w:rPr>
        <w:footnoteReference w:id="2"/>
      </w:r>
      <w:r>
        <w:rPr>
          <w:spacing w:val="0"/>
          <w:w w:val="100"/>
          <w:position w:val="0"/>
          <w:shd w:val="clear" w:color="auto" w:fill="auto"/>
        </w:rPr>
        <w:t>, อดุลย์ บัณฑุกุล</w:t>
      </w:r>
      <w:r>
        <w:rPr>
          <w:spacing w:val="0"/>
          <w:w w:val="100"/>
          <w:position w:val="0"/>
          <w:shd w:val="clear" w:color="auto" w:fill="auto"/>
        </w:rPr>
        <w:footnoteReference w:id="3"/>
      </w:r>
      <w:bookmarkEnd w:id="4"/>
      <w:bookmarkEnd w:id="5"/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bookmarkStart w:id="6" w:name="bookmark6"/>
      <w:bookmarkStart w:id="7" w:name="bookmark7"/>
      <w:r>
        <w:rPr>
          <w:spacing w:val="0"/>
          <w:w w:val="100"/>
          <w:position w:val="0"/>
          <w:sz w:val="24"/>
          <w:szCs w:val="24"/>
          <w:shd w:val="clear" w:color="auto" w:fill="auto"/>
        </w:rPr>
        <w:t>บทคัถย่อ</w:t>
      </w:r>
      <w:bookmarkEnd w:id="6"/>
      <w:bookmarkEnd w:id="7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20"/>
        <w:ind w:left="0" w:right="0" w:firstLine="720"/>
        <w:jc w:val="thaiDistribute"/>
      </w:pPr>
      <w:r>
        <w:rPr>
          <w:spacing w:val="0"/>
          <w:w w:val="100"/>
          <w:position w:val="0"/>
          <w:shd w:val="clear" w:color="auto" w:fill="auto"/>
        </w:rPr>
        <w:t xml:space="preserve">บทความนี้นำเสนอสมรรถนะหลักของแพทย์อาซีวเวชศาสตร์และเวชศาสตร์สิ่งแวดล้อม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</w:rPr>
        <w:t xml:space="preserve">10 </w:t>
      </w:r>
      <w:r>
        <w:rPr>
          <w:spacing w:val="0"/>
          <w:w w:val="100"/>
          <w:position w:val="0"/>
          <w:shd w:val="clear" w:color="auto" w:fill="auto"/>
        </w:rPr>
        <w:t>หัวข้อตามที่วิทยาลัย อาซีวเวชศาสตร์และเวชศาสตร์สิ่งแวดล้อมแห่งอเมริกากำหนด และเสนอสมรรถนะของแพทย์อาซีวเวชศาสตร์ที่สมาคมโรคจาก การประกอบอาชีพและสิ่งแวดล้อมแห่งประเทศไทยได้หารือกันและจะนำเสนอแก่สมาชิกและสังคมต่อไป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0"/>
        <w:ind w:left="0" w:right="0" w:firstLine="0"/>
        <w:jc w:val="left"/>
        <w:sectPr>
          <w:headerReference w:type="default" r:id="rId5"/>
          <w:headerReference w:type="even" r:id="rId6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1900" w:h="16840"/>
          <w:pgMar w:top="1732" w:left="1238" w:right="1226" w:bottom="1150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คำสำคัญ: สมรรถนะ, แพทย์อาซีวเวชศาสตร์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740"/>
        <w:jc w:val="thaiDistribute"/>
        <w:rPr>
          <w:sz w:val="18"/>
          <w:szCs w:val="18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พจนานุกรมฉบับราชบัณฑิตสถาน พ.ศ.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</w:rPr>
        <w:t xml:space="preserve">2554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หน้า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</w:rPr>
        <w:t xml:space="preserve">1169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ให้ความหมาย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สมรรถภาพ ไว้ว่า น. ความสามารถ และ สมรรถนะ ไว้ว่า น. ความสามารถ (ใช้แก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เครื่องยนต์) แต่เรา มักพบเห็นการใช้สมรรถนะในความหมายถึงความสามารถของ บุคคลได้บ่อยๆ ส่วน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App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ของ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Merriam Webster Dictionary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ให้ความหมาย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competency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ไว้ว่า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The ability to perform some task; competence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40"/>
        <w:jc w:val="thaiDistribute"/>
      </w:pPr>
      <w:r>
        <w:rPr>
          <w:spacing w:val="0"/>
          <w:w w:val="100"/>
          <w:position w:val="0"/>
          <w:shd w:val="clear" w:color="auto" w:fill="auto"/>
        </w:rPr>
        <w:t>ดังที่ผู้เขียน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hd w:val="clear" w:color="auto" w:fill="auto"/>
        </w:rPr>
        <w:t xml:space="preserve"> เคยอธิบายไว้ว่า “แพทย์อาซีวเวชศาสตร์ เป็นแพทย์เฉพาะทางสาขาเวชศาสตร์ป้องกัน แขนง อาซีวเวชศาสตร์ให้บริการด้านสุขภาพแก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hd w:val="clear" w:color="auto" w:fill="auto"/>
        </w:rPr>
        <w:t>คนงานและนายจ้าง มีความรู้ความเช้าใจในความสัมพันธ์ระหว่างคนงาน สถานที่ ทำงานและงานที่ทำ ขอบเขตงานของแพทย์อาซีวเวชศาสตร์ ครอบคลุมการสร้างเสริมสุขภาพ ป้องกันโรค วินิจฉัย รักษา และพื้เนฟูสภาพของคนงาน แพทย์อาซีวเวชศาสตร์ต้องพิจารณา ประเด็นการแพทย์ที่เกี่ยวพันไปในวงกว้างถึงสังคมจิตวิทยา ของคนงานและการอุตสาหกรรมด้วย แพทย์อาซีวเวชศาสตร์ ต้องมีความรอบรู้อย่างกว้างขวางว่าปัญหาทางการแพทย์ของ คนป่วยอาจเกี่ยวข้องกับงานหรือสภาพแวดล้อมการทำงานหรือ ไม่ อย่างไร มีประสบการณ์เห็นสถานประกอบการ กระบวนการ ทำงานและกระบวนการผลิตที่หลากหลาย และเช้าใจถึงผล ที่อาจเกิดแก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hd w:val="clear" w:color="auto" w:fill="auto"/>
        </w:rPr>
        <w:t>คนงาน ให้การวินิจฉัยอย่างละเอียดรอบคอบมี เหตุผล กอปรด้วยหลักวิทยาศาสตร์ สามารถให้คำแนะนำการ จัดการที่เหมาะสมแก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hd w:val="clear" w:color="auto" w:fill="auto"/>
        </w:rPr>
        <w:t>คนงานที่ป่วยหรือบาดเจ็บ รวมถึงความ พิการที่เกี่ยวเนื่องจากงาน เป็นต้น”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40"/>
        <w:jc w:val="thaiDistribute"/>
        <w:rPr>
          <w:sz w:val="18"/>
          <w:szCs w:val="18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เนื่องจากอาซีวเวชศาสตร์และเวชศาสตร์สิ่งแวดล้อม เป็นศาสตร์ใกล้เคียงกัน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3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 ในแง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เกี่ยวข้องกับสิ่งคุกคามสุขภาพ ต่างกันเพียงบริบทหรือสภาพการสัมผัสและรับสิ่งคุกคาม ของประชากร หากอาซีวเวชศาสตร์เป็นบริบทการทำงาน ของคนวัยทำงาน ส่วนเวชศาสตร์สิ่งแวดล้อมเป็นบริบทของ สิ่งแวดล้อมที่ไม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ใช่การทำงานของคนทั่วไป ซึ่งอาจเป็นเด็ก และผู้สูงอายุ ในหลายประเทศจึงนิยมรวมศาสตร์ทั้งสองนี้ไว้ ด้วยกัน เป็นอาซีวเวชศาสตร์และเวชศาสตร์สิ่งแวดล้อม เช่น วิทยาลัยอาซีวเวชศาสตร์และเวชศาสตร์สิ่งแวดล้อมแห่งอเมริกา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(American College of Occupational and Environmental Medicine: ACOEM)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740"/>
        <w:jc w:val="thaiDistribute"/>
      </w:pP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ACOEM </w:t>
      </w:r>
      <w:r>
        <w:rPr>
          <w:spacing w:val="0"/>
          <w:w w:val="100"/>
          <w:position w:val="0"/>
          <w:shd w:val="clear" w:color="auto" w:fill="auto"/>
        </w:rPr>
        <w:t xml:space="preserve">กำหนดสมรรถนะหลัก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(core competen</w:t>
        <w:softHyphen/>
        <w:t xml:space="preserve">cies) </w:t>
      </w:r>
      <w:r>
        <w:rPr>
          <w:spacing w:val="0"/>
          <w:w w:val="100"/>
          <w:position w:val="0"/>
          <w:shd w:val="clear" w:color="auto" w:fill="auto"/>
        </w:rPr>
        <w:t>ของแพทย์อาฃีวเวชศาสตร์และเวชศาสตร์สิ่งแวดล้อม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 xml:space="preserve">4 </w:t>
      </w:r>
      <w:r>
        <w:rPr>
          <w:spacing w:val="0"/>
          <w:w w:val="100"/>
          <w:position w:val="0"/>
          <w:shd w:val="clear" w:color="auto" w:fill="auto"/>
        </w:rPr>
        <w:t xml:space="preserve">ไว้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</w:rPr>
        <w:t xml:space="preserve">10 </w:t>
      </w:r>
      <w:r>
        <w:rPr>
          <w:spacing w:val="0"/>
          <w:w w:val="100"/>
          <w:position w:val="0"/>
          <w:shd w:val="clear" w:color="auto" w:fill="auto"/>
        </w:rPr>
        <w:t>ข้อ ดังนี้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90" w:val="left"/>
        </w:tabs>
        <w:bidi w:val="0"/>
        <w:spacing w:before="0" w:after="0"/>
        <w:ind w:left="0" w:right="0" w:firstLine="740"/>
        <w:jc w:val="thaiDistribute"/>
      </w:pPr>
      <w:r>
        <w:rPr>
          <w:spacing w:val="0"/>
          <w:w w:val="100"/>
          <w:position w:val="0"/>
          <w:shd w:val="clear" w:color="auto" w:fill="auto"/>
        </w:rPr>
        <w:t xml:space="preserve">ความรู้และทักษะด้านอาฃีวเวชกรรมและ เวชกรรมสิ่งแวดล้อม สามารถประเมินทางเวชกรรม รักษาหรือ ส่งต่อผู้ป่วยด้วยโรค/การบาดเจ็บเนื่องจากงานหรือสิ่งแวดล้อม </w:t>
      </w:r>
      <w:r>
        <w:rPr>
          <w:spacing w:val="0"/>
          <w:w w:val="100"/>
          <w:position w:val="0"/>
          <w:shd w:val="clear" w:color="auto" w:fill="auto"/>
        </w:rPr>
        <w:t>ประเมินว่าคนที่มีโรคหรือสภาวะบางอย่างสามารถทำงานหรือ กิจกรรมบางอย่างได้หรือไม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hd w:val="clear" w:color="auto" w:fill="auto"/>
        </w:rPr>
        <w:t xml:space="preserve"> สามารถช่วยให้ผู้ป่วยฟืนสภาพ และกลับเข้าทำงานได้อย่างเหมาะสม ทักษะด้านเวชกรรมนี้ รวมทั้งการดูแลผู้ป่วยรายคนและการจัดการภาพรวม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(case management) </w:t>
      </w:r>
      <w:r>
        <w:rPr>
          <w:spacing w:val="0"/>
          <w:w w:val="100"/>
          <w:position w:val="0"/>
          <w:shd w:val="clear" w:color="auto" w:fill="auto"/>
        </w:rPr>
        <w:t>ด้วย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09" w:val="left"/>
        </w:tabs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>ความรู้และทักษะเกี่ยวกับกฎหมายด้าน อาชีวอนามัยและอนามัยสิ่งแวดล้อม กฎหมายเกี่ยวกับสุขภาพ กับการทำงาน ซึ่งอาจรวมถึงการให้ความเห็นแก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hd w:val="clear" w:color="auto" w:fill="auto"/>
        </w:rPr>
        <w:t>ศาลยุติธรรม ในฐานะผู้เชี่ยวชาญ สามารถมีปฏิสัมพันธ์อย่างเหมาะสม อิงความรู้กับกลุ่มคนที่ไม่ใช่บุคลากรสุขภาพ เช่น ฝ่ายทรัพยากร บุคคล ฝ่ายผลิต ฝ่ายความปลอดภัย ผู้นำสหภาพแรงงาน เจ้าหน้าที่ของรัฐ ทนาย นักกฎหมาย อัยการและผู้พิพากษา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09" w:val="left"/>
        </w:tabs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>ความรู้และทักษะด้านอนามัยสิ่งแวดล้อม บอกได้ ว่าสิ่งแวดล้อมอาจก่อโรคแก่บุคคลและชุมชนได้อย่างไรมลภาวะ ทางอากาศ นี้า ดิน ส่งผลเสียต่อมนุษย์ได้อย่างไร สภาพแวดล้อม ทางกายภาพและทางสังคม ที่อยู่อาศัย ความเป็นเมือง การใช้ ที่ดิน การขนส่ง อุตสาหกรรมและเกษตรกรรม ส่งผลต่อมนุษย์ ได้อย่างไร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09" w:val="left"/>
        </w:tabs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>ความรู้และทักษะด้านการจัดการความพร้อม ในการทำงานกับการสูญเสียสมรรถภาพ สามารถประเมิน ความพร้อมในการทำงาน ช่วยคนงานและองค์กรในการปรับงาน ให้เหมาะกับคนงานหรือช่วยคนงานให้ปรับตัวทำงานได้ พิจารณาการฟืนฟูสภาพเพื่อช่วยคนงานให้สามารถกลับ เข้าทำงาน ช่วยประเมินการสูญเสียสมรรถภาพการทำงาน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94" w:val="left"/>
        </w:tabs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>ความรู้และทักษะด้านพิษวิทยา สามารถระบุ ประเมินและรักษา/แก่ไขผลเสียต่อสุขภาพอันเป็นผลจากการ สัมผัสสารพิษในที่ทำงานหรือในสิ่งแวดล้อม สามารถพัฒนา ประเมินและจัดการระบบเฝ็าระวังทางการแพทย์และโปรแกรม การเฝ็าระวังตัวชี้วัดทางสุขภาพที่เหมาะสมกับสารพิษที่คนอาจ สัมผัส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94" w:val="left"/>
        </w:tabs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>ความรู้และทักษะในการระบุ ประเมิน และ ควบคุมสิ่งคุกคามสุขภาพ ทั้งด้านกายภาพ เคมี ชีวภาพ การ ยศาสตร์และสังคมจิตวิทยา สามารถทำงานร่วมกับนักสุขศาสตร์ อุตสาหกรรม เจ้าหน้าที่ความปลอดภัยและบุคลากรอื่นๆ ในการ ควบคุมสิ่งคุกคามสุขภาพเหล่านี้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94" w:val="left"/>
        </w:tabs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>ความรู้และทักษะในการจัดการเตรียมรับภัยพิบัติ และเหตุฉุกเฉิน ตั้งแต่การวางแผน การซัอม การดำเนินการ การสื่อสาร การใช้ทรัพยากร การติดตามดูแลคนงานที่บาดเจ็บ/ เจ็บป่วย และการทำงานร่วมกับส่วนราชการที่เกี่ยวข้อง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99" w:val="left"/>
        </w:tabs>
        <w:bidi w:val="0"/>
        <w:spacing w:before="0" w:after="0" w:line="350" w:lineRule="auto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 xml:space="preserve">ความรู้และทักษะที่สามารถระบุและอธิบายปัจจัย ของบุคคลและขององค์กร ซึ่งสามารถพัฒนาเพื่อเพิ่มผลิตภาพ </w:t>
      </w:r>
      <w:r>
        <w:rPr>
          <w:spacing w:val="0"/>
          <w:w w:val="100"/>
          <w:position w:val="0"/>
          <w:shd w:val="clear" w:color="auto" w:fill="auto"/>
        </w:rPr>
        <w:t>ได้ รวมทั้งประเด็นการขาดงาน การสร้างเสริมสุขภาพ และการ จัดการสุขภาพของคนในองค์กร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96" w:val="left"/>
        </w:tabs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>ความรู้และทักษะในการพัฒนา ประเมินและ จัดการโปรแกรมการเผ้าระวังสุขภาพของคนงานและของ ประชาชนทั่วไป สามารถประยุกต์หลักการปองกันปฐมภูมิ ทุติยภูมิและตติยภูมิได้อย่างเหมาะสม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86" w:val="left"/>
        </w:tabs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>ความรู้และทักษะในการวางแผน ออกแบบ ดำเนินการ บริหารจัดการและประเมินผลโครงการ/โปรแกรม ด้านอาชีวอนามัยและอนามัยสิ่งแวดล้อมอย่างรอบด้าน เข้าใจระบบสุขภาพ ระบบเงินทดแทน ข้อมูลสุขภาพที่เป็น อิเล็กทรอนิกส์ และกฎหมายที่เกี่ยวข้อง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>ในประเทศไทยมีการรวมตัวของแพทย์อาชีวเวชศาสตร์ ในชื่อ สมาคมโรคจากการประกอบอาชีพและสิ่งแวดล้อม แห่งประเทศไทย สมาคมฯ ได้หารือกันและกำหนดสมรรถนะ แพทย์อาซีวเวชศาสตร์ไว้ ดังนี้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thaiDistribute"/>
        <w:rPr>
          <w:sz w:val="22"/>
          <w:szCs w:val="22"/>
        </w:rPr>
      </w:pPr>
      <w:r>
        <w:rPr>
          <w:spacing w:val="0"/>
          <w:w w:val="100"/>
          <w:position w:val="0"/>
          <w:sz w:val="22"/>
          <w:szCs w:val="22"/>
          <w:shd w:val="clear" w:color="auto" w:fill="auto"/>
        </w:rPr>
        <w:t>คำนิยาม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60"/>
        <w:jc w:val="thaiDistribute"/>
        <w:rPr>
          <w:sz w:val="22"/>
          <w:szCs w:val="22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แพทย์อาซีวเวชศาสตร์ คือแพทย์เฉพาะทางผู้มีความ เชี่ยวชาญเรื่องการดูแลสุขภาพของคนทำงาน ครอบคลุมตั้งแต่ การป้องกันโรค การรักษา และการฟืนฟูสุขภาพของคนทำงาน ที่ป่วย โดยต้องเป็นแพทย์ที่ได้รับวุฒิบัตรหรือหนังสืออนุมัติ แสดงความรู้ความชำนาญในการประกอบวิชาชีพเวชกรรมสาขา เวชศาสตร์ป้องกัน แขนงอาซีวเวชศาสตร์จากแพทยสภา 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Competencies </w:t>
      </w:r>
      <w:r>
        <w:rPr>
          <w:spacing w:val="0"/>
          <w:w w:val="100"/>
          <w:position w:val="0"/>
          <w:sz w:val="22"/>
          <w:szCs w:val="22"/>
          <w:shd w:val="clear" w:color="auto" w:fill="auto"/>
        </w:rPr>
        <w:t>ของแพทย์อาขีวเวชศาสตร์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Medical emergency in workplace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96" w:val="left"/>
        </w:tabs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>วางแผน ออกแบบ และบริหารจัดการภาวะฉุกเฉิน ทางการแพทย์ที่อาจเกิดในที่ทำงาน ได้แก่ การจำแนกความ รุนแรงของการบาดเจ็บและเจ็บป่วย การออกแบบระบบตอบโต้ ภาวะฉุกเฉินทางการแพทย์ภายในสถานประกอบการและ ชุมชน การใช้ข้อมูลทางด้านภูมิประเทศ ภูมิอากาศ สิ่งคุกคาม ต่อสุขภาพ ทรัพยากรทางการแพทย์มาประกอบการวางแผน และประเมินความเสี่ยงที่จะมีผลกระทบต่อสุขภาพ ตลอดจน การให้คำแนะนำการจัดห้องปฐมพยาบาล ตลอดจนอุปกรณ์ ช่วยฟืนชีวิตที่จำเป็น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Exposure assessment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96" w:val="left"/>
        </w:tabs>
        <w:bidi w:val="0"/>
        <w:spacing w:before="0" w:after="0"/>
        <w:ind w:left="0" w:right="0" w:firstLine="760"/>
        <w:jc w:val="thaiDistribute"/>
        <w:rPr>
          <w:sz w:val="18"/>
          <w:szCs w:val="18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มิความรู้เนี้องตันเกี่ยวกับความปลอดภัย สุขศาสตร์อุตสาหกรรม อำนและแปลผลการตรวจวัด สิ่งแวดล้อมในการทำงานด้วยสุขศาสตร์อุตสาหกรรม ตลอดจน การใช้เครื่องมืออื่นๆ ในการประเมินการสัมผัส เช่น ข้อมูลทาง ระบาดวิทยา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JEM (job exposure matrix)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96" w:val="left"/>
        </w:tabs>
        <w:bidi w:val="0"/>
        <w:spacing w:before="0" w:after="0" w:line="350" w:lineRule="auto"/>
        <w:ind w:left="0" w:right="0" w:firstLine="760"/>
        <w:jc w:val="thaiDistribute"/>
      </w:pPr>
      <w:r>
        <w:rPr>
          <w:spacing w:val="0"/>
          <w:w w:val="100"/>
          <w:position w:val="0"/>
          <w:shd w:val="clear" w:color="auto" w:fill="auto"/>
        </w:rPr>
        <w:t xml:space="preserve">มิความเข้าใจด้านการควบคุมความเสี่ยงจาก สิ่งแวดล้อมในการทำงาน และสามารถสื่อสารให้เกิดการ </w:t>
      </w:r>
      <w:r>
        <w:rPr>
          <w:spacing w:val="0"/>
          <w:w w:val="100"/>
          <w:position w:val="0"/>
          <w:shd w:val="clear" w:color="auto" w:fill="auto"/>
        </w:rPr>
        <w:t>ปรับปรุงสิ่งแวดล้อมในการทำงานให้ปลอดภัย โดยสามารถ ทำงานร่วมกับวิชาชีพอื่นๆ ที่เป็นวิชาชีพด้านความปลอดภัย ในการทำงาน สุขศาสตร์อุตสาหกรรม พยาบาล เจ้าหน้าที่ฝ่าย บุคคล เป็นต้น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thaiDistribute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Health and medical surveillance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94" w:val="left"/>
        </w:tabs>
        <w:bidi w:val="0"/>
        <w:spacing w:before="0" w:after="0"/>
        <w:ind w:left="0" w:right="0" w:firstLine="740"/>
        <w:jc w:val="thaiDistribute"/>
      </w:pPr>
      <w:r>
        <w:rPr>
          <w:spacing w:val="0"/>
          <w:w w:val="100"/>
          <w:position w:val="0"/>
          <w:shd w:val="clear" w:color="auto" w:fill="auto"/>
        </w:rPr>
        <w:t>วางแผน ออกแบบ และบริหารจัดการโครงการ ด้านสุขภาพอาฃีวอนามัยภายในสถานประกอบการ สถาน พยาบาลภาครัฐ ภาคเอกชน และภายในชุมชนรอบสถาน ประกอบการ (การเผ้าระวังผลกระทบต่อสุขภาพการทำงาน และจากสิ่งแวดล้อม)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94" w:val="left"/>
        </w:tabs>
        <w:bidi w:val="0"/>
        <w:spacing w:before="0" w:after="0" w:line="350" w:lineRule="auto"/>
        <w:ind w:left="0" w:right="0" w:firstLine="740"/>
        <w:jc w:val="thaiDistribute"/>
      </w:pPr>
      <w:r>
        <w:rPr>
          <w:spacing w:val="0"/>
          <w:w w:val="100"/>
          <w:position w:val="0"/>
          <w:shd w:val="clear" w:color="auto" w:fill="auto"/>
        </w:rPr>
        <w:t xml:space="preserve">สามารถประเมินความเสี่ยงทางสุขภาพ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(health risk assessment: HRA) </w:t>
      </w:r>
      <w:r>
        <w:rPr>
          <w:spacing w:val="0"/>
          <w:w w:val="100"/>
          <w:position w:val="0"/>
          <w:shd w:val="clear" w:color="auto" w:fill="auto"/>
        </w:rPr>
        <w:t xml:space="preserve">โดยสามารถเลือกใช้รูปแบบการ ประเมิน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HRA</w:t>
      </w:r>
      <w:r>
        <w:rPr>
          <w:spacing w:val="0"/>
          <w:w w:val="100"/>
          <w:position w:val="0"/>
          <w:shd w:val="clear" w:color="auto" w:fill="auto"/>
        </w:rPr>
        <w:t>ได้อย่างเหมาะสมกับสิ่งคุกคาม (เนื่องจากมีหลาย วิธี)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94" w:val="left"/>
        </w:tabs>
        <w:bidi w:val="0"/>
        <w:spacing w:before="0" w:after="0" w:line="350" w:lineRule="auto"/>
        <w:ind w:left="0" w:right="0" w:firstLine="740"/>
        <w:jc w:val="thaiDistribute"/>
      </w:pPr>
      <w:r>
        <w:rPr>
          <w:spacing w:val="0"/>
          <w:w w:val="100"/>
          <w:position w:val="0"/>
          <w:shd w:val="clear" w:color="auto" w:fill="auto"/>
        </w:rPr>
        <w:t>ออกแบบและสามารถให้การประเมินความพร้อม ทางสุขภาพของพนักงานได้อย่างถูกต้องและเหมาะสม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90" w:val="left"/>
        </w:tabs>
        <w:bidi w:val="0"/>
        <w:spacing w:before="0" w:after="0" w:line="350" w:lineRule="auto"/>
        <w:ind w:left="0" w:right="0" w:firstLine="740"/>
        <w:jc w:val="thaiDistribute"/>
      </w:pPr>
      <w:r>
        <w:rPr>
          <w:spacing w:val="0"/>
          <w:w w:val="100"/>
          <w:position w:val="0"/>
          <w:shd w:val="clear" w:color="auto" w:fill="auto"/>
        </w:rPr>
        <w:t xml:space="preserve">กำหนดเกณฑ์การเผ้าระวังทางการแพทย์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(medi</w:t>
        <w:softHyphen/>
        <w:t xml:space="preserve">cal surveillance) </w:t>
      </w:r>
      <w:r>
        <w:rPr>
          <w:spacing w:val="0"/>
          <w:w w:val="100"/>
          <w:position w:val="0"/>
          <w:shd w:val="clear" w:color="auto" w:fill="auto"/>
        </w:rPr>
        <w:t xml:space="preserve">ที่ถูกต้องและเหมาะสมกับภาวะสิ่งคุกคาม ต่อสุขภาพในที่ทำงาน ทั้งนี้ต้องสามารถเลือกใช้แนวทาง การเผ้าระวังทางการแพทย์ของต่างประเทศที่มีแนวทาง กำหนดเป็นมาตรฐาน เช่น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OSHA </w:t>
      </w:r>
      <w:r>
        <w:rPr>
          <w:spacing w:val="0"/>
          <w:w w:val="100"/>
          <w:position w:val="0"/>
          <w:shd w:val="clear" w:color="auto" w:fill="auto"/>
        </w:rPr>
        <w:t xml:space="preserve">(บร),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HSE (UK), Australia, Singapore </w:t>
      </w:r>
      <w:r>
        <w:rPr>
          <w:spacing w:val="0"/>
          <w:w w:val="100"/>
          <w:position w:val="0"/>
          <w:shd w:val="clear" w:color="auto" w:fill="auto"/>
        </w:rPr>
        <w:t>เป็นต้น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94" w:val="left"/>
        </w:tabs>
        <w:bidi w:val="0"/>
        <w:spacing w:before="0" w:after="0"/>
        <w:ind w:left="0" w:right="0" w:firstLine="740"/>
        <w:jc w:val="thaiDistribute"/>
      </w:pPr>
      <w:r>
        <w:rPr>
          <w:spacing w:val="0"/>
          <w:w w:val="100"/>
          <w:position w:val="0"/>
          <w:shd w:val="clear" w:color="auto" w:fill="auto"/>
        </w:rPr>
        <w:t>สามารถกำหนดมาตรฐาน ตรวจสอบ และรับรอง คุณภาพการให้บริการตรวจสุขภาพทางอาซีวอนามัย (การ บริการอาซีวอนามัยฯ) และบริการด้านสุขภาพอาซีวอนามัย อื่นๆ อย่างมืออาชีพ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94" w:val="left"/>
        </w:tabs>
        <w:bidi w:val="0"/>
        <w:spacing w:before="0" w:after="0" w:line="348" w:lineRule="auto"/>
        <w:ind w:left="0" w:right="0" w:firstLine="740"/>
        <w:jc w:val="thaiDistribute"/>
        <w:rPr>
          <w:sz w:val="18"/>
          <w:szCs w:val="18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รับรองผลการวิเคราะห์การแปลผลแบบเทียบ ข้อมูลพื้นฐานรายกลุ่ม ทุกประเภท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(NIOSH, OSHA, OSHA age correction, etc.)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33" w:val="left"/>
        </w:tabs>
        <w:bidi w:val="0"/>
        <w:spacing w:before="0" w:after="0" w:line="350" w:lineRule="auto"/>
        <w:ind w:left="0" w:right="0" w:firstLine="740"/>
        <w:jc w:val="thaiDistribute"/>
      </w:pPr>
      <w:r>
        <w:rPr>
          <w:spacing w:val="0"/>
          <w:w w:val="100"/>
          <w:position w:val="0"/>
          <w:shd w:val="clear" w:color="auto" w:fill="auto"/>
        </w:rPr>
        <w:t>รับรองผลการปรับเลือกข้อมูลพื้นฐานการตรวจ สมรรถภาพการได้ยินตามมาตรฐานสากล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96" w:val="left"/>
        </w:tabs>
        <w:bidi w:val="0"/>
        <w:spacing w:before="0" w:after="0" w:line="341" w:lineRule="auto"/>
        <w:ind w:left="0" w:right="0" w:firstLine="740"/>
        <w:jc w:val="thaiDistribute"/>
      </w:pPr>
      <w:r>
        <w:rPr>
          <w:spacing w:val="0"/>
          <w:w w:val="100"/>
          <w:position w:val="0"/>
          <w:shd w:val="clear" w:color="auto" w:fill="auto"/>
        </w:rPr>
        <w:t>รับรองผลตรวจสุขภาพรายบุคคล และรายกลุ่ม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33" w:val="left"/>
        </w:tabs>
        <w:bidi w:val="0"/>
        <w:spacing w:before="0" w:after="0"/>
        <w:ind w:left="0" w:right="0" w:firstLine="740"/>
        <w:jc w:val="thaiDistribute"/>
      </w:pPr>
      <w:r>
        <w:rPr>
          <w:spacing w:val="0"/>
          <w:w w:val="100"/>
          <w:position w:val="0"/>
          <w:shd w:val="clear" w:color="auto" w:fill="auto"/>
        </w:rPr>
        <w:t>วิเคราะห์และวิจัย ผลตรวจสุขภาพ ข้อมูลทาง สุขภาพ อาฃีวอนามัย และผลการตรวจวัดสภาพแวดล้อมการ ทำงาน โดยอาศัยสถิติทางการแพทย์ ระบาดวิทยา พิษวิทยา อาซีวเวชศาสตร์ เวชศาสตร์สิ่งแวดล้อม และหลักการด้านสุขภาพ อื่นๆ ที่เกี่ยวข้อง เพื่อบ่งชี้สาเหตุของความผิดปรกติทางสุขภาพ เพื่อนำไปสู่การป้องกัน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Fitness for duty and Return to work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8" w:val="left"/>
        </w:tabs>
        <w:bidi w:val="0"/>
        <w:spacing w:before="0" w:after="0" w:line="350" w:lineRule="auto"/>
        <w:ind w:left="0" w:right="0" w:firstLine="740"/>
        <w:jc w:val="thaiDistribute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1900" w:h="16840"/>
          <w:pgMar w:top="1760" w:left="1210" w:right="1215" w:bottom="1031" w:header="0" w:footer="3" w:gutter="0"/>
          <w:cols w:num="2" w:space="365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กำหนดเกณฑ์การประเมินความสมบูรณ์พร้อมใน การทำงานสำหรับแต่ละลักษณะการทำงาน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8" w:val="left"/>
        </w:tabs>
        <w:bidi w:val="0"/>
        <w:spacing w:before="0" w:after="0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รับรองผลการประเมินความสมบูรณ์พร้อมใน การทำงาน และการประเมินการสูญเสียอวัยวะ/สมรรถภาพที่ เกี่ยวข้องกับการทำงาน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8" w:val="left"/>
        </w:tabs>
        <w:bidi w:val="0"/>
        <w:spacing w:before="0" w:after="0" w:line="350" w:lineRule="auto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รับรองผลการประเมินการกลับเข้าทำงานของ ผู้ป่วย หรือพนักงาน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Diagnosis (Work-related and occupational diseases)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38" w:val="left"/>
        </w:tabs>
        <w:bidi w:val="0"/>
        <w:spacing w:before="0" w:after="0" w:line="350" w:lineRule="auto"/>
        <w:ind w:left="0" w:right="0" w:firstLine="700"/>
        <w:jc w:val="both"/>
      </w:pPr>
      <w:r>
        <w:rPr>
          <w:spacing w:val="0"/>
          <w:w w:val="100"/>
          <w:position w:val="0"/>
          <w:shd w:val="clear" w:color="auto" w:fill="auto"/>
        </w:rPr>
        <w:t>รับรองผลการสอบสวนโรคจากการทำงานและการ วินิจฉัยโรคจากการทำงาน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33" w:val="left"/>
        </w:tabs>
        <w:bidi w:val="0"/>
        <w:spacing w:before="0" w:after="0"/>
        <w:ind w:left="0" w:right="0" w:firstLine="700"/>
        <w:jc w:val="both"/>
      </w:pPr>
      <w:r>
        <w:rPr>
          <w:spacing w:val="0"/>
          <w:w w:val="100"/>
          <w:position w:val="0"/>
          <w:shd w:val="clear" w:color="auto" w:fill="auto"/>
        </w:rPr>
        <w:t>วินิจฉัยโรคจากการทำงานด้วยหลักการวินิจฉัย ที่เป็นสากล และอาศัยข้อมูลทางการแพทย์ที่ทันสมัยในการ สนับสนุนการวินิจฉัย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8" w:val="left"/>
        </w:tabs>
        <w:bidi w:val="0"/>
        <w:spacing w:before="0" w:after="0" w:line="350" w:lineRule="auto"/>
        <w:ind w:left="0" w:right="0" w:firstLine="70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มีทักษะในการใซัเครื่องมือในการวินิจฉัยโรคเหตุ อาชีพ ได้ในระดับดีถึงดีมาก เข่น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questionnaire, spirometry, serial peak flow, skin prick test, patch tests, audiometry </w:t>
      </w:r>
      <w:r>
        <w:rPr>
          <w:spacing w:val="0"/>
          <w:w w:val="100"/>
          <w:position w:val="0"/>
          <w:shd w:val="clear" w:color="auto" w:fill="auto"/>
        </w:rPr>
        <w:t xml:space="preserve">และการเลือก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BEIs </w:t>
      </w:r>
      <w:r>
        <w:rPr>
          <w:spacing w:val="0"/>
          <w:w w:val="100"/>
          <w:position w:val="0"/>
          <w:shd w:val="clear" w:color="auto" w:fill="auto"/>
        </w:rPr>
        <w:t>เป็นต้น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Others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38" w:val="left"/>
        </w:tabs>
        <w:bidi w:val="0"/>
        <w:spacing w:before="0" w:after="0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ให้คำปรึกษาด้านสุขภาพอาฃีวอนามัย ด้วยข้อมูล วิชาการทางการแพทย์ที่เป็นปัจจุบันทั้งข้อมูลภายในประเทศ และข้อมูลจากต่างประเทศ เป็นไปตามหลักจริยธรรมด้าน อาฃีวอนามัยและสอดคล้องกับกฎหมายที่เกี่ยวข้อง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66" w:val="left"/>
        </w:tabs>
        <w:bidi w:val="0"/>
        <w:spacing w:before="0" w:after="0" w:line="341" w:lineRule="auto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วิทยากรอบรมความรู้ด้านสุขภาพอาซีวอนามัย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47" w:val="left"/>
        </w:tabs>
        <w:bidi w:val="0"/>
        <w:spacing w:before="0" w:after="0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สามารถอธิบายกลไกการเกิดพิษจากสารเคมี ในสถานที่ทำงาน โดยอาศัยหลักการทางพิษวิทยา และให้ คำแนะนำการวางระบบเฝ็าระวังสุขภาพ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47" w:val="left"/>
        </w:tabs>
        <w:bidi w:val="0"/>
        <w:spacing w:before="0" w:after="0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มีความรู้เบื้องต้นและสามารถให้คำแนะนำ เกี่ยวกับการบริหารจัดการสิ่งแวดล้อมในสถานประกอบการ ที่จะมีผลกระทบต่อสุขภาพของพนักงาน เข่น ระบบระบาย อากาศ บ่อบำบัดนํ้าเสีย ระบบไฟฟ้า การตรวจวัดสภาพแวดล้อม ในการทำงาน การจัดทำแผนที่สถานการณ์ทางสุขภาพและ สิ่งแวดล้อม เป็นต้น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3" w:val="left"/>
        </w:tabs>
        <w:bidi w:val="0"/>
        <w:spacing w:before="0" w:after="0" w:line="350" w:lineRule="auto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กำกับดูแลการปฏิบัติงานของแพทย์อบรมความรู้ เบื้องต้นด้านอาซีวเวชศาสตร์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33" w:val="left"/>
        </w:tabs>
        <w:bidi w:val="0"/>
        <w:spacing w:before="0" w:after="0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ปฏิบัติงานร่วมกับ ฝ่ายบุคคล เจ้าหน้าที่ความ ปลอดภัย พยาบาลอาซีวอนามัย แพทย์อบรมความรู้เบื้องต้น ด้านอาซีวเวชศาสตร์ แพทย์เฉพาะทางสาขาอื่นๆ สถาน ประกอบการ หน่วยงานภาครัฐ และภาคเอกชน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8" w:val="left"/>
        </w:tabs>
        <w:bidi w:val="0"/>
        <w:spacing w:before="0" w:after="0" w:line="350" w:lineRule="auto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ภาระงานอื่นๆ ที่มีความเกี่ยวข้องกับสุขภาพ อาซีวอนามัย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66" w:val="left"/>
        </w:tabs>
        <w:bidi w:val="0"/>
        <w:spacing w:before="0" w:after="0" w:line="341" w:lineRule="auto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มีคุณธรรม จริยธรรมในวิชาชีพ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00"/>
        <w:ind w:left="0" w:right="0" w:firstLine="700"/>
        <w:jc w:val="thaiDistribute"/>
      </w:pPr>
      <w:r>
        <w:rPr>
          <w:spacing w:val="0"/>
          <w:w w:val="100"/>
          <w:position w:val="0"/>
          <w:shd w:val="clear" w:color="auto" w:fill="auto"/>
        </w:rPr>
        <w:t>จะเห็นได้ร่าสมาคมฯ พิจารณากรอบการทำงาน และสมรรถนะของแพทย์อาซีวเวชศาสตร์ ไม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hd w:val="clear" w:color="auto" w:fill="auto"/>
        </w:rPr>
        <w:t xml:space="preserve">ต่างกับ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ACOEM </w:t>
      </w:r>
      <w:r>
        <w:rPr>
          <w:spacing w:val="0"/>
          <w:w w:val="100"/>
          <w:position w:val="0"/>
          <w:shd w:val="clear" w:color="auto" w:fill="auto"/>
        </w:rPr>
        <w:t>เท่าใด สมาคมฯ จะพิจารณานำเสนอสมรรถนะนี้แก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hd w:val="clear" w:color="auto" w:fill="auto"/>
        </w:rPr>
        <w:t>สมาชิก และสังคมในอนาคต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bookmarkStart w:id="8" w:name="bookmark8"/>
      <w:bookmarkStart w:id="9" w:name="bookmark9"/>
      <w:r>
        <w:rPr>
          <w:spacing w:val="0"/>
          <w:w w:val="100"/>
          <w:position w:val="0"/>
          <w:sz w:val="24"/>
          <w:szCs w:val="24"/>
          <w:shd w:val="clear" w:color="auto" w:fill="auto"/>
        </w:rPr>
        <w:t>เอกสารอัางอิง</w:t>
      </w:r>
      <w:bookmarkEnd w:id="8"/>
      <w:bookmarkEnd w:id="9"/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3" w:val="left"/>
        </w:tabs>
        <w:bidi w:val="0"/>
        <w:spacing w:before="0" w:after="0"/>
        <w:ind w:right="0"/>
        <w:jc w:val="both"/>
      </w:pPr>
      <w:r>
        <w:rPr>
          <w:rFonts w:ascii="Microsoft Sans Serif" w:eastAsia="Microsoft Sans Serif" w:hAnsi="Microsoft Sans Serif" w:cs="Microsoft Sans Serif"/>
          <w:spacing w:val="0"/>
          <w:w w:val="100"/>
          <w:position w:val="0"/>
          <w:sz w:val="20"/>
          <w:szCs w:val="20"/>
          <w:shd w:val="clear" w:color="auto" w:fill="auto"/>
          <w:lang w:val="th-TH" w:eastAsia="th-TH" w:bidi="th-TH"/>
        </w:rPr>
        <w:t xml:space="preserve">พจนานุกรมฉบับราชบัณฑิตสถาน พ.ศ. </w:t>
      </w:r>
      <w:r>
        <w:rPr>
          <w:spacing w:val="0"/>
          <w:w w:val="100"/>
          <w:position w:val="0"/>
          <w:shd w:val="clear" w:color="auto" w:fill="auto"/>
          <w:lang w:val="th-TH" w:eastAsia="th-TH" w:bidi="th-TH"/>
        </w:rPr>
        <w:t xml:space="preserve">2554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[cited </w:t>
      </w:r>
      <w:r>
        <w:rPr>
          <w:spacing w:val="0"/>
          <w:w w:val="100"/>
          <w:position w:val="0"/>
          <w:shd w:val="clear" w:color="auto" w:fill="auto"/>
          <w:lang w:val="th-TH" w:eastAsia="th-TH" w:bidi="th-TH"/>
        </w:rPr>
        <w:t xml:space="preserve">2018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Sep </w:t>
      </w:r>
      <w:r>
        <w:rPr>
          <w:spacing w:val="0"/>
          <w:w w:val="100"/>
          <w:position w:val="0"/>
          <w:shd w:val="clear" w:color="auto" w:fill="auto"/>
          <w:lang w:val="th-TH" w:eastAsia="th-TH" w:bidi="th-TH"/>
        </w:rPr>
        <w:t xml:space="preserve">24].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Available from: </w:t>
      </w:r>
      <w:r>
        <w:fldChar w:fldCharType="begin"/>
      </w:r>
      <w:r>
        <w:rPr/>
        <w:instrText> HYPERLINK "http://www.royin.go.th/"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www.royin.go.th/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dictionary/</w:t>
      </w:r>
    </w:p>
    <w:p>
      <w:pPr>
        <w:pStyle w:val="Style1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3" w:val="left"/>
        </w:tabs>
        <w:bidi w:val="0"/>
        <w:spacing w:before="0" w:after="0" w:line="348" w:lineRule="auto"/>
        <w:ind w:left="500" w:right="0" w:hanging="500"/>
        <w:jc w:val="both"/>
        <w:rPr>
          <w:sz w:val="18"/>
          <w:szCs w:val="18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พรชัย สิทธิศรัณย์กุล. จริยธรรมของแพทย์อาซีว เวชศาสตร์. วารสารราชบัณฑิตยสภา 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</w:rPr>
        <w:t xml:space="preserve">2560;42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ะ!ร</w:t>
      </w:r>
      <w:r>
        <w:rPr>
          <w:rFonts w:ascii="Segoe UI" w:eastAsia="Segoe UI" w:hAnsi="Segoe UI" w:cs="Segoe UI"/>
          <w:spacing w:val="0"/>
          <w:w w:val="100"/>
          <w:position w:val="0"/>
          <w:sz w:val="18"/>
          <w:szCs w:val="18"/>
          <w:shd w:val="clear" w:color="auto" w:fill="auto"/>
        </w:rPr>
        <w:t>3-6.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3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Sithisarankul p. Occupational versus Environ</w:t>
        <w:softHyphen/>
        <w:t>mental Medicine: Similarities and Differences. Internal Medicine Journal of Thailand 2003;19 October-December: 293.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3" w:val="left"/>
        </w:tabs>
        <w:bidi w:val="0"/>
        <w:spacing w:before="0"/>
        <w:ind w:right="0"/>
        <w:jc w:val="both"/>
        <w:sectPr>
          <w:headerReference w:type="default" r:id="rId7"/>
          <w:headerReference w:type="even" r:id="rId8"/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1900" w:h="16840"/>
          <w:pgMar w:top="1760" w:left="1210" w:right="1215" w:bottom="1031" w:header="0" w:footer="603" w:gutter="0"/>
          <w:cols w:num="2" w:space="365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American College of Occupational and Environmental Medicine. American College Of Occupational and Environmental Medicine’s Occupational and Environmental Medicine Competencies </w:t>
      </w:r>
      <w:r>
        <w:rPr>
          <w:spacing w:val="0"/>
          <w:w w:val="100"/>
          <w:position w:val="0"/>
          <w:shd w:val="clear" w:color="auto" w:fill="auto"/>
          <w:lang w:val="th-TH" w:eastAsia="th-TH" w:bidi="th-TH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2014. [cited 2018 Sep 24], Available from: </w:t>
      </w:r>
      <w:r>
        <w:fldChar w:fldCharType="begin"/>
      </w:r>
      <w:r>
        <w:rPr/>
        <w:instrText> HYPERLINK "http://www.acoem.org/"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http://www.acoem.org/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uploadedfiles/publications/Oem_Competen- cies/Acoem%20oem%20competencies.pdf</w:t>
      </w:r>
    </w:p>
    <w:p>
      <w:pPr>
        <w:pStyle w:val="Style12"/>
        <w:keepNext/>
        <w:keepLines/>
        <w:widowControl w:val="0"/>
        <w:pBdr>
          <w:top w:val="single" w:sz="0" w:space="5" w:color="E7E7E7"/>
          <w:left w:val="single" w:sz="0" w:space="0" w:color="E7E7E7"/>
          <w:bottom w:val="single" w:sz="0" w:space="0" w:color="E7E7E7"/>
          <w:right w:val="single" w:sz="0" w:space="0" w:color="E7E7E7"/>
        </w:pBdr>
        <w:shd w:val="clear" w:color="auto" w:fill="E7E7E7"/>
        <w:bidi w:val="0"/>
        <w:spacing w:before="0" w:after="120" w:line="240" w:lineRule="auto"/>
        <w:ind w:left="0" w:right="0" w:firstLine="0"/>
        <w:jc w:val="center"/>
      </w:pPr>
      <w:bookmarkStart w:id="10" w:name="bookmark10"/>
      <w:bookmarkStart w:id="11" w:name="bookmark11"/>
      <w:r>
        <w:rPr>
          <w:rFonts w:ascii="Segoe UI" w:eastAsia="Segoe UI" w:hAnsi="Segoe UI" w:cs="Segoe UI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bookmarkEnd w:id="10"/>
      <w:bookmarkEnd w:id="11"/>
    </w:p>
    <w:p>
      <w:pPr>
        <w:pStyle w:val="Style29"/>
        <w:keepNext w:val="0"/>
        <w:keepLines w:val="0"/>
        <w:widowControl w:val="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bidi w:val="0"/>
        <w:spacing w:before="0" w:after="0" w:line="418" w:lineRule="auto"/>
        <w:ind w:left="0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Competency of occupational physicians</w:t>
      </w:r>
    </w:p>
    <w:p>
      <w:pPr>
        <w:pStyle w:val="Style29"/>
        <w:keepNext w:val="0"/>
        <w:keepLines w:val="0"/>
        <w:widowControl w:val="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bidi w:val="0"/>
        <w:spacing w:before="0" w:after="60" w:line="240" w:lineRule="auto"/>
        <w:ind w:left="0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Pornchai Sithisarankul*, Adul Bandhukul**</w:t>
      </w:r>
    </w:p>
    <w:p>
      <w:pPr>
        <w:pStyle w:val="Style31"/>
        <w:keepNext w:val="0"/>
        <w:keepLines w:val="0"/>
        <w:widowControl w:val="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bidi w:val="0"/>
        <w:spacing w:before="0" w:line="240" w:lineRule="auto"/>
        <w:ind w:left="0" w:right="0" w:firstLine="3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 Department of Preventive and Social Medicine, Faculty of Medicine, Chulalongkorn University</w:t>
      </w:r>
    </w:p>
    <w:p>
      <w:pPr>
        <w:pStyle w:val="Style31"/>
        <w:keepNext w:val="0"/>
        <w:keepLines w:val="0"/>
        <w:widowControl w:val="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bidi w:val="0"/>
        <w:spacing w:before="0" w:line="240" w:lineRule="auto"/>
        <w:ind w:left="0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Assistant Director on Health Promotion, King Chulalongkorn Memorial Hospital, Thai Red Cross</w:t>
      </w:r>
    </w:p>
    <w:p>
      <w:pPr>
        <w:pStyle w:val="Style31"/>
        <w:keepNext w:val="0"/>
        <w:keepLines w:val="0"/>
        <w:widowControl w:val="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bidi w:val="0"/>
        <w:spacing w:before="0" w:line="240" w:lineRule="auto"/>
        <w:ind w:left="0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Academic Affairs, The Association of Occupational and Environmental Diseases of Thailand</w:t>
      </w:r>
    </w:p>
    <w:p>
      <w:pPr>
        <w:pStyle w:val="Style31"/>
        <w:keepNext w:val="0"/>
        <w:keepLines w:val="0"/>
        <w:widowControl w:val="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bidi w:val="0"/>
        <w:spacing w:before="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** Occupational and Environmental Medicine Center, Nopparat Ratchatanee Hospital</w:t>
      </w:r>
    </w:p>
    <w:p>
      <w:pPr>
        <w:pStyle w:val="Style31"/>
        <w:keepNext w:val="0"/>
        <w:keepLines w:val="0"/>
        <w:widowControl w:val="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bidi w:val="0"/>
        <w:spacing w:before="0" w:after="440" w:line="240" w:lineRule="auto"/>
        <w:ind w:left="0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President, The Association of Occupational and Environmental Diseases of Thailand</w:t>
      </w:r>
    </w:p>
    <w:p>
      <w:pPr>
        <w:pStyle w:val="Style25"/>
        <w:keepNext w:val="0"/>
        <w:keepLines w:val="0"/>
        <w:widowControl w:val="0"/>
        <w:pBdr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bidi w:val="0"/>
        <w:spacing w:before="0" w:after="120"/>
        <w:ind w:left="180" w:right="0" w:firstLine="7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article presented 10 core competencies of occupational and environmental physicians according to the American College of Occupational and Environmental Medicine. It also proposed competencies of Thai board-certified occupational physicians considered by the Association of Occupational and Environmental Diseases of Thailand, which will be presented to the members and the public in the future.</w:t>
      </w:r>
    </w:p>
    <w:p>
      <w:pPr>
        <w:pStyle w:val="Style25"/>
        <w:keepNext w:val="0"/>
        <w:keepLines w:val="0"/>
        <w:widowControl w:val="0"/>
        <w:pBdr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bidi w:val="0"/>
        <w:spacing w:before="0" w:after="60"/>
        <w:ind w:left="0" w:right="0" w:firstLine="18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Keywords: competency, occupational physician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248400" cy="140335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6248400" cy="1403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11"/>
      <w:headerReference w:type="even" r:id="rId12"/>
      <w:footnotePr>
        <w:pos w:val="pageBottom"/>
        <w:numFmt w:val="chicago"/>
        <w:numStart w:val="1"/>
        <w:numRestart w:val="continuous"/>
        <w15:footnoteColumns w:val="1"/>
      </w:footnotePr>
      <w:pgSz w:w="11900" w:h="16840"/>
      <w:pgMar w:top="2024" w:left="1063" w:right="997" w:bottom="2024" w:header="0" w:footer="1596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footnoteRef/>
      </w:r>
      <w:r>
        <w:rPr>
          <w:spacing w:val="0"/>
          <w:w w:val="100"/>
          <w:position w:val="0"/>
          <w:shd w:val="clear" w:color="auto" w:fill="auto"/>
        </w:rPr>
        <w:t>ภาควิชาเวชศาสตร์ป้องกันและสังคม คณะแพทยศาสตร์ จุฬาลงกรณ์มหาวิทยาลัย ผู้ช่วยผู้อำนวยการด้านส่งเสริมและฟินฟู โรงพยาบาลจุฬาลงกรณ์ สภากาชาดไทย และฝ่ายวิชาการ สมาคมโรคจากการประกอบอาชีพและสิ่งแวดล้อมแห่งประเทศไทย</w:t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footnoteRef/>
      </w:r>
      <w:r>
        <w:rPr>
          <w:spacing w:val="0"/>
          <w:w w:val="100"/>
          <w:position w:val="0"/>
          <w:shd w:val="clear" w:color="auto" w:fill="auto"/>
        </w:rPr>
        <w:t>ศูนย์อาขีวเวชศาสตร์และเวชศาสตร์สิ่งแวดล้อม โรงพยาบาลนพรัตนราชธานี และนายกสมาคมโรคจากการประกอบอาชีพและสิ่งแวดล้อม แห่งประเทศไทย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764540</wp:posOffset>
              </wp:positionH>
              <wp:positionV relativeFrom="page">
                <wp:posOffset>690880</wp:posOffset>
              </wp:positionV>
              <wp:extent cx="5980430" cy="17081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80430" cy="170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1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231E2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  <w:lang w:val="en-US" w:eastAsia="en-US" w:bidi="en-US"/>
                            </w:rPr>
                            <w:t>206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Thammasat Medical Journal, Vol. 19 No. 1, 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March 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0.200000000000003pt;margin-top:54.399999999999999pt;width:470.89999999999998pt;height:13.449999999999999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1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Calibri" w:eastAsia="Calibri" w:hAnsi="Calibri" w:cs="Calibri"/>
                        <w:color w:val="231E2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  <w:lang w:val="en-US" w:eastAsia="en-US" w:bidi="en-US"/>
                      </w:rPr>
                      <w:t>206</w:t>
                      <w:tab/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Thammasat Medical Journal, Vol. 19 No. 1, January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806450</wp:posOffset>
              </wp:positionH>
              <wp:positionV relativeFrom="page">
                <wp:posOffset>675640</wp:posOffset>
              </wp:positionV>
              <wp:extent cx="5980430" cy="16764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8043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1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Thammasat Medical Journal, Vol.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th-TH" w:eastAsia="th-TH" w:bidi="th-TH"/>
                            </w:rPr>
                            <w:t>ไ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9 No.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th-TH" w:eastAsia="th-TH" w:bidi="th-TH"/>
                            </w:rPr>
                            <w:t xml:space="preserve">ไ,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March 2019</w:t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231E2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  <w:lang w:val="en-US" w:eastAsia="en-US" w:bidi="en-US"/>
                            </w:rPr>
                            <w:t>207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3.5pt;margin-top:53.200000000000003pt;width:470.89999999999998pt;height:13.199999999999999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1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Thammasat Medical Journal, Vol.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th-TH" w:eastAsia="th-TH" w:bidi="th-TH"/>
                      </w:rPr>
                      <w:t>ไ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9 No.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th-TH" w:eastAsia="th-TH" w:bidi="th-TH"/>
                      </w:rPr>
                      <w:t xml:space="preserve">ไ,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January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March 2019</w:t>
                      <w:tab/>
                    </w:r>
                    <w:r>
                      <w:rPr>
                        <w:rFonts w:ascii="Calibri" w:eastAsia="Calibri" w:hAnsi="Calibri" w:cs="Calibri"/>
                        <w:color w:val="231E2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  <w:lang w:val="en-US" w:eastAsia="en-US" w:bidi="en-US"/>
                      </w:rPr>
                      <w:t>207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803275</wp:posOffset>
              </wp:positionH>
              <wp:positionV relativeFrom="page">
                <wp:posOffset>810895</wp:posOffset>
              </wp:positionV>
              <wp:extent cx="5681345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68134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3.25pt;margin-top:63.850000000000001pt;width:447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821690</wp:posOffset>
              </wp:positionH>
              <wp:positionV relativeFrom="page">
                <wp:posOffset>715010</wp:posOffset>
              </wp:positionV>
              <wp:extent cx="3166745" cy="12827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6674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Thammasat Medical Journal, Vol.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th-TH" w:eastAsia="th-TH" w:bidi="th-TH"/>
                            </w:rPr>
                            <w:t>ไ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9 No.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th-TH" w:eastAsia="th-TH" w:bidi="th-TH"/>
                            </w:rPr>
                            <w:t xml:space="preserve">ไ,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March 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64.700000000000003pt;margin-top:56.299999999999997pt;width:249.34999999999999pt;height:10.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Thammasat Medical Journal, Vol.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th-TH" w:eastAsia="th-TH" w:bidi="th-TH"/>
                      </w:rPr>
                      <w:t>ไ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9 No.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th-TH" w:eastAsia="th-TH" w:bidi="th-TH"/>
                      </w:rPr>
                      <w:t xml:space="preserve">ไ,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January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818515</wp:posOffset>
              </wp:positionH>
              <wp:positionV relativeFrom="page">
                <wp:posOffset>850265</wp:posOffset>
              </wp:positionV>
              <wp:extent cx="5681345" cy="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68134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450000000000003pt;margin-top:66.950000000000003pt;width:447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821690</wp:posOffset>
              </wp:positionH>
              <wp:positionV relativeFrom="page">
                <wp:posOffset>715010</wp:posOffset>
              </wp:positionV>
              <wp:extent cx="3166745" cy="12827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6674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Thammasat Medical Journal, Vol.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th-TH" w:eastAsia="th-TH" w:bidi="th-TH"/>
                            </w:rPr>
                            <w:t>ไ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9 No.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th-TH" w:eastAsia="th-TH" w:bidi="th-TH"/>
                            </w:rPr>
                            <w:t xml:space="preserve">ไ,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March 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64.700000000000003pt;margin-top:56.299999999999997pt;width:249.34999999999999pt;height:10.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Thammasat Medical Journal, Vol.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th-TH" w:eastAsia="th-TH" w:bidi="th-TH"/>
                      </w:rPr>
                      <w:t>ไ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9 No.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th-TH" w:eastAsia="th-TH" w:bidi="th-TH"/>
                      </w:rPr>
                      <w:t xml:space="preserve">ไ,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January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818515</wp:posOffset>
              </wp:positionH>
              <wp:positionV relativeFrom="page">
                <wp:posOffset>850265</wp:posOffset>
              </wp:positionV>
              <wp:extent cx="5681345" cy="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68134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450000000000003pt;margin-top:66.950000000000003pt;width:447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764540</wp:posOffset>
              </wp:positionH>
              <wp:positionV relativeFrom="page">
                <wp:posOffset>690880</wp:posOffset>
              </wp:positionV>
              <wp:extent cx="5980430" cy="17081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80430" cy="170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1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231E2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  <w:lang w:val="en-US" w:eastAsia="en-US" w:bidi="en-US"/>
                            </w:rPr>
                            <w:t>206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Thammasat Medical Journal, Vol. 19 No. 1, 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March 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60.200000000000003pt;margin-top:54.399999999999999pt;width:470.89999999999998pt;height:13.449999999999999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1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Calibri" w:eastAsia="Calibri" w:hAnsi="Calibri" w:cs="Calibri"/>
                        <w:color w:val="231E2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  <w:lang w:val="en-US" w:eastAsia="en-US" w:bidi="en-US"/>
                      </w:rPr>
                      <w:t>206</w:t>
                      <w:tab/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Thammasat Medical Journal, Vol. 19 No. 1, January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764540</wp:posOffset>
              </wp:positionH>
              <wp:positionV relativeFrom="page">
                <wp:posOffset>690880</wp:posOffset>
              </wp:positionV>
              <wp:extent cx="5980430" cy="17081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80430" cy="170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1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231E2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  <w:lang w:val="en-US" w:eastAsia="en-US" w:bidi="en-US"/>
                            </w:rPr>
                            <w:t>206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Thammasat Medical Journal, Vol. 19 No. 1, 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March 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60.200000000000003pt;margin-top:54.399999999999999pt;width:470.89999999999998pt;height:13.449999999999999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1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Calibri" w:eastAsia="Calibri" w:hAnsi="Calibri" w:cs="Calibri"/>
                        <w:color w:val="231E2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  <w:lang w:val="en-US" w:eastAsia="en-US" w:bidi="en-US"/>
                      </w:rPr>
                      <w:t>206</w:t>
                      <w:tab/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Thammasat Medical Journal, Vol. 19 No. 1, January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8"/>
        <w:szCs w:val="18"/>
        <w:u w:val="none"/>
        <w:shd w:val="clear" w:color="auto" w:fill="auto"/>
        <w:lang w:val="th-TH" w:eastAsia="th-TH" w:bidi="th-TH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8"/>
        <w:szCs w:val="18"/>
        <w:u w:val="none"/>
        <w:shd w:val="clear" w:color="auto" w:fill="auto"/>
        <w:lang w:val="th-TH" w:eastAsia="th-TH" w:bidi="th-TH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Footnote_"/>
    <w:basedOn w:val="DefaultParagraphFont"/>
    <w:link w:val="Style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17"/>
      <w:szCs w:val="17"/>
      <w:u w:val="none"/>
      <w:lang w:val="th-TH" w:eastAsia="th-TH" w:bidi="th-TH"/>
    </w:rPr>
  </w:style>
  <w:style w:type="character" w:customStyle="1" w:styleId="CharStyle5">
    <w:name w:val="Heading #1_"/>
    <w:basedOn w:val="DefaultParagraphFont"/>
    <w:link w:val="Style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EBEBEB"/>
      <w:sz w:val="30"/>
      <w:szCs w:val="30"/>
      <w:u w:val="none"/>
      <w:lang w:val="th-TH" w:eastAsia="th-TH" w:bidi="th-TH"/>
    </w:rPr>
  </w:style>
  <w:style w:type="character" w:customStyle="1" w:styleId="CharStyle7">
    <w:name w:val="Header or footer (2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2_"/>
    <w:basedOn w:val="DefaultParagraphFont"/>
    <w:link w:val="Style10"/>
    <w:rPr>
      <w:rFonts w:ascii="Tahoma" w:eastAsia="Tahoma" w:hAnsi="Tahoma" w:cs="Tahoma"/>
      <w:b/>
      <w:bCs/>
      <w:i w:val="0"/>
      <w:iCs w:val="0"/>
      <w:smallCaps w:val="0"/>
      <w:strike w:val="0"/>
      <w:color w:val="231E20"/>
      <w:sz w:val="28"/>
      <w:szCs w:val="28"/>
      <w:u w:val="none"/>
      <w:lang w:val="th-TH" w:eastAsia="th-TH" w:bidi="th-TH"/>
    </w:rPr>
  </w:style>
  <w:style w:type="character" w:customStyle="1" w:styleId="CharStyle13">
    <w:name w:val="Heading #3_"/>
    <w:basedOn w:val="DefaultParagraphFont"/>
    <w:link w:val="Style1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26"/>
      <w:szCs w:val="26"/>
      <w:u w:val="none"/>
      <w:lang w:val="th-TH" w:eastAsia="th-TH" w:bidi="th-TH"/>
    </w:rPr>
  </w:style>
  <w:style w:type="character" w:customStyle="1" w:styleId="CharStyle15">
    <w:name w:val="Heading #4_"/>
    <w:basedOn w:val="DefaultParagraphFont"/>
    <w:link w:val="Style1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u w:val="none"/>
      <w:lang w:val="th-TH" w:eastAsia="th-TH" w:bidi="th-TH"/>
    </w:rPr>
  </w:style>
  <w:style w:type="character" w:customStyle="1" w:styleId="CharStyle17">
    <w:name w:val="Body text_"/>
    <w:basedOn w:val="DefaultParagraphFont"/>
    <w:link w:val="Style1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20"/>
      <w:szCs w:val="20"/>
      <w:u w:val="none"/>
      <w:lang w:val="th-TH" w:eastAsia="th-TH" w:bidi="th-TH"/>
    </w:rPr>
  </w:style>
  <w:style w:type="character" w:customStyle="1" w:styleId="CharStyle24">
    <w:name w:val="Body text (4)_"/>
    <w:basedOn w:val="DefaultParagraphFont"/>
    <w:link w:val="Style23"/>
    <w:rPr>
      <w:rFonts w:ascii="Arial" w:eastAsia="Arial" w:hAnsi="Arial" w:cs="Arial"/>
      <w:b w:val="0"/>
      <w:bCs w:val="0"/>
      <w:i w:val="0"/>
      <w:iCs w:val="0"/>
      <w:smallCaps w:val="0"/>
      <w:strike w:val="0"/>
      <w:color w:val="231E20"/>
      <w:sz w:val="20"/>
      <w:szCs w:val="20"/>
      <w:u w:val="none"/>
    </w:rPr>
  </w:style>
  <w:style w:type="character" w:customStyle="1" w:styleId="CharStyle26">
    <w:name w:val="Body text (2)_"/>
    <w:basedOn w:val="DefaultParagraphFont"/>
    <w:link w:val="Style2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231E20"/>
      <w:sz w:val="18"/>
      <w:szCs w:val="18"/>
      <w:u w:val="none"/>
    </w:rPr>
  </w:style>
  <w:style w:type="character" w:customStyle="1" w:styleId="CharStyle30">
    <w:name w:val="Body text (5)_"/>
    <w:basedOn w:val="DefaultParagraphFont"/>
    <w:link w:val="Style29"/>
    <w:rPr>
      <w:rFonts w:ascii="Arial" w:eastAsia="Arial" w:hAnsi="Arial" w:cs="Arial"/>
      <w:b w:val="0"/>
      <w:bCs w:val="0"/>
      <w:i w:val="0"/>
      <w:iCs w:val="0"/>
      <w:smallCaps w:val="0"/>
      <w:strike w:val="0"/>
      <w:color w:val="231E20"/>
      <w:sz w:val="17"/>
      <w:szCs w:val="17"/>
      <w:u w:val="none"/>
    </w:rPr>
  </w:style>
  <w:style w:type="character" w:customStyle="1" w:styleId="CharStyle32">
    <w:name w:val="Body text (3)_"/>
    <w:basedOn w:val="DefaultParagraphFont"/>
    <w:link w:val="Style31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231E20"/>
      <w:sz w:val="16"/>
      <w:szCs w:val="16"/>
      <w:u w:val="none"/>
    </w:rPr>
  </w:style>
  <w:style w:type="paragraph" w:customStyle="1" w:styleId="Style2">
    <w:name w:val="Footnote"/>
    <w:basedOn w:val="Normal"/>
    <w:link w:val="CharStyle3"/>
    <w:pPr>
      <w:widowControl w:val="0"/>
      <w:shd w:val="clear" w:color="auto" w:fill="FFFFFF"/>
      <w:spacing w:line="302" w:lineRule="auto"/>
    </w:pPr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17"/>
      <w:szCs w:val="17"/>
      <w:u w:val="none"/>
      <w:lang w:val="th-TH" w:eastAsia="th-TH" w:bidi="th-TH"/>
    </w:rPr>
  </w:style>
  <w:style w:type="paragraph" w:customStyle="1" w:styleId="Style4">
    <w:name w:val="Heading #1"/>
    <w:basedOn w:val="Normal"/>
    <w:link w:val="CharStyle5"/>
    <w:pPr>
      <w:widowControl w:val="0"/>
      <w:shd w:val="clear" w:color="auto" w:fill="FFFFFF"/>
      <w:spacing w:after="400"/>
      <w:outlineLvl w:val="0"/>
    </w:pPr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EBEBEB"/>
      <w:sz w:val="30"/>
      <w:szCs w:val="30"/>
      <w:u w:val="none"/>
      <w:lang w:val="th-TH" w:eastAsia="th-TH" w:bidi="th-TH"/>
    </w:rPr>
  </w:style>
  <w:style w:type="paragraph" w:customStyle="1" w:styleId="Style6">
    <w:name w:val="Header or footer (2)"/>
    <w:basedOn w:val="Normal"/>
    <w:link w:val="CharStyle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2"/>
    <w:basedOn w:val="Normal"/>
    <w:link w:val="CharStyle11"/>
    <w:pPr>
      <w:widowControl w:val="0"/>
      <w:shd w:val="clear" w:color="auto" w:fill="FFFFFF"/>
      <w:spacing w:after="460"/>
      <w:jc w:val="center"/>
      <w:outlineLvl w:val="1"/>
    </w:pPr>
    <w:rPr>
      <w:rFonts w:ascii="Tahoma" w:eastAsia="Tahoma" w:hAnsi="Tahoma" w:cs="Tahoma"/>
      <w:b/>
      <w:bCs/>
      <w:i w:val="0"/>
      <w:iCs w:val="0"/>
      <w:smallCaps w:val="0"/>
      <w:strike w:val="0"/>
      <w:color w:val="231E20"/>
      <w:sz w:val="28"/>
      <w:szCs w:val="28"/>
      <w:u w:val="none"/>
      <w:lang w:val="th-TH" w:eastAsia="th-TH" w:bidi="th-TH"/>
    </w:rPr>
  </w:style>
  <w:style w:type="paragraph" w:customStyle="1" w:styleId="Style12">
    <w:name w:val="Heading #3"/>
    <w:basedOn w:val="Normal"/>
    <w:link w:val="CharStyle13"/>
    <w:pPr>
      <w:widowControl w:val="0"/>
      <w:shd w:val="clear" w:color="auto" w:fill="FFFFFF"/>
      <w:spacing w:after="530"/>
      <w:jc w:val="center"/>
      <w:outlineLvl w:val="2"/>
    </w:pPr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26"/>
      <w:szCs w:val="26"/>
      <w:u w:val="none"/>
      <w:lang w:val="th-TH" w:eastAsia="th-TH" w:bidi="th-TH"/>
    </w:rPr>
  </w:style>
  <w:style w:type="paragraph" w:customStyle="1" w:styleId="Style14">
    <w:name w:val="Heading #4"/>
    <w:basedOn w:val="Normal"/>
    <w:link w:val="CharStyle15"/>
    <w:pPr>
      <w:widowControl w:val="0"/>
      <w:shd w:val="clear" w:color="auto" w:fill="FFFFFF"/>
      <w:spacing w:after="70"/>
      <w:jc w:val="center"/>
      <w:outlineLvl w:val="3"/>
    </w:pPr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u w:val="none"/>
      <w:lang w:val="th-TH" w:eastAsia="th-TH" w:bidi="th-TH"/>
    </w:rPr>
  </w:style>
  <w:style w:type="paragraph" w:styleId="Style16">
    <w:name w:val="Body text"/>
    <w:basedOn w:val="Normal"/>
    <w:link w:val="CharStyle17"/>
    <w:qFormat/>
    <w:pPr>
      <w:widowControl w:val="0"/>
      <w:shd w:val="clear" w:color="auto" w:fill="FFFFFF"/>
      <w:spacing w:line="360" w:lineRule="auto"/>
      <w:ind w:firstLine="400"/>
    </w:pPr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20"/>
      <w:szCs w:val="20"/>
      <w:u w:val="none"/>
      <w:lang w:val="th-TH" w:eastAsia="th-TH" w:bidi="th-TH"/>
    </w:rPr>
  </w:style>
  <w:style w:type="paragraph" w:customStyle="1" w:styleId="Style23">
    <w:name w:val="Body text (4)"/>
    <w:basedOn w:val="Normal"/>
    <w:link w:val="CharStyle24"/>
    <w:pPr>
      <w:widowControl w:val="0"/>
      <w:shd w:val="clear" w:color="auto" w:fill="FFFFFF"/>
      <w:spacing w:line="36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E20"/>
      <w:sz w:val="20"/>
      <w:szCs w:val="20"/>
      <w:u w:val="none"/>
    </w:rPr>
  </w:style>
  <w:style w:type="paragraph" w:customStyle="1" w:styleId="Style25">
    <w:name w:val="Body text (2)"/>
    <w:basedOn w:val="Normal"/>
    <w:link w:val="CharStyle26"/>
    <w:pPr>
      <w:widowControl w:val="0"/>
      <w:shd w:val="clear" w:color="auto" w:fill="FFFFFF"/>
      <w:spacing w:after="40" w:line="341" w:lineRule="auto"/>
      <w:ind w:left="500" w:hanging="500"/>
    </w:pPr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231E20"/>
      <w:sz w:val="18"/>
      <w:szCs w:val="18"/>
      <w:u w:val="none"/>
    </w:rPr>
  </w:style>
  <w:style w:type="paragraph" w:customStyle="1" w:styleId="Style29">
    <w:name w:val="Body text (5)"/>
    <w:basedOn w:val="Normal"/>
    <w:link w:val="CharStyle30"/>
    <w:pPr>
      <w:widowControl w:val="0"/>
      <w:shd w:val="clear" w:color="auto" w:fill="FFFFFF"/>
      <w:spacing w:after="30" w:line="329" w:lineRule="auto"/>
      <w:ind w:firstLine="18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E20"/>
      <w:sz w:val="17"/>
      <w:szCs w:val="17"/>
      <w:u w:val="none"/>
    </w:rPr>
  </w:style>
  <w:style w:type="paragraph" w:customStyle="1" w:styleId="Style31">
    <w:name w:val="Body text (3)"/>
    <w:basedOn w:val="Normal"/>
    <w:link w:val="CharStyle32"/>
    <w:pPr>
      <w:widowControl w:val="0"/>
      <w:shd w:val="clear" w:color="auto" w:fill="FFFFFF"/>
      <w:spacing w:after="60"/>
      <w:ind w:firstLine="420"/>
    </w:pPr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231E2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image" Target="media/image1.jpeg"/><Relationship Id="rId10" Type="http://schemas.openxmlformats.org/officeDocument/2006/relationships/image" Target="media/image1.jpeg" TargetMode="External"/><Relationship Id="rId11" Type="http://schemas.openxmlformats.org/officeDocument/2006/relationships/header" Target="header5.xml"/><Relationship Id="rId12" Type="http://schemas.openxmlformats.org/officeDocument/2006/relationships/header" Target="header6.xml"/></Relationships>
</file>