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F48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color w:val="000000"/>
          <w:sz w:val="24"/>
          <w:highlight w:val="none"/>
          <w:lang w:val="en"/>
        </w:rPr>
        <w:t xml:space="preserve">Date: 15/01/2026</w:t>
      </w:r>
      <w:r>
        <w:rPr>
          <w:rFonts w:ascii="Google Sans" w:hAnsi="Google Sans" w:eastAsia="Google Sans" w:cs="Google Sans"/>
          <w:color w:val="000000"/>
          <w:sz w:val="24"/>
          <w:highlight w:val="none"/>
        </w:rPr>
      </w:r>
      <w:r>
        <w:rPr>
          <w:rFonts w:ascii="Google Sans" w:hAnsi="Google Sans" w:eastAsia="Google Sans" w:cs="Google Sans"/>
          <w:color w:val="000000"/>
          <w:sz w:val="24"/>
          <w:highlight w:val="none"/>
        </w:rPr>
      </w:r>
    </w:p>
    <w:p w14:paraId="47101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Google Sans" w:hAnsi="Google Sans" w:eastAsia="Google Sans" w:cs="Google Sans"/>
          <w:color w:val="000000"/>
          <w:sz w:val="24"/>
          <w:szCs w:val="24"/>
          <w:highlight w:val="none"/>
        </w:rPr>
      </w:pPr>
      <w:r>
        <w:rPr>
          <w:rFonts w:ascii="Google Sans" w:hAnsi="Google Sans" w:eastAsia="Google Sans" w:cs="Google Sans"/>
          <w:color w:val="000000"/>
          <w:sz w:val="24"/>
          <w:highlight w:val="none"/>
        </w:rPr>
      </w:r>
      <w:r>
        <w:rPr>
          <w:rFonts w:ascii="Google Sans" w:hAnsi="Google Sans" w:eastAsia="Google Sans" w:cs="Google Sans"/>
          <w:color w:val="000000"/>
          <w:sz w:val="24"/>
          <w:highlight w:val="none"/>
        </w:rPr>
      </w:r>
      <w:r>
        <w:rPr>
          <w:rFonts w:ascii="Google Sans" w:hAnsi="Google Sans" w:eastAsia="Google Sans" w:cs="Google Sans"/>
          <w:color w:val="000000"/>
          <w:sz w:val="24"/>
          <w:highlight w:val="none"/>
        </w:rPr>
      </w:r>
    </w:p>
    <w:p w14:paraId="640B0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Google Sans" w:hAnsi="Google Sans" w:eastAsia="Google Sans" w:cs="Google Sans"/>
          <w:color w:val="000000"/>
          <w:sz w:val="24"/>
          <w:szCs w:val="24"/>
          <w:highlight w:val="none"/>
        </w:rPr>
      </w:pPr>
      <w:r>
        <w:rPr>
          <w:rFonts w:ascii="Google Sans" w:hAnsi="Google Sans" w:eastAsia="Google Sans" w:cs="Google Sans"/>
          <w:color w:val="000000"/>
          <w:sz w:val="24"/>
        </w:rPr>
        <w:t xml:space="preserve">It has been an incredibly productive session! You’ve essentially performed a "manual DevOps" run-through, which is the best way to understand how AWS works under the hood.</w:t>
      </w:r>
      <w:r/>
    </w:p>
    <w:p w14:paraId="67FA1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color w:val="000000"/>
          <w:sz w:val="24"/>
        </w:rPr>
        <w:t xml:space="preserve">Here is a summary of our progress, the hurdles we cleared, and where the architecture stands now.</w:t>
      </w:r>
      <w:r/>
    </w:p>
    <w:p w14:paraId="342172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36"/>
        </w:rPr>
        <w:t xml:space="preserve">🛠️ Project Summary: Frontend Microservice Deployment</w:t>
      </w:r>
      <w:r/>
    </w:p>
    <w:p w14:paraId="25DFB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Goal:</w:t>
      </w:r>
      <w:r>
        <w:rPr>
          <w:rFonts w:ascii="Google Sans" w:hAnsi="Google Sans" w:eastAsia="Google Sans" w:cs="Google Sans"/>
          <w:color w:val="000000"/>
          <w:sz w:val="24"/>
        </w:rPr>
        <w:t xml:space="preserve"> Deploy a Next.js ecommerce frontend to AWS Fargate using a serverless architecture.</w:t>
      </w:r>
      <w:r/>
    </w:p>
    <w:p w14:paraId="174273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28"/>
        </w:rPr>
        <w:t xml:space="preserve">✅ What We Accomplished</w:t>
      </w:r>
      <w:r/>
    </w:p>
    <w:p w14:paraId="4CA27B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Containerization:</w:t>
      </w:r>
      <w:r>
        <w:rPr>
          <w:rFonts w:ascii="Google Sans" w:hAnsi="Google Sans" w:eastAsia="Google Sans" w:cs="Google Sans"/>
          <w:color w:val="000000"/>
          <w:sz w:val="24"/>
        </w:rPr>
        <w:t xml:space="preserve"> Successfully built a Docker image of the Next.js application and pushed it to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Amazon ECR</w:t>
      </w:r>
      <w:r>
        <w:rPr>
          <w:rFonts w:ascii="Google Sans" w:hAnsi="Google Sans" w:eastAsia="Google Sans" w:cs="Google Sans"/>
          <w:color w:val="000000"/>
          <w:sz w:val="24"/>
        </w:rPr>
        <w:t xml:space="preserve">.</w:t>
      </w:r>
      <w:r/>
    </w:p>
    <w:p w14:paraId="10A307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Infrastructure Setup:</w:t>
      </w:r>
      <w:r>
        <w:rPr>
          <w:rFonts w:ascii="Google Sans" w:hAnsi="Google Sans" w:eastAsia="Google Sans" w:cs="Google Sans"/>
          <w:color w:val="000000"/>
          <w:sz w:val="24"/>
        </w:rPr>
        <w:t xml:space="preserve"> Created an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ECS Cluster</w:t>
      </w:r>
      <w:r>
        <w:rPr>
          <w:rFonts w:ascii="Google Sans" w:hAnsi="Google Sans" w:eastAsia="Google Sans" w:cs="Google Sans"/>
          <w:color w:val="000000"/>
          <w:sz w:val="24"/>
        </w:rPr>
        <w:t xml:space="preserve"> and a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Fargate Service</w:t>
      </w:r>
      <w:r>
        <w:rPr>
          <w:rFonts w:ascii="Google Sans" w:hAnsi="Google Sans" w:eastAsia="Google Sans" w:cs="Google Sans"/>
          <w:color w:val="000000"/>
          <w:sz w:val="24"/>
        </w:rPr>
        <w:t xml:space="preserve"> to orchestrate the container.</w:t>
      </w:r>
      <w:r/>
    </w:p>
    <w:p w14:paraId="4E0980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Networking:</w:t>
      </w:r>
      <w:r>
        <w:rPr>
          <w:rFonts w:ascii="Google Sans" w:hAnsi="Google Sans" w:eastAsia="Google Sans" w:cs="Google Sans"/>
          <w:color w:val="000000"/>
          <w:sz w:val="24"/>
        </w:rPr>
        <w:t xml:space="preserve"> Configured a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VPC</w:t>
      </w:r>
      <w:r>
        <w:rPr>
          <w:rFonts w:ascii="Google Sans" w:hAnsi="Google Sans" w:eastAsia="Google Sans" w:cs="Google Sans"/>
          <w:color w:val="000000"/>
          <w:sz w:val="24"/>
        </w:rPr>
        <w:t xml:space="preserve">,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Public Subnets</w:t>
      </w:r>
      <w:r>
        <w:rPr>
          <w:rFonts w:ascii="Google Sans" w:hAnsi="Google Sans" w:eastAsia="Google Sans" w:cs="Google Sans"/>
          <w:color w:val="000000"/>
          <w:sz w:val="24"/>
        </w:rPr>
        <w:t xml:space="preserve">, and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Security Groups</w:t>
      </w:r>
      <w:r>
        <w:rPr>
          <w:rFonts w:ascii="Google Sans" w:hAnsi="Google Sans" w:eastAsia="Google Sans" w:cs="Google Sans"/>
          <w:color w:val="000000"/>
          <w:sz w:val="24"/>
        </w:rPr>
        <w:t xml:space="preserve"> to allow traffic on port 3000.</w:t>
      </w:r>
      <w:r/>
    </w:p>
    <w:p w14:paraId="0B90D5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Operational Control:</w:t>
      </w:r>
      <w:r>
        <w:rPr>
          <w:rFonts w:ascii="Google Sans" w:hAnsi="Google Sans" w:eastAsia="Google Sans" w:cs="Google Sans"/>
          <w:color w:val="000000"/>
          <w:sz w:val="24"/>
        </w:rPr>
        <w:t xml:space="preserve"> Mastered the ability to scale the service to 0 (to save costs) and back to 1 (to go live).</w:t>
      </w:r>
      <w:r/>
    </w:p>
    <w:p w14:paraId="4B2797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36"/>
        </w:rPr>
        <w:t xml:space="preserve">🚧 Challenges &amp; Solutions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4"/>
        <w:gridCol w:w="3270"/>
        <w:gridCol w:w="476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24" w:type="dxa"/>
            <w:vAlign w:val="center"/>
            <w:textDirection w:val="lrTb"/>
            <w:noWrap w:val="false"/>
          </w:tcPr>
          <w:p w14:paraId="1AE49CF5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Challenge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0" w:type="dxa"/>
            <w:vAlign w:val="center"/>
            <w:textDirection w:val="lrTb"/>
            <w:noWrap w:val="false"/>
          </w:tcPr>
          <w:p w14:paraId="07487C94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Root Cause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60" w:type="dxa"/>
            <w:vAlign w:val="center"/>
            <w:textDirection w:val="lrTb"/>
            <w:noWrap w:val="false"/>
          </w:tcPr>
          <w:p w14:paraId="0FCB4F85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Solution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24" w:type="dxa"/>
            <w:vAlign w:val="center"/>
            <w:textDirection w:val="lrTb"/>
            <w:noWrap w:val="false"/>
          </w:tcPr>
          <w:p w14:paraId="479ECBF7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Task Failed to Launch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0" w:type="dxa"/>
            <w:vAlign w:val="center"/>
            <w:textDirection w:val="lrTb"/>
            <w:noWrap w:val="false"/>
          </w:tcPr>
          <w:p w14:paraId="2B0BE231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The Task Definition referenced a non-existent IAM role (ecsTaskRole).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60" w:type="dxa"/>
            <w:vAlign w:val="center"/>
            <w:textDirection w:val="lrTb"/>
            <w:noWrap w:val="false"/>
          </w:tcPr>
          <w:p w14:paraId="67EE8A5A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Registered a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Revision 3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of the Task Definition, removing the broken role and keeping only the essential execution-role.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24" w:type="dxa"/>
            <w:vAlign w:val="center"/>
            <w:textDirection w:val="lrTb"/>
            <w:noWrap w:val="false"/>
          </w:tcPr>
          <w:p w14:paraId="03BFB662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Site Not Responding (Timeout)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0" w:type="dxa"/>
            <w:vAlign w:val="center"/>
            <w:textDirection w:val="lrTb"/>
            <w:noWrap w:val="false"/>
          </w:tcPr>
          <w:p w14:paraId="5351C210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The Fargate task was placed in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Private Subnets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with no route to the internet.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60" w:type="dxa"/>
            <w:vAlign w:val="center"/>
            <w:textDirection w:val="lrTb"/>
            <w:noWrap w:val="false"/>
          </w:tcPr>
          <w:p w14:paraId="2AA042CD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Identified the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Internet Gateway (IGW)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and associated the subnets with a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Route Table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containing a 0.0.0.0/0 path.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24" w:type="dxa"/>
            <w:vAlign w:val="center"/>
            <w:textDirection w:val="lrTb"/>
            <w:noWrap w:val="false"/>
          </w:tcPr>
          <w:p w14:paraId="396CB4A1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Terminal "Hanging"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0" w:type="dxa"/>
            <w:vAlign w:val="center"/>
            <w:textDirection w:val="lrTb"/>
            <w:noWrap w:val="false"/>
          </w:tcPr>
          <w:p w14:paraId="75CFCDE6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AWS CLI output was longer than the screen, triggering the terminal "pager" (less).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60" w:type="dxa"/>
            <w:vAlign w:val="center"/>
            <w:textDirection w:val="lrTb"/>
            <w:noWrap w:val="false"/>
          </w:tcPr>
          <w:p w14:paraId="255F6AD1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Used the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q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key to exit the pager and return to the command prompt.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24" w:type="dxa"/>
            <w:vAlign w:val="center"/>
            <w:textDirection w:val="lrTb"/>
            <w:noWrap w:val="false"/>
          </w:tcPr>
          <w:p w14:paraId="6470C503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Dynamic IPs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0" w:type="dxa"/>
            <w:vAlign w:val="center"/>
            <w:textDirection w:val="lrTb"/>
            <w:noWrap w:val="false"/>
          </w:tcPr>
          <w:p w14:paraId="32F76938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Fargate assigns a new Public IP every time a task restarts.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60" w:type="dxa"/>
            <w:vAlign w:val="center"/>
            <w:textDirection w:val="lrTb"/>
            <w:noWrap w:val="false"/>
          </w:tcPr>
          <w:p w14:paraId="4A8F0AF1">
            <w:pPr>
              <w:pBdr/>
              <w:spacing w:after="0" w:before="0" w:line="240"/>
              <w:ind/>
              <w:rPr/>
            </w:pP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Used </w:t>
            </w:r>
            <w:r>
              <w:rPr>
                <w:rFonts w:ascii="Google Sans" w:hAnsi="Google Sans" w:eastAsia="Google Sans" w:cs="Google Sans"/>
                <w:b/>
                <w:color w:val="000000"/>
                <w:sz w:val="24"/>
              </w:rPr>
              <w:t xml:space="preserve">AWS CLI queries</w:t>
            </w:r>
            <w:r>
              <w:rPr>
                <w:rFonts w:ascii="Google Sans" w:hAnsi="Google Sans" w:eastAsia="Google Sans" w:cs="Google Sans"/>
                <w:color w:val="000000"/>
                <w:sz w:val="24"/>
              </w:rPr>
              <w:t xml:space="preserve"> to dynamically fetch the new ENI (Network Interface) and PublicIp for verification.</w:t>
            </w:r>
            <w:r/>
          </w:p>
        </w:tc>
      </w:tr>
    </w:tbl>
    <w:p w14:paraId="6A2036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36"/>
        </w:rPr>
        <w:t xml:space="preserve">🏗️ Current Architecture State</w:t>
      </w:r>
      <w:r/>
    </w:p>
    <w:p w14:paraId="03F17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color w:val="000000"/>
          <w:sz w:val="24"/>
        </w:rPr>
        <w:t xml:space="preserve">Your system is currently in a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"Cold Standby"</w:t>
      </w:r>
      <w:r>
        <w:rPr>
          <w:rFonts w:ascii="Google Sans" w:hAnsi="Google Sans" w:eastAsia="Google Sans" w:cs="Google Sans"/>
          <w:color w:val="000000"/>
          <w:sz w:val="24"/>
        </w:rPr>
        <w:t xml:space="preserve"> state.</w:t>
      </w:r>
      <w:r/>
    </w:p>
    <w:p w14:paraId="5979E96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ECR:</w:t>
      </w:r>
      <w:r>
        <w:rPr>
          <w:rFonts w:ascii="Google Sans" w:hAnsi="Google Sans" w:eastAsia="Google Sans" w:cs="Google Sans"/>
          <w:color w:val="000000"/>
          <w:sz w:val="24"/>
        </w:rPr>
        <w:t xml:space="preserve"> Contains your latest frontend image.</w:t>
      </w:r>
      <w:r/>
    </w:p>
    <w:p w14:paraId="13D1C7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ECS Service:</w:t>
      </w:r>
      <w:r>
        <w:rPr>
          <w:rFonts w:ascii="Google Sans" w:hAnsi="Google Sans" w:eastAsia="Google Sans" w:cs="Google Sans"/>
          <w:color w:val="000000"/>
          <w:sz w:val="24"/>
        </w:rPr>
        <w:t xml:space="preserve"> Exists but is set to Desired: 0.</w:t>
      </w:r>
      <w:r/>
    </w:p>
    <w:p w14:paraId="4735812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Network:</w:t>
      </w:r>
      <w:r>
        <w:rPr>
          <w:rFonts w:ascii="Google Sans" w:hAnsi="Google Sans" w:eastAsia="Google Sans" w:cs="Google Sans"/>
          <w:color w:val="000000"/>
          <w:sz w:val="24"/>
        </w:rPr>
        <w:t xml:space="preserve"> Fully configured and "open" for when you resume.</w:t>
      </w:r>
      <w:r/>
    </w:p>
    <w:p w14:paraId="10894E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36"/>
        </w:rPr>
        <w:t xml:space="preserve">🚀 What’s Next: Products Microservice</w:t>
      </w:r>
      <w:r/>
    </w:p>
    <w:p w14:paraId="77C74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color w:val="000000"/>
          <w:sz w:val="24"/>
        </w:rPr>
        <w:t xml:space="preserve">We have just started the </w:t>
      </w:r>
      <w:r>
        <w:rPr>
          <w:rFonts w:ascii="Google Sans" w:hAnsi="Google Sans" w:eastAsia="Google Sans" w:cs="Google Sans"/>
          <w:b/>
          <w:color w:val="000000"/>
          <w:sz w:val="24"/>
        </w:rPr>
        <w:t xml:space="preserve">Products Microservice skeleton</w:t>
      </w:r>
      <w:r>
        <w:rPr>
          <w:rFonts w:ascii="Google Sans" w:hAnsi="Google Sans" w:eastAsia="Google Sans" w:cs="Google Sans"/>
          <w:color w:val="000000"/>
          <w:sz w:val="24"/>
        </w:rPr>
        <w:t xml:space="preserve">. This will be your second "brick" in the architecture.</w:t>
      </w:r>
      <w:r/>
    </w:p>
    <w:p w14:paraId="55D64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The plan for our next session:</w:t>
      </w:r>
      <w:r/>
    </w:p>
    <w:p w14:paraId="4877C4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Push</w:t>
      </w:r>
      <w:r>
        <w:rPr>
          <w:rFonts w:ascii="Google Sans" w:hAnsi="Google Sans" w:eastAsia="Google Sans" w:cs="Google Sans"/>
          <w:color w:val="000000"/>
          <w:sz w:val="24"/>
        </w:rPr>
        <w:t xml:space="preserve"> the Products API image to its own ECR repository.</w:t>
      </w:r>
      <w:r/>
    </w:p>
    <w:p w14:paraId="6EB61A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Deploy</w:t>
      </w:r>
      <w:r>
        <w:rPr>
          <w:rFonts w:ascii="Google Sans" w:hAnsi="Google Sans" w:eastAsia="Google Sans" w:cs="Google Sans"/>
          <w:color w:val="000000"/>
          <w:sz w:val="24"/>
        </w:rPr>
        <w:t xml:space="preserve"> it as a second service in the same cluster.</w:t>
      </w:r>
      <w:r/>
    </w:p>
    <w:p w14:paraId="11EAC0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Service Discovery:</w:t>
      </w:r>
      <w:r>
        <w:rPr>
          <w:rFonts w:ascii="Google Sans" w:hAnsi="Google Sans" w:eastAsia="Google Sans" w:cs="Google Sans"/>
          <w:color w:val="000000"/>
          <w:sz w:val="24"/>
        </w:rPr>
        <w:t xml:space="preserve"> Link the Frontend and Products service using internal DNS (Cloud Map) so they can talk to each other without using Public IPs.</w:t>
      </w:r>
      <w:r/>
    </w:p>
    <w:p w14:paraId="025DE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Google Sans" w:hAnsi="Google Sans" w:eastAsia="Google Sans" w:cs="Google Sans"/>
          <w:b/>
          <w:color w:val="000000"/>
          <w:sz w:val="24"/>
        </w:rPr>
        <w:t xml:space="preserve">Would you like me to save this summary into a README.md file for your project folder, or should we jump straight into pushing the Products service to ECR?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oogle Sans">
    <w:panose1 w:val="020B0503030502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C536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10CD5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0AE48D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2026-01-15T20:34:34Z</dcterms:modified>
</cp:coreProperties>
</file>