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13"/>
      </w:pPr>
      <w:r>
        <w:rPr>
          <w:rFonts w:ascii="Arial" w:hAnsi="Arial" w:cs="Arial"/>
          <w:sz w:val="69"/>
          <w:sz-cs w:val="69"/>
          <w:b/>
          <w:spacing w:val="0"/>
          <w:color w:val="0E121D"/>
        </w:rPr>
        <w:t xml:space="preserve">DAO 基本设定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D 代币、DAO 治理、协议分红、官方 NFT 用户否决机制说明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3645B"/>
        </w:rPr>
        <w:t xml:space="preserve">DAO / Dividend / Governance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让协议收入、治理权和用户保护机制形成闭环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这份文档用于给产品、运营、管理层和开发同事统一说明 DL 项目的 D 代币、DAO 治理、协议分红和官方 NFT 用户否决机制。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121D"/>
        </w:rPr>
        <w:t xml:space="preserve">一句话：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D 是固定 100 枚的协议权益代币；持有 D 可以按比例领取协议分红；2.5 D 以上成为 DAO 席位；重大升级还要接受官方 DealInfoNFT 用户否决。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资产分工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DL</w:t>
      </w: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协议主代币，负责交易奖励、支付、燃烧和生态流通。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D</w:t>
      </w: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协议权益代币，负责分红权、DAO 席位资格和治理否决权。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DealInfoNFT</w:t>
      </w: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官方身份 NFT，负责信用、交易身份和重大提案用户否决。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DL 负责生态流通。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D 负责协议权益。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DealInfoNFT 负责真实用户身份和治理用户侧保护。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D 代币规则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项目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V1 规则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总量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固定 100 D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精度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8 位小数，类似 Bitcoin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是否可转让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可以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是否可增发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不可增发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分红权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按持有比例领取协议分红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席位门槛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持有 2.5 D 及以上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持有 1 D = 拥有协议 1% 的分红权。持有 2.5 D 或以上 = 拥有 DAO 席位资格。D 可以转让，但转让只影响未来分红和未来提案。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分红体系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分红只分协议收入。协议收入先进入 treasury 或指定的 dividendSource，最终建议统一换成 DL 后再分给 D 持有人。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来源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说明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交易手续费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Deal 成交产生的协议手续费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域名收入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域名注册、域名市场、域名广告等收入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其他协议收入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后续新增模块产生的可分配收入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标准分红流程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1. 协议收入进入 treasury / dividendSource。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2. 运营、多签或 DAO 把可分红资产换成 DL。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3. treasury / dividendSource 授权分红合约使用本轮 DL。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4. D 席位发起分红提案。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5. 提案无人否决后，executor / DAO 执行账户创建分红轮。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6. 分红合约记录 D 持仓快照。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7. D 持有人按快照时的持仓比例领取 DL。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D 席位可以发起分红提案，但不能绕过 DAO 直接创建分红轮。分红资金来自 treasury / dividendSource，不来自提案人的个人钱包。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快照机制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D 总量 = 100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本轮分红池 = 10,000 DL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A 在快照时持有 1 D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/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A 可领取 = 1 / 100 * 10,000 = 100 DL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DAO 治理模型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V1 采用“否决型治理”，不是传统多数赞成型投票。有人提出参数修改或重大变更，进入否决窗口；如果有合格席位否决，提案失败；如果没人否决，到期后可以执行。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提案类型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适用范围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流程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常规提案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手续费、Swap 参数、奖励参数、NFT 价格、消息费用、域名费率等日常运营参数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48 小时 D 席位否决；无人否决后执行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重大提案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合约升级、核心权限迁移、分红规则重写、信用体系迁移、D 规则变更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120 小时 D 席位否决 + 官方 NFT 用户否决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官方 NFT 用户否决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重大提案会接入官方 DealInfoNFT 的用户否决。外部 NFT 不参与治理。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项目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V1 规则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参与 NFT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只认官方 DealInfoNFT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计票方式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一枚有效治理 NFT = 一票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是否按信用分加权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V1 不做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否决阈值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有效治理 NFT 的 20%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活跃窗口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默认 90 天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提案创建时，谁持有这个官方 NFT，谁对这条提案有否决权。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提案创建后 NFT 可以继续转让。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新 owner 不能投这条旧提案。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新 owner 从下一条新提案开始拥有投票权。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同一个 tokenId 对同一条提案只能投一次。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DAO 使用案例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调整交易手续费</w:t>
      </w: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当前点对点交易手续费是 0.3%，团队希望把手续费调整为 0.25%。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1. 持有 2.5 D 以上的席位钱包发起常规提案。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2. 提案内容写清楚：把交易手续费从 0.3% 调整到 0.25%。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3. 进入 48 小时否决窗口。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4. 如果任意 D 席位认为不合理，可以否决，提案失败。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5. 如果 48 小时内无人否决，提案通过。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6. executor / 有权限账户执行参数修改。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7. 后续交易按 0.25% 收费。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发起一次协议分红</w:t>
      </w: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treasury 已经把可分红资产换成 50,000 DL，团队希望分给 D 持有人。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1. treasury / dividendSource 授权分红合约使用 50,000 DL。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2. 持有 2.5 D 以上的席位钱包发起分红提案。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3. 提案写清楚：本轮分红总额 50,000 DL，资金来自 treasury。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4. 进入否决窗口。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5. 如果没有 D 席位否决，提案通过。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6. executor 调用 createRound(50,000 DL) 创建分红轮。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7. 合约记录 D 持仓快照。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8. D 持有人在前端看到可领取额度，并自行 claim。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替换核心合约模板</w:t>
      </w: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新的 Deal 模板完成测试和审计，需要把 Factory 的模板地址切换到新版本。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1. 持有 2.5 D 以上的席位钱包发起重大提案。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2. 提案写清楚旧模板地址、新模板地址、升级原因、审计结论。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3. 进入 120 小时 D 席位否决窗口。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4. 如果 D 席位没有否决，进入官方 DealInfoNFT 用户否决阶段。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5. 如果 NFT 否决达到有效治理 NFT 的 20%，提案失败。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6. 如果两边都没有触发否决，到期后 executor 执行模板替换。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7. 新创建的 deal 使用新模板，旧 deal 继续按旧合约逻辑运行。</w:t>
      </w:r>
    </w:p>
    <w:p>
      <w:pPr>
        <w:spacing w:after="160"/>
      </w:pP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>修改域名广告费率</w:t>
      </w:r>
      <w:r>
        <w:rPr>
          <w:rFonts w:ascii="Arial" w:hAnsi="Arial" w:cs="Arial"/>
          <w:sz w:val="34"/>
          <w:sz-cs w:val="34"/>
          <w:b/>
          <w:spacing w:val="0"/>
          <w:color w:val="2A314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域名广告消耗速度过快或过慢，团队希望调整广告费率规则。</w:t>
      </w:r>
      <w:r>
        <w:rPr>
          <w:rFonts w:ascii="Arial" w:hAnsi="Arial" w:cs="Arial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1. D 席位发起常规提案。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2. 提案写清楚新费率、适用范围、修改原因。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3. 进入 48 小时否决窗口。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4. 无人否决后执行参数修改。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5. 新的域名广告充值和消耗按新规则计算。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如果只是调整费率，属于常规参数。如果要迁移 DCDomainRank 合约、迁移 treasury 或更换 reporter 权限，则属于重大提案。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当前代码承载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模块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合约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当前作用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 代币</w:t>
      </w:r>
    </w:p>
    <w:p>
      <w:pPr/>
      <w:r>
        <w:rPr>
          <w:rFonts w:ascii="Courier" w:hAnsi="Courier" w:cs="Courier"/>
          <w:sz w:val="28"/>
          <w:sz-cs w:val="28"/>
          <w:spacing w:val="0"/>
          <w:color w:val="0E121D"/>
        </w:rPr>
        <w:t xml:space="preserve">contracts/D.sol</w:t>
      </w:r>
      <w:r>
        <w:rPr>
          <w:rFonts w:ascii="Arial" w:hAnsi="Arial" w:cs="Arial"/>
          <w:sz w:val="28"/>
          <w:sz-cs w:val="28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固定总量 100 D，8 位精度，2.5 D 席位判断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分红领取</w:t>
      </w:r>
    </w:p>
    <w:p>
      <w:pPr/>
      <w:r>
        <w:rPr>
          <w:rFonts w:ascii="Courier" w:hAnsi="Courier" w:cs="Courier"/>
          <w:sz w:val="28"/>
          <w:sz-cs w:val="28"/>
          <w:spacing w:val="0"/>
          <w:color w:val="0E121D"/>
        </w:rPr>
        <w:t xml:space="preserve">contracts/VoteDividendClaimer.sol</w:t>
      </w:r>
      <w:r>
        <w:rPr>
          <w:rFonts w:ascii="Arial" w:hAnsi="Arial" w:cs="Arial"/>
          <w:sz w:val="28"/>
          <w:sz-cs w:val="28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按 D 历史持仓快照领取 DL 分红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席位否决</w:t>
      </w:r>
    </w:p>
    <w:p>
      <w:pPr/>
      <w:r>
        <w:rPr>
          <w:rFonts w:ascii="Courier" w:hAnsi="Courier" w:cs="Courier"/>
          <w:sz w:val="28"/>
          <w:sz-cs w:val="28"/>
          <w:spacing w:val="0"/>
          <w:color w:val="0E121D"/>
        </w:rPr>
        <w:t xml:space="preserve">contracts/DealSeatVetoGovernor.sol</w:t>
      </w:r>
      <w:r>
        <w:rPr>
          <w:rFonts w:ascii="Arial" w:hAnsi="Arial" w:cs="Arial"/>
          <w:sz w:val="28"/>
          <w:sz-cs w:val="28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常规提案、重大提案、席位否决窗口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NFT 活跃</w:t>
      </w:r>
    </w:p>
    <w:p>
      <w:pPr/>
      <w:r>
        <w:rPr>
          <w:rFonts w:ascii="Courier" w:hAnsi="Courier" w:cs="Courier"/>
          <w:sz w:val="28"/>
          <w:sz-cs w:val="28"/>
          <w:spacing w:val="0"/>
          <w:color w:val="0E121D"/>
        </w:rPr>
        <w:t xml:space="preserve">contracts/DealNftGovernanceActivity.sol</w:t>
      </w:r>
      <w:r>
        <w:rPr>
          <w:rFonts w:ascii="Arial" w:hAnsi="Arial" w:cs="Arial"/>
          <w:sz w:val="28"/>
          <w:sz-cs w:val="28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记录官方 NFT 治理活跃时间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NFT 否决</w:t>
      </w:r>
    </w:p>
    <w:p>
      <w:pPr/>
      <w:r>
        <w:rPr>
          <w:rFonts w:ascii="Courier" w:hAnsi="Courier" w:cs="Courier"/>
          <w:sz w:val="28"/>
          <w:sz-cs w:val="28"/>
          <w:spacing w:val="0"/>
          <w:color w:val="0E121D"/>
        </w:rPr>
        <w:t xml:space="preserve">contracts/NftVetoRegistry.sol</w:t>
      </w:r>
      <w:r>
        <w:rPr>
          <w:rFonts w:ascii="Arial" w:hAnsi="Arial" w:cs="Arial"/>
          <w:sz w:val="28"/>
          <w:sz-cs w:val="28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重大提案第二重官方 NFT 否决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旧 Governor</w:t>
      </w:r>
    </w:p>
    <w:p>
      <w:pPr/>
      <w:r>
        <w:rPr>
          <w:rFonts w:ascii="Courier" w:hAnsi="Courier" w:cs="Courier"/>
          <w:sz w:val="28"/>
          <w:sz-cs w:val="28"/>
          <w:spacing w:val="0"/>
          <w:color w:val="0E121D"/>
        </w:rPr>
        <w:t xml:space="preserve">contracts/DealDao.sol</w:t>
      </w:r>
      <w:r>
        <w:rPr>
          <w:rFonts w:ascii="Arial" w:hAnsi="Arial" w:cs="Arial"/>
          <w:sz w:val="28"/>
          <w:sz-cs w:val="28"/>
          <w:spacing w:val="0"/>
          <w:color w:val="0E121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OpenZeppelin 标准 Governor，当前不作为主路径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当前主路径：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D + DealSeatVetoGovernor + NftVetoRegistry + DealNftGovernanceActivity + VoteDividendClaimer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前端页面建议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页面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展示内容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 代币页面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 余额、分红权比例、是否席位、是否可提案、是否可否决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DAO 提案页面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常规提案、重大提案、提案状态、剩余时间、参数对比、操作按钮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分红页面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分红轮次、快照时间、本轮总额、我的快照持仓、可领取金额、是否已领取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当前默认值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项目</w:t>
      </w:r>
    </w:p>
    <w:p>
      <w:pPr>
        <w:jc w:val="center"/>
      </w:pPr>
      <w:r>
        <w:rPr>
          <w:rFonts w:ascii="Arial" w:hAnsi="Arial" w:cs="Arial"/>
          <w:sz w:val="28"/>
          <w:sz-cs w:val="28"/>
          <w:b/>
          <w:spacing w:val="0"/>
          <w:color w:val="0E121D"/>
        </w:rPr>
        <w:t xml:space="preserve">默认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 总量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100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 精度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8 位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席位门槛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2.5 D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分红资产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DL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分红依据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D 持仓快照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常规提案窗口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48 小时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重大提案窗口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120 小时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NFT 否决阈值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20%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NFT 活跃窗口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90 天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是否需要 delegate 才能分红</w:t>
      </w:r>
    </w:p>
    <w:p>
      <w:pPr/>
      <w:r>
        <w:rPr>
          <w:rFonts w:ascii="Arial" w:hAnsi="Arial" w:cs="Arial"/>
          <w:sz w:val="28"/>
          <w:sz-cs w:val="28"/>
          <w:spacing w:val="0"/>
          <w:color w:val="0E121D"/>
        </w:rPr>
        <w:t xml:space="preserve">不需要</w:t>
      </w:r>
    </w:p>
    <w:p>
      <w:pPr/>
      <w:r>
        <w:rPr>
          <w:rFonts w:ascii="Arial" w:hAnsi="Arial" w:cs="Arial"/>
          <w:sz w:val="24"/>
          <w:sz-cs w:val="24"/>
          <w:spacing w:val="0"/>
          <w:color w:val="0E121D"/>
        </w:rPr>
        <w:t xml:space="preserve">需要最终确认：D 初始接收地址、treasury 权限、executor 权限、分红频率、未领取 DL 处理方式、NFT 活跃窗口和 NFT 否决阈值是否允许治理调整。</w:t>
      </w:r>
    </w:p>
    <w:p>
      <w:pPr>
        <w:spacing w:after="213"/>
      </w:pPr>
      <w:r>
        <w:rPr>
          <w:rFonts w:ascii="Arial" w:hAnsi="Arial" w:cs="Arial"/>
          <w:sz w:val="48"/>
          <w:sz-cs w:val="48"/>
          <w:b/>
          <w:spacing w:val="0"/>
          <w:color w:val="13645B"/>
        </w:rPr>
        <w:t xml:space="preserve">对外总结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D 是固定 100 枚的协议权益代币。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持有 D 可以按比例领取协议分红。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2.5 D 以上成为治理席位。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常规参数采用席位否决制，无人反对即可执行。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重大升级除了 D 席位否决，还要接受官方 DealInfoNFT 用户否决。</w:t>
      </w:r>
    </w:p>
    <w:p>
      <w:pPr/>
      <w:r>
        <w:rPr>
          <w:rFonts w:ascii="Courier" w:hAnsi="Courier" w:cs="Courier"/>
          <w:sz w:val="25"/>
          <w:sz-cs w:val="25"/>
          <w:spacing w:val="0"/>
          <w:color w:val="0E121D"/>
        </w:rPr>
        <w:t xml:space="preserve">分红按 D 的历史持仓快照领取，防止转让后重复领取。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0E121D"/>
        </w:rPr>
        <w:t xml:space="preserve">对应 Markdown 主文档：docs/DAO基本设定.md。参数附录：docs/DAO可治理参数清单.md。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 基本设定</dc:title>
  <dc:subject>DAO 基本设定</dc:subject>
  <dc:creator>DL</dc:creator>
</cp:coreProperties>
</file>

<file path=docProps/meta.xml><?xml version="1.0" encoding="utf-8"?>
<meta xmlns="http://schemas.apple.com/cocoa/2006/metadata">
  <generator>CocoaOOXMLWriter/2685.4</generator>
</meta>
</file>