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4"/>
        </w:rPr>
        <w:t>INSPER — INSTITUTO DE ENSINO E PESQUISA</w:t>
      </w:r>
    </w:p>
    <w:p/>
    <w:p/>
    <w:p>
      <w:pPr>
        <w:jc w:val="center"/>
      </w:pPr>
      <w:r>
        <w:rPr>
          <w:rFonts w:ascii="Times New Roman" w:hAnsi="Times New Roman"/>
          <w:sz w:val="24"/>
        </w:rPr>
        <w:t>[SEU NOME COMPLETO]</w:t>
      </w:r>
    </w:p>
    <w:p/>
    <w:p/>
    <w:p/>
    <w:p/>
    <w:p/>
    <w:p/>
    <w:p/>
    <w:p/>
    <w:p>
      <w:pPr>
        <w:jc w:val="center"/>
      </w:pPr>
      <w:r>
        <w:rPr>
          <w:rFonts w:ascii="Times New Roman" w:hAnsi="Times New Roman"/>
          <w:b/>
          <w:sz w:val="28"/>
        </w:rPr>
        <w:t>Alterações textuais nas notas explicativas de dívida e a incorporação</w:t>
        <w:br/>
        <w:t>de informações pelo mercado brasileiro: evidências das notas de</w:t>
        <w:br/>
        <w:t>empréstimos, financiamentos e debêntures</w:t>
      </w:r>
    </w:p>
    <w:p/>
    <w:p/>
    <w:p/>
    <w:p/>
    <w:p/>
    <w:p/>
    <w:p/>
    <w:p/>
    <w:p>
      <w:pPr>
        <w:jc w:val="center"/>
      </w:pPr>
      <w:r>
        <w:rPr>
          <w:rFonts w:ascii="Times New Roman" w:hAnsi="Times New Roman"/>
          <w:sz w:val="24"/>
        </w:rPr>
        <w:t>São Paulo</w:t>
        <w:br/>
        <w:t>[ANO]</w:t>
      </w:r>
    </w:p>
    <w:p>
      <w:r>
        <w:br w:type="page"/>
      </w:r>
    </w:p>
    <w:p/>
    <w:p/>
    <w:p>
      <w:pPr>
        <w:jc w:val="center"/>
      </w:pPr>
      <w:r>
        <w:rPr>
          <w:rFonts w:ascii="Times New Roman" w:hAnsi="Times New Roman"/>
          <w:sz w:val="24"/>
        </w:rPr>
        <w:t>[SEU NOME COMPLETO]</w:t>
      </w:r>
    </w:p>
    <w:p/>
    <w:p/>
    <w:p/>
    <w:p>
      <w:pPr>
        <w:jc w:val="center"/>
      </w:pPr>
      <w:r>
        <w:rPr>
          <w:rFonts w:ascii="Times New Roman" w:hAnsi="Times New Roman"/>
          <w:b/>
          <w:sz w:val="28"/>
        </w:rPr>
        <w:t>Alterações textuais nas notas explicativas de dívida e a incorporação</w:t>
        <w:br/>
        <w:t>de informações pelo mercado brasileiro: evidências das notas de</w:t>
        <w:br/>
        <w:t>empréstimos, financiamentos e debêntures</w:t>
      </w:r>
    </w:p>
    <w:p/>
    <w:p/>
    <w:p/>
    <w:p>
      <w:pPr>
        <w:ind w:left="4535"/>
        <w:jc w:val="left"/>
      </w:pPr>
      <w:r>
        <w:rPr>
          <w:rFonts w:ascii="Times New Roman" w:hAnsi="Times New Roman"/>
          <w:sz w:val="24"/>
        </w:rPr>
        <w:t>Dissertação apresentada ao Programa de Mestrado Profissional em [Economia — Área Finanças / Administração] do Insper Instituto de Ensino e Pesquisa, como requisito parcial para obtenção do título de Mestre em [Economia/Administração].</w:t>
      </w:r>
    </w:p>
    <w:p/>
    <w:p/>
    <w:p/>
    <w:p>
      <w:pPr>
        <w:ind w:left="4535"/>
        <w:jc w:val="left"/>
      </w:pPr>
      <w:r>
        <w:rPr>
          <w:rFonts w:ascii="Times New Roman" w:hAnsi="Times New Roman"/>
          <w:sz w:val="24"/>
        </w:rPr>
        <w:t>Orientador(a): [Nome do Orientador]</w:t>
      </w:r>
    </w:p>
    <w:p/>
    <w:p/>
    <w:p/>
    <w:p/>
    <w:p/>
    <w:p/>
    <w:p>
      <w:pPr>
        <w:jc w:val="center"/>
      </w:pPr>
      <w:r>
        <w:rPr>
          <w:rFonts w:ascii="Times New Roman" w:hAnsi="Times New Roman"/>
          <w:sz w:val="24"/>
        </w:rPr>
        <w:t>São Paulo</w:t>
        <w:br/>
        <w:t>[ANO]</w:t>
      </w:r>
    </w:p>
    <w:p>
      <w:r>
        <w:br w:type="page"/>
      </w:r>
    </w:p>
    <w:p>
      <w:pPr>
        <w:spacing w:after="200" w:line="276" w:lineRule="auto"/>
      </w:pPr>
      <w:r>
        <w:rPr>
          <w:rFonts w:ascii="Times New Roman" w:hAnsi="Times New Roman"/>
          <w:i/>
          <w:sz w:val="20"/>
        </w:rPr>
        <w:t>[Nesta posição entram, na versão final: Ficha catalográfica (gerada pela biblioteca do Insper) e Folha de aprovação (preenchida após a defesa, com nome dos membros da banca). Não incluídas aqui por dependerem de processos institucionais externos a este rascunho.]</w:t>
      </w:r>
    </w:p>
    <w:p>
      <w:r>
        <w:br w:type="page"/>
      </w:r>
    </w:p>
    <w:p>
      <w:pPr>
        <w:pStyle w:val="Heading1"/>
        <w:spacing w:before="480" w:after="240" w:line="360" w:lineRule="auto"/>
      </w:pPr>
      <w:r>
        <w:rPr>
          <w:rFonts w:ascii="Times New Roman" w:hAnsi="Times New Roman"/>
          <w:b/>
          <w:sz w:val="28"/>
        </w:rPr>
        <w:t>RESUMO</w:t>
      </w:r>
    </w:p>
    <w:p>
      <w:pPr>
        <w:spacing w:after="200" w:line="276" w:lineRule="auto"/>
      </w:pPr>
      <w:r>
        <w:rPr>
          <w:rFonts w:ascii="Times New Roman" w:hAnsi="Times New Roman"/>
          <w:i/>
          <w:sz w:val="20"/>
        </w:rPr>
        <w:t>[Resumo em português, parágrafo único, 150–500 palavras conforme ABNT NBR 6028. Deve ser escrito por último, depois que os resultados finais estiverem prontos — o texto abaixo é um placeholder estrutural baseado no pré-projeto, não um resumo definitivo.]</w:t>
      </w:r>
    </w:p>
    <w:p>
      <w:pPr>
        <w:spacing w:after="120" w:line="360" w:lineRule="auto"/>
        <w:ind w:firstLine="709"/>
      </w:pPr>
      <w:r>
        <w:rPr>
          <w:rFonts w:ascii="Times New Roman" w:hAnsi="Times New Roman"/>
          <w:b w:val="0"/>
          <w:i w:val="0"/>
          <w:sz w:val="24"/>
        </w:rPr>
        <w:t>Este estudo investiga se as alterações textuais ano a ano nas notas explicativas de empréstimos, financiamentos e debêntures das demonstrações financeiras anuais de empresas não financeiras listadas na B3 carregam conteúdo informacional incremental sobre o retorno anormal futuro das ações, mesmo após controlar pelas mudanças nos fundamentos econômico-financeiros da empresa. A mudança textual é medida por TF-IDF e similaridade de cosseno entre o texto da nota de um exercício e a do exercício anterior, seguindo a abordagem de Cohen, Malloy e Nguyen (2020) e Brown e Tucker (2011). [Completar com amostra final, período, método empírico definitivo e principais resultados quando disponíveis.]</w:t>
      </w:r>
    </w:p>
    <w:p>
      <w:pPr>
        <w:spacing w:after="120" w:line="360" w:lineRule="auto"/>
        <w:ind w:firstLine="0"/>
      </w:pPr>
      <w:r>
        <w:rPr>
          <w:rFonts w:ascii="Times New Roman" w:hAnsi="Times New Roman"/>
          <w:b w:val="0"/>
          <w:i/>
          <w:sz w:val="24"/>
        </w:rPr>
        <w:t>Palavras-chave: [a definir — ex.: notas explicativas; análise textual; TF-IDF; retorno anormal; disclosure.]</w:t>
      </w:r>
    </w:p>
    <w:p>
      <w:r>
        <w:br w:type="page"/>
      </w:r>
    </w:p>
    <w:p>
      <w:pPr>
        <w:pStyle w:val="Heading1"/>
        <w:spacing w:before="480" w:after="240" w:line="360" w:lineRule="auto"/>
      </w:pPr>
      <w:r>
        <w:rPr>
          <w:rFonts w:ascii="Times New Roman" w:hAnsi="Times New Roman"/>
          <w:b/>
          <w:sz w:val="28"/>
        </w:rPr>
        <w:t>ABSTRACT</w:t>
      </w:r>
    </w:p>
    <w:p>
      <w:pPr>
        <w:spacing w:after="200" w:line="276" w:lineRule="auto"/>
      </w:pPr>
      <w:r>
        <w:rPr>
          <w:rFonts w:ascii="Times New Roman" w:hAnsi="Times New Roman"/>
          <w:i/>
          <w:sz w:val="20"/>
        </w:rPr>
        <w:t>[English translation of the final resumo — to be written after the Portuguese version is finalized.]</w:t>
      </w:r>
    </w:p>
    <w:p>
      <w:pPr>
        <w:spacing w:after="120" w:line="360" w:lineRule="auto"/>
        <w:ind w:firstLine="709"/>
      </w:pPr>
      <w:r>
        <w:rPr>
          <w:rFonts w:ascii="Times New Roman" w:hAnsi="Times New Roman"/>
          <w:b w:val="0"/>
          <w:i w:val="0"/>
          <w:sz w:val="24"/>
        </w:rPr>
        <w:t>[Abstract placeholder — English translation of the final resumo, written last.]</w:t>
      </w:r>
    </w:p>
    <w:p>
      <w:pPr>
        <w:spacing w:after="120" w:line="360" w:lineRule="auto"/>
        <w:ind w:firstLine="0"/>
      </w:pPr>
      <w:r>
        <w:rPr>
          <w:rFonts w:ascii="Times New Roman" w:hAnsi="Times New Roman"/>
          <w:b w:val="0"/>
          <w:i/>
          <w:sz w:val="24"/>
        </w:rPr>
        <w:t>Keywords: [to be defined].</w:t>
      </w:r>
    </w:p>
    <w:p>
      <w:r>
        <w:br w:type="page"/>
      </w:r>
    </w:p>
    <w:p>
      <w:pPr>
        <w:pStyle w:val="Heading1"/>
        <w:spacing w:before="480" w:after="240" w:line="360" w:lineRule="auto"/>
      </w:pPr>
      <w:r>
        <w:rPr>
          <w:rFonts w:ascii="Times New Roman" w:hAnsi="Times New Roman"/>
          <w:b/>
          <w:sz w:val="28"/>
        </w:rPr>
        <w:t>SUMÁRIO</w:t>
      </w:r>
    </w:p>
    <w:p>
      <w:pPr>
        <w:spacing w:after="200" w:line="276" w:lineRule="auto"/>
      </w:pPr>
      <w:r>
        <w:rPr>
          <w:rFonts w:ascii="Times New Roman" w:hAnsi="Times New Roman"/>
          <w:i/>
          <w:sz w:val="20"/>
        </w:rPr>
        <w:t>[Em Word/LaTeX real, gerar automaticamente via "Sumário"/Table of Contents a partir dos estilos de título usados neste documento (Heading 1/2), não digitar manualmente — evita desalinhamento de página conforme o texto muda.]</w:t>
      </w:r>
    </w:p>
    <w:p>
      <w:pPr>
        <w:spacing w:after="80"/>
        <w:ind w:left="0"/>
      </w:pPr>
      <w:r>
        <w:rPr>
          <w:rFonts w:ascii="Times New Roman" w:hAnsi="Times New Roman"/>
          <w:b/>
          <w:sz w:val="24"/>
        </w:rPr>
        <w:t>1 INTRODUÇÃO</w:t>
      </w:r>
    </w:p>
    <w:p>
      <w:pPr>
        <w:spacing w:after="80"/>
        <w:ind w:left="340"/>
      </w:pPr>
      <w:r>
        <w:rPr>
          <w:rFonts w:ascii="Times New Roman" w:hAnsi="Times New Roman"/>
          <w:sz w:val="24"/>
        </w:rPr>
        <w:t>1.1 Pergunta de pesquisa e objetivos</w:t>
      </w:r>
    </w:p>
    <w:p>
      <w:pPr>
        <w:spacing w:after="80"/>
        <w:ind w:left="340"/>
      </w:pPr>
      <w:r>
        <w:rPr>
          <w:rFonts w:ascii="Times New Roman" w:hAnsi="Times New Roman"/>
          <w:sz w:val="24"/>
        </w:rPr>
        <w:t>1.2 Hipóteses</w:t>
      </w:r>
    </w:p>
    <w:p>
      <w:pPr>
        <w:spacing w:after="80"/>
        <w:ind w:left="340"/>
      </w:pPr>
      <w:r>
        <w:rPr>
          <w:rFonts w:ascii="Times New Roman" w:hAnsi="Times New Roman"/>
          <w:sz w:val="24"/>
        </w:rPr>
        <w:t>1.3 Estrutura da dissertação</w:t>
      </w:r>
    </w:p>
    <w:p>
      <w:pPr>
        <w:spacing w:after="80"/>
        <w:ind w:left="0"/>
      </w:pPr>
      <w:r>
        <w:rPr>
          <w:rFonts w:ascii="Times New Roman" w:hAnsi="Times New Roman"/>
          <w:b/>
          <w:sz w:val="24"/>
        </w:rPr>
        <w:t>2 REFERENCIAL TEÓRICO E REVISÃO DE LITERATURA</w:t>
      </w:r>
    </w:p>
    <w:p>
      <w:pPr>
        <w:spacing w:after="80"/>
        <w:ind w:left="340"/>
      </w:pPr>
      <w:r>
        <w:rPr>
          <w:rFonts w:ascii="Times New Roman" w:hAnsi="Times New Roman"/>
          <w:sz w:val="24"/>
        </w:rPr>
        <w:t>2.1 Assimetria informacional e divulgação corporativa</w:t>
      </w:r>
    </w:p>
    <w:p>
      <w:pPr>
        <w:spacing w:after="80"/>
        <w:ind w:left="340"/>
      </w:pPr>
      <w:r>
        <w:rPr>
          <w:rFonts w:ascii="Times New Roman" w:hAnsi="Times New Roman"/>
          <w:sz w:val="24"/>
        </w:rPr>
        <w:t>2.2 Atenção limitada e sub-reação do mercado</w:t>
      </w:r>
    </w:p>
    <w:p>
      <w:pPr>
        <w:spacing w:after="80"/>
        <w:ind w:left="340"/>
      </w:pPr>
      <w:r>
        <w:rPr>
          <w:rFonts w:ascii="Times New Roman" w:hAnsi="Times New Roman"/>
          <w:sz w:val="24"/>
        </w:rPr>
        <w:t>2.3 Mudança textual como sinal de informação nova</w:t>
      </w:r>
    </w:p>
    <w:p>
      <w:pPr>
        <w:spacing w:after="80"/>
        <w:ind w:left="340"/>
      </w:pPr>
      <w:r>
        <w:rPr>
          <w:rFonts w:ascii="Times New Roman" w:hAnsi="Times New Roman"/>
          <w:sz w:val="24"/>
        </w:rPr>
        <w:t>2.4 Divulgação de dívida e resultados de mercado</w:t>
      </w:r>
    </w:p>
    <w:p>
      <w:pPr>
        <w:spacing w:after="80"/>
        <w:ind w:left="340"/>
      </w:pPr>
      <w:r>
        <w:rPr>
          <w:rFonts w:ascii="Times New Roman" w:hAnsi="Times New Roman"/>
          <w:sz w:val="24"/>
        </w:rPr>
        <w:t>2.5 Panorama brasileiro e a lacuna que a pesquisa ocupa</w:t>
      </w:r>
    </w:p>
    <w:p>
      <w:pPr>
        <w:spacing w:after="80"/>
        <w:ind w:left="0"/>
      </w:pPr>
      <w:r>
        <w:rPr>
          <w:rFonts w:ascii="Times New Roman" w:hAnsi="Times New Roman"/>
          <w:b/>
          <w:sz w:val="24"/>
        </w:rPr>
        <w:t>3 METODOLOGIA</w:t>
      </w:r>
    </w:p>
    <w:p>
      <w:pPr>
        <w:spacing w:after="80"/>
        <w:ind w:left="340"/>
      </w:pPr>
      <w:r>
        <w:rPr>
          <w:rFonts w:ascii="Times New Roman" w:hAnsi="Times New Roman"/>
          <w:sz w:val="24"/>
        </w:rPr>
        <w:t>3.1 Amostra e período</w:t>
      </w:r>
    </w:p>
    <w:p>
      <w:pPr>
        <w:spacing w:after="80"/>
        <w:ind w:left="340"/>
      </w:pPr>
      <w:r>
        <w:rPr>
          <w:rFonts w:ascii="Times New Roman" w:hAnsi="Times New Roman"/>
          <w:sz w:val="24"/>
        </w:rPr>
        <w:t>3.2 Coleta e extração das notas explicativas</w:t>
      </w:r>
    </w:p>
    <w:p>
      <w:pPr>
        <w:spacing w:after="80"/>
        <w:ind w:left="340"/>
      </w:pPr>
      <w:r>
        <w:rPr>
          <w:rFonts w:ascii="Times New Roman" w:hAnsi="Times New Roman"/>
          <w:sz w:val="24"/>
        </w:rPr>
        <w:t>3.3 Medida de mudança textual (TF-IDF e similaridade de cosseno)</w:t>
      </w:r>
    </w:p>
    <w:p>
      <w:pPr>
        <w:spacing w:after="80"/>
        <w:ind w:left="340"/>
      </w:pPr>
      <w:r>
        <w:rPr>
          <w:rFonts w:ascii="Times New Roman" w:hAnsi="Times New Roman"/>
          <w:sz w:val="24"/>
        </w:rPr>
        <w:t>3.4 Variável dependente: retorno anormal futuro</w:t>
      </w:r>
    </w:p>
    <w:p>
      <w:pPr>
        <w:spacing w:after="80"/>
        <w:ind w:left="340"/>
      </w:pPr>
      <w:r>
        <w:rPr>
          <w:rFonts w:ascii="Times New Roman" w:hAnsi="Times New Roman"/>
          <w:sz w:val="24"/>
        </w:rPr>
        <w:t>3.5 Variáveis de controle</w:t>
      </w:r>
    </w:p>
    <w:p>
      <w:pPr>
        <w:spacing w:after="80"/>
        <w:ind w:left="340"/>
      </w:pPr>
      <w:r>
        <w:rPr>
          <w:rFonts w:ascii="Times New Roman" w:hAnsi="Times New Roman"/>
          <w:sz w:val="24"/>
        </w:rPr>
        <w:t>3.6 Modelo empírico</w:t>
      </w:r>
    </w:p>
    <w:p>
      <w:pPr>
        <w:spacing w:after="80"/>
        <w:ind w:left="340"/>
      </w:pPr>
      <w:r>
        <w:rPr>
          <w:rFonts w:ascii="Times New Roman" w:hAnsi="Times New Roman"/>
          <w:sz w:val="24"/>
        </w:rPr>
        <w:t>3.7 Análise complementar: revisão de consenso de analistas (H2)</w:t>
      </w:r>
    </w:p>
    <w:p>
      <w:pPr>
        <w:spacing w:after="80"/>
        <w:ind w:left="0"/>
      </w:pPr>
      <w:r>
        <w:rPr>
          <w:rFonts w:ascii="Times New Roman" w:hAnsi="Times New Roman"/>
          <w:b/>
          <w:sz w:val="24"/>
        </w:rPr>
        <w:t>4 RESULTADOS</w:t>
      </w:r>
    </w:p>
    <w:p>
      <w:pPr>
        <w:spacing w:after="80"/>
        <w:ind w:left="340"/>
      </w:pPr>
      <w:r>
        <w:rPr>
          <w:rFonts w:ascii="Times New Roman" w:hAnsi="Times New Roman"/>
          <w:sz w:val="24"/>
        </w:rPr>
        <w:t>4.1 Estatísticas descritivas da amostra</w:t>
      </w:r>
    </w:p>
    <w:p>
      <w:pPr>
        <w:spacing w:after="80"/>
        <w:ind w:left="340"/>
      </w:pPr>
      <w:r>
        <w:rPr>
          <w:rFonts w:ascii="Times New Roman" w:hAnsi="Times New Roman"/>
          <w:sz w:val="24"/>
        </w:rPr>
        <w:t>4.2 Confiabilidade da extração textual</w:t>
      </w:r>
    </w:p>
    <w:p>
      <w:pPr>
        <w:spacing w:after="80"/>
        <w:ind w:left="340"/>
      </w:pPr>
      <w:r>
        <w:rPr>
          <w:rFonts w:ascii="Times New Roman" w:hAnsi="Times New Roman"/>
          <w:sz w:val="24"/>
        </w:rPr>
        <w:t>4.3 Resultados do modelo principal (H1)</w:t>
      </w:r>
    </w:p>
    <w:p>
      <w:pPr>
        <w:spacing w:after="80"/>
        <w:ind w:left="340"/>
      </w:pPr>
      <w:r>
        <w:rPr>
          <w:rFonts w:ascii="Times New Roman" w:hAnsi="Times New Roman"/>
          <w:sz w:val="24"/>
        </w:rPr>
        <w:t>4.4 Testes de robustez</w:t>
      </w:r>
    </w:p>
    <w:p>
      <w:pPr>
        <w:spacing w:after="80"/>
        <w:ind w:left="340"/>
      </w:pPr>
      <w:r>
        <w:rPr>
          <w:rFonts w:ascii="Times New Roman" w:hAnsi="Times New Roman"/>
          <w:sz w:val="24"/>
        </w:rPr>
        <w:t>4.5 Análise complementar (H2)</w:t>
      </w:r>
    </w:p>
    <w:p>
      <w:pPr>
        <w:spacing w:after="80"/>
        <w:ind w:left="0"/>
      </w:pPr>
      <w:r>
        <w:rPr>
          <w:rFonts w:ascii="Times New Roman" w:hAnsi="Times New Roman"/>
          <w:b/>
          <w:sz w:val="24"/>
        </w:rPr>
        <w:t>5 CONCLUSÃO</w:t>
      </w:r>
    </w:p>
    <w:p>
      <w:pPr>
        <w:spacing w:after="80"/>
        <w:ind w:left="340"/>
      </w:pPr>
      <w:r>
        <w:rPr>
          <w:rFonts w:ascii="Times New Roman" w:hAnsi="Times New Roman"/>
          <w:sz w:val="24"/>
        </w:rPr>
        <w:t>REFERÊNCIAS</w:t>
      </w:r>
    </w:p>
    <w:p>
      <w:r>
        <w:br w:type="page"/>
      </w:r>
    </w:p>
    <w:p>
      <w:pPr>
        <w:pStyle w:val="Heading1"/>
        <w:spacing w:before="480" w:after="240" w:line="360" w:lineRule="auto"/>
      </w:pPr>
      <w:r>
        <w:rPr>
          <w:rFonts w:ascii="Times New Roman" w:hAnsi="Times New Roman"/>
          <w:b/>
          <w:sz w:val="28"/>
        </w:rPr>
        <w:t>1 INTRODUÇÃO</w:t>
      </w:r>
    </w:p>
    <w:p>
      <w:pPr>
        <w:spacing w:after="200" w:line="276" w:lineRule="auto"/>
      </w:pPr>
      <w:r>
        <w:rPr>
          <w:rFonts w:ascii="Times New Roman" w:hAnsi="Times New Roman"/>
          <w:i/>
          <w:sz w:val="20"/>
        </w:rPr>
        <w:t>[Conteúdo desta seção adaptado diretamente de docs/pre-projeto.docx (Pergunta de pesquisa, Objetivos, Hipóteses) — já aprovado/escrito, reorganizado aqui na estrutura formal de capítulo 1. A Justificativa do pré-projeto foi movida para dentro do Capítulo 2 (Revisão de Literatura), que é onde ela pertence estruturalmente numa dissertação em formato final.]</w:t>
      </w:r>
    </w:p>
    <w:p>
      <w:pPr>
        <w:pStyle w:val="Heading2"/>
        <w:spacing w:before="480" w:after="240" w:line="360" w:lineRule="auto"/>
      </w:pPr>
      <w:r>
        <w:rPr>
          <w:rFonts w:ascii="Times New Roman" w:hAnsi="Times New Roman"/>
          <w:b/>
          <w:sz w:val="24"/>
        </w:rPr>
        <w:t>1.1 Pergunta de pesquisa e objetivos</w:t>
      </w:r>
    </w:p>
    <w:p>
      <w:pPr>
        <w:spacing w:after="120" w:line="360" w:lineRule="auto"/>
        <w:ind w:firstLine="709"/>
      </w:pPr>
      <w:r>
        <w:rPr>
          <w:rFonts w:ascii="Times New Roman" w:hAnsi="Times New Roman"/>
          <w:b w:val="0"/>
          <w:i w:val="0"/>
          <w:sz w:val="24"/>
        </w:rPr>
        <w:t>A questão que este estudo busca responder é: as alterações textuais nas notas explicativas de dívida das empresas brasileiras carregam informação que o mercado demora para incorporar aos preços das ações?</w:t>
      </w:r>
    </w:p>
    <w:p>
      <w:pPr>
        <w:spacing w:after="120" w:line="360" w:lineRule="auto"/>
        <w:ind w:firstLine="709"/>
      </w:pPr>
      <w:r>
        <w:rPr>
          <w:rFonts w:ascii="Times New Roman" w:hAnsi="Times New Roman"/>
          <w:b w:val="0"/>
          <w:i w:val="0"/>
          <w:sz w:val="24"/>
        </w:rPr>
        <w:t>Mais especificamente, em que medida as alterações textuais entre exercícios consecutivos, medidas por TF-IDF e similaridade de cosseno, nas notas de empréstimos, financiamentos e debêntures das demonstrações financeiras anuais de empresas não financeiras listadas na B3 estão associadas ao retorno anormal acumulado nos 12 meses seguintes à divulgação, depois de controlar pelas mudanças nos fundamentos econômico-financeiros da empresa? Como análise complementar, o estudo também verifica se essa mesma mudança textual se associa à revisão do consenso de previsões de lucro por ação (EPS) dos analistas depois da divulgação.</w:t>
      </w:r>
    </w:p>
    <w:p>
      <w:pPr>
        <w:spacing w:after="120" w:line="360" w:lineRule="auto"/>
        <w:ind w:firstLine="709"/>
      </w:pPr>
      <w:r>
        <w:rPr>
          <w:rFonts w:ascii="Times New Roman" w:hAnsi="Times New Roman"/>
          <w:b w:val="0"/>
          <w:i w:val="0"/>
          <w:sz w:val="24"/>
        </w:rPr>
        <w:t>Objetivo geral: analisar se as alterações textuais entre exercícios consecutivos nas notas de empréstimos, financiamentos e debêntures carregam conteúdo informacional incremental para explicar os retornos anormais futuros de empresas não financeiras listadas na B3.</w:t>
      </w:r>
    </w:p>
    <w:p>
      <w:pPr>
        <w:spacing w:after="120" w:line="360" w:lineRule="auto"/>
        <w:ind w:firstLine="709"/>
      </w:pPr>
      <w:r>
        <w:rPr>
          <w:rFonts w:ascii="Times New Roman" w:hAnsi="Times New Roman"/>
          <w:b w:val="0"/>
          <w:i w:val="0"/>
          <w:sz w:val="24"/>
        </w:rPr>
        <w:t>Objetivos específicos:</w:t>
      </w:r>
    </w:p>
    <w:p>
      <w:pPr>
        <w:spacing w:after="80" w:line="360" w:lineRule="auto"/>
        <w:ind w:left="709"/>
      </w:pPr>
      <w:r>
        <w:rPr>
          <w:rFonts w:ascii="Times New Roman" w:hAnsi="Times New Roman"/>
          <w:sz w:val="24"/>
        </w:rPr>
        <w:t>• Extrair e organizar as notas de empréstimos, financiamentos e debêntures das DFPs anuais das empresas da amostra.</w:t>
      </w:r>
    </w:p>
    <w:p>
      <w:pPr>
        <w:spacing w:after="80" w:line="360" w:lineRule="auto"/>
        <w:ind w:left="709"/>
      </w:pPr>
      <w:r>
        <w:rPr>
          <w:rFonts w:ascii="Times New Roman" w:hAnsi="Times New Roman"/>
          <w:sz w:val="24"/>
        </w:rPr>
        <w:t>• Medir a similaridade textual entre a nota de cada exercício e a do exercício anterior, usando TF-IDF e cosseno.</w:t>
      </w:r>
    </w:p>
    <w:p>
      <w:pPr>
        <w:spacing w:after="80" w:line="360" w:lineRule="auto"/>
        <w:ind w:left="709"/>
      </w:pPr>
      <w:r>
        <w:rPr>
          <w:rFonts w:ascii="Times New Roman" w:hAnsi="Times New Roman"/>
          <w:sz w:val="24"/>
        </w:rPr>
        <w:t>• Testar se essa mudança textual se relaciona com o retorno anormal acumulado nos 12 meses seguintes à divulgação.</w:t>
      </w:r>
    </w:p>
    <w:p>
      <w:pPr>
        <w:spacing w:after="80" w:line="360" w:lineRule="auto"/>
        <w:ind w:left="709"/>
      </w:pPr>
      <w:r>
        <w:rPr>
          <w:rFonts w:ascii="Times New Roman" w:hAnsi="Times New Roman"/>
          <w:sz w:val="24"/>
        </w:rPr>
        <w:t>• Verificar se essa relação se mantém depois de controlar por alavancagem, rentabilidade, tamanho, retorno passado e outros fundamentos.</w:t>
      </w:r>
    </w:p>
    <w:p>
      <w:pPr>
        <w:spacing w:after="80" w:line="360" w:lineRule="auto"/>
        <w:ind w:left="709"/>
      </w:pPr>
      <w:r>
        <w:rPr>
          <w:rFonts w:ascii="Times New Roman" w:hAnsi="Times New Roman"/>
          <w:sz w:val="24"/>
        </w:rPr>
        <w:t>• Como análise complementar, testar se a mudança textual também se associa à revisão do consenso dos analistas depois da divulgação.</w:t>
      </w:r>
    </w:p>
    <w:p>
      <w:pPr>
        <w:pStyle w:val="Heading2"/>
        <w:spacing w:before="480" w:after="240" w:line="360" w:lineRule="auto"/>
      </w:pPr>
      <w:r>
        <w:rPr>
          <w:rFonts w:ascii="Times New Roman" w:hAnsi="Times New Roman"/>
          <w:b/>
          <w:sz w:val="24"/>
        </w:rPr>
        <w:t>1.2 Hipóteses</w:t>
      </w:r>
    </w:p>
    <w:p>
      <w:pPr>
        <w:spacing w:after="120" w:line="360" w:lineRule="auto"/>
        <w:ind w:firstLine="709"/>
      </w:pPr>
      <w:r>
        <w:rPr>
          <w:rFonts w:ascii="Times New Roman" w:hAnsi="Times New Roman"/>
          <w:b w:val="0"/>
          <w:i w:val="0"/>
          <w:sz w:val="24"/>
        </w:rPr>
        <w:t>H1: as alterações textuais entre exercícios nas notas de empréstimos, financiamentos e debêntures estão associadas ao retorno anormal futuro das ações, mesmo depois de controlar pelas mudanças observáveis nos fundamentos da empresa.</w:t>
      </w:r>
    </w:p>
    <w:p>
      <w:pPr>
        <w:spacing w:after="120" w:line="360" w:lineRule="auto"/>
        <w:ind w:firstLine="709"/>
      </w:pPr>
      <w:r>
        <w:rPr>
          <w:rFonts w:ascii="Times New Roman" w:hAnsi="Times New Roman"/>
          <w:b w:val="0"/>
          <w:i w:val="0"/>
          <w:sz w:val="24"/>
        </w:rPr>
        <w:t>Optou-se por manter essa hipótese sem direção definida de propósito. Uma mudança grande no texto pode ser notícia ruim, como quebra de covenant ou dificuldade de refinanciamento, mas também pode ser notícia boa, como alongamento de prazo, redução de taxa ou quitação de dívida. Não dá para assumir de antemão que mudança sempre significa notícia ruim.</w:t>
      </w:r>
    </w:p>
    <w:p>
      <w:pPr>
        <w:spacing w:after="120" w:line="360" w:lineRule="auto"/>
        <w:ind w:firstLine="709"/>
      </w:pPr>
      <w:r>
        <w:rPr>
          <w:rFonts w:ascii="Times New Roman" w:hAnsi="Times New Roman"/>
          <w:b w:val="0"/>
          <w:i w:val="0"/>
          <w:sz w:val="24"/>
        </w:rPr>
        <w:t>H1a (opcional, exploratória): empresas com maior mudança textual nas notas de dívida apresentam retorno anormal futuro menor, na linha do que "Lazy Prices" encontra para o mercado americano. Essa hipótese só se sustenta se a mudança estiver concentrada em notícia desfavorável, então é tratada como teste adicional, não como hipótese central da dissertação.</w:t>
      </w:r>
    </w:p>
    <w:p>
      <w:pPr>
        <w:spacing w:after="120" w:line="360" w:lineRule="auto"/>
        <w:ind w:firstLine="709"/>
      </w:pPr>
      <w:r>
        <w:rPr>
          <w:rFonts w:ascii="Times New Roman" w:hAnsi="Times New Roman"/>
          <w:b w:val="0"/>
          <w:i w:val="0"/>
          <w:sz w:val="24"/>
        </w:rPr>
        <w:t>H2 (complementar): as alterações textuais nas notas de dívida também se associam à revisão do consenso de EPS dos analistas depois da divulgação.</w:t>
      </w:r>
    </w:p>
    <w:p>
      <w:pPr>
        <w:pStyle w:val="Heading2"/>
        <w:spacing w:before="480" w:after="240" w:line="360" w:lineRule="auto"/>
      </w:pPr>
      <w:r>
        <w:rPr>
          <w:rFonts w:ascii="Times New Roman" w:hAnsi="Times New Roman"/>
          <w:b/>
          <w:sz w:val="24"/>
        </w:rPr>
        <w:t>1.3 Estrutura da dissertação</w:t>
      </w:r>
    </w:p>
    <w:p>
      <w:pPr>
        <w:spacing w:after="200" w:line="276" w:lineRule="auto"/>
      </w:pPr>
      <w:r>
        <w:rPr>
          <w:rFonts w:ascii="Times New Roman" w:hAnsi="Times New Roman"/>
          <w:i/>
          <w:sz w:val="20"/>
        </w:rPr>
        <w:t>[Parágrafo padrão descrevendo a organização dos capítulos — escrever por último, depois que a estrutura final estiver fechada.]</w:t>
      </w:r>
    </w:p>
    <w:p>
      <w:r>
        <w:br w:type="page"/>
      </w:r>
    </w:p>
    <w:p>
      <w:pPr>
        <w:pStyle w:val="Heading1"/>
        <w:spacing w:before="480" w:after="240" w:line="360" w:lineRule="auto"/>
      </w:pPr>
      <w:r>
        <w:rPr>
          <w:rFonts w:ascii="Times New Roman" w:hAnsi="Times New Roman"/>
          <w:b/>
          <w:sz w:val="28"/>
        </w:rPr>
        <w:t>2 REFERENCIAL TEÓRICO E REVISÃO DE LITERATURA</w:t>
      </w:r>
    </w:p>
    <w:p>
      <w:pPr>
        <w:spacing w:after="200" w:line="276" w:lineRule="auto"/>
      </w:pPr>
      <w:r>
        <w:rPr>
          <w:rFonts w:ascii="Times New Roman" w:hAnsi="Times New Roman"/>
          <w:i/>
          <w:sz w:val="20"/>
        </w:rPr>
        <w:t>[Este capítulo consolida a Justificativa e o Embasamento teórico do pré-projeto, que já contêm uma revisão de literatura substancial e bem desenvolvida — reorganizados aqui como capítulo formal de revisão, sem reescrever o conteúdo já aprovado. Texto abaixo é o do pré-projeto, praticamente verbatim; ajustar apenas a costura entre seções ao revisar.]</w:t>
      </w:r>
    </w:p>
    <w:p>
      <w:pPr>
        <w:pStyle w:val="Heading2"/>
        <w:spacing w:before="480" w:after="240" w:line="360" w:lineRule="auto"/>
      </w:pPr>
      <w:r>
        <w:rPr>
          <w:rFonts w:ascii="Times New Roman" w:hAnsi="Times New Roman"/>
          <w:b/>
          <w:sz w:val="24"/>
        </w:rPr>
        <w:t>2.1 Assimetria informacional e divulgação corporativa</w:t>
      </w:r>
    </w:p>
    <w:p>
      <w:pPr>
        <w:spacing w:after="120" w:line="360" w:lineRule="auto"/>
        <w:ind w:firstLine="709"/>
      </w:pPr>
      <w:r>
        <w:rPr>
          <w:rFonts w:ascii="Times New Roman" w:hAnsi="Times New Roman"/>
          <w:b w:val="0"/>
          <w:i w:val="0"/>
          <w:sz w:val="24"/>
        </w:rPr>
        <w:t>A base teórica mais geral é a existência de assimetria de informação entre os administradores, que acompanham de perto a operação da empresa, e os investidores de fora, que dependem do que é publicado. Diamond e Verrecchia (1991) mostram que divulgação pública reduz a assimetria entre investidores informados e não informados, o que pode aumentar a liquidez e reduzir o custo de capital da empresa. Healy e Palepu (2001), numa revisão bem conhecida da literatura de disclosure, organizam as demonstrações financeiras, a auditoria, os intermediários de informação e as divulgações voluntárias como os mecanismos principais pelos quais o mercado tenta resolver esses problemas de informação e de agência.</w:t>
      </w:r>
    </w:p>
    <w:p>
      <w:pPr>
        <w:spacing w:after="120" w:line="360" w:lineRule="auto"/>
        <w:ind w:firstLine="709"/>
      </w:pPr>
      <w:r>
        <w:rPr>
          <w:rFonts w:ascii="Times New Roman" w:hAnsi="Times New Roman"/>
          <w:b w:val="0"/>
          <w:i w:val="0"/>
          <w:sz w:val="24"/>
        </w:rPr>
        <w:t>Aplicando isso a esta pesquisa, não basta a empresa divulgar o saldo total da dívida. Informação sobre vencimento, taxa, garantia, covenant e renegociação pode mudar como o mercado avalia o risco financeiro e os fluxos de caixa futuros da empresa. Se essas informações forem relevantes e ainda não estiverem refletidas nos outros números, mudanças no texto da nota podem carregar conteúdo a mais.</w:t>
      </w:r>
    </w:p>
    <w:p>
      <w:pPr>
        <w:pStyle w:val="Heading2"/>
        <w:spacing w:before="480" w:after="240" w:line="360" w:lineRule="auto"/>
      </w:pPr>
      <w:r>
        <w:rPr>
          <w:rFonts w:ascii="Times New Roman" w:hAnsi="Times New Roman"/>
          <w:b/>
          <w:sz w:val="24"/>
        </w:rPr>
        <w:t>2.2 Atenção limitada e sub-reação do mercado</w:t>
      </w:r>
    </w:p>
    <w:p>
      <w:pPr>
        <w:spacing w:after="120" w:line="360" w:lineRule="auto"/>
        <w:ind w:firstLine="709"/>
      </w:pPr>
      <w:r>
        <w:rPr>
          <w:rFonts w:ascii="Times New Roman" w:hAnsi="Times New Roman"/>
          <w:b w:val="0"/>
          <w:i w:val="0"/>
          <w:sz w:val="24"/>
        </w:rPr>
        <w:t>A hipótese tradicional de eficiência diz que os preços deveriam refletir rápido qualquer informação disponível. Mas essa incorporação depende de os investidores conseguirem localizar, ler e interpretar direito os documentos. Hirshleifer, Lim e Teoh (2011) desenvolvem um modelo em que a atenção limitada dos investidores explica tanto sub-reação quanto sobre-reação a diferentes componentes da informação contábil, dependendo de quão saliente cada componente é.</w:t>
      </w:r>
    </w:p>
    <w:p>
      <w:pPr>
        <w:spacing w:after="120" w:line="360" w:lineRule="auto"/>
        <w:ind w:firstLine="709"/>
      </w:pPr>
      <w:r>
        <w:rPr>
          <w:rFonts w:ascii="Times New Roman" w:hAnsi="Times New Roman"/>
          <w:b w:val="0"/>
          <w:i w:val="0"/>
          <w:sz w:val="24"/>
        </w:rPr>
        <w:t>As notas explicativas são um ambiente bem propício para testar esse mecanismo. Elas podem conter informação relevante, mas são longas e disputam a atenção do investidor com o lucro líquido, o EBITDA, o release de resultados, a teleconferência, as projeções da administração e as recomendações de analistas. Amel-Zadeh e Faasse (2016) dão a ligação mais direta com essa pesquisa: comparando o texto do relatório da administração (MD&amp;A) com o das notas explicativas em formulários 10-K americanos, encontram que a reação dos investidores é mais rápida e mais forte pro MD&amp;A do que pras notas, e que mudanças no texto das notas predizem retorno futuro e desempenho operacional. Isso justifica escolher as notas explicativas, e não o relatório da administração, como objeto de estudo: é justamente no pedaço mais técnico e menos lido da divulgação que a sub-reação parece mais provável de acontecer.</w:t>
      </w:r>
    </w:p>
    <w:p>
      <w:pPr>
        <w:pStyle w:val="Heading2"/>
        <w:spacing w:before="480" w:after="240" w:line="360" w:lineRule="auto"/>
      </w:pPr>
      <w:r>
        <w:rPr>
          <w:rFonts w:ascii="Times New Roman" w:hAnsi="Times New Roman"/>
          <w:b/>
          <w:sz w:val="24"/>
        </w:rPr>
        <w:t>2.3 Mudança textual como sinal de informação nova</w:t>
      </w:r>
    </w:p>
    <w:p>
      <w:pPr>
        <w:spacing w:after="120" w:line="360" w:lineRule="auto"/>
        <w:ind w:firstLine="709"/>
      </w:pPr>
      <w:r>
        <w:rPr>
          <w:rFonts w:ascii="Times New Roman" w:hAnsi="Times New Roman"/>
          <w:b w:val="0"/>
          <w:i w:val="0"/>
          <w:sz w:val="24"/>
        </w:rPr>
        <w:t>Documento financeiro tem muito texto repetido. Política contábil, descrição de contrato e trecho normativo podem ficar praticamente iguais por vários anos seguidos. Por isso, o nível absoluto de uma medida textual (por exemplo, quantas palavras negativas a nota tem) pode não separar bem texto estrutural repetitivo de informação nova do exercício.</w:t>
      </w:r>
    </w:p>
    <w:p>
      <w:pPr>
        <w:spacing w:after="120" w:line="360" w:lineRule="auto"/>
        <w:ind w:firstLine="709"/>
      </w:pPr>
      <w:r>
        <w:rPr>
          <w:rFonts w:ascii="Times New Roman" w:hAnsi="Times New Roman"/>
          <w:b w:val="0"/>
          <w:i w:val="0"/>
          <w:sz w:val="24"/>
        </w:rPr>
        <w:t>Brown e Tucker (2011) comparam a seção MD&amp;A de cada empresa com a do ano anterior e mostram que a mudança de um ano pro outro está associada a mudanças econômicas reais e à reação dos preços. Cohen, Malloy e Nguyen (2020), no estudo conhecido como Lazy Prices, ampliam essa lógica pro histórico completo de documentos regulatórios (10-K e 10-Q) de empresas americanas: empresas cujos documentos mudam mais no texto têm desempenho futuro pior do que empresas cujos documentos ficam parecidos ano após ano, e isso sem reação de mercado imediata na data da divulgação, o que é consistente com desatenção dos investidores à mudança textual em si.</w:t>
      </w:r>
    </w:p>
    <w:p>
      <w:pPr>
        <w:spacing w:after="120" w:line="360" w:lineRule="auto"/>
        <w:ind w:firstLine="709"/>
      </w:pPr>
      <w:r>
        <w:rPr>
          <w:rFonts w:ascii="Times New Roman" w:hAnsi="Times New Roman"/>
          <w:b w:val="0"/>
          <w:i w:val="0"/>
          <w:sz w:val="24"/>
        </w:rPr>
        <w:t>É essa literatura que sustenta a medida usada aqui:</w:t>
      </w:r>
    </w:p>
    <w:p>
      <w:pPr>
        <w:spacing w:after="120" w:line="360" w:lineRule="auto"/>
        <w:ind w:firstLine="0"/>
        <w:jc w:val="center"/>
      </w:pPr>
      <w:r>
        <w:rPr>
          <w:rFonts w:ascii="Times New Roman" w:hAnsi="Times New Roman"/>
          <w:b w:val="0"/>
          <w:i/>
          <w:sz w:val="24"/>
        </w:rPr>
        <w:t>Similaridade(i,t) = cosseno(TFIDF(i,t), TFIDF(i,t-1))</w:t>
      </w:r>
    </w:p>
    <w:p>
      <w:pPr>
        <w:spacing w:after="120" w:line="360" w:lineRule="auto"/>
        <w:ind w:firstLine="0"/>
        <w:jc w:val="center"/>
      </w:pPr>
      <w:r>
        <w:rPr>
          <w:rFonts w:ascii="Times New Roman" w:hAnsi="Times New Roman"/>
          <w:b w:val="0"/>
          <w:i/>
          <w:sz w:val="24"/>
        </w:rPr>
        <w:t>Mudança textual(i,t) = 1 − Similaridade(i,t)</w:t>
      </w:r>
    </w:p>
    <w:p>
      <w:pPr>
        <w:spacing w:after="120" w:line="360" w:lineRule="auto"/>
        <w:ind w:firstLine="709"/>
      </w:pPr>
      <w:r>
        <w:rPr>
          <w:rFonts w:ascii="Times New Roman" w:hAnsi="Times New Roman"/>
          <w:b w:val="0"/>
          <w:i w:val="0"/>
          <w:sz w:val="24"/>
        </w:rPr>
        <w:t>Um ponto importante que precisa ficar claro na dissertação: essa medida capta mudança lexical, ou seja, mudança nas palavras e expressões usadas, e não necessariamente mudança de significado. Duas frases podem dizer basicamente a mesma coisa com palavras bem diferentes, e nesse caso a similaridade de cosseno vai indicar baixa similaridade mesmo sem mudança econômica real. Por isso, optou-se por chamar essa variável de mudança textual ou mudança lexical, evitando termos como "novidade semântica", que sugeririam uma precisão que o método não tem.</w:t>
      </w:r>
    </w:p>
    <w:p>
      <w:pPr>
        <w:pStyle w:val="Heading2"/>
        <w:spacing w:before="480" w:after="240" w:line="360" w:lineRule="auto"/>
      </w:pPr>
      <w:r>
        <w:rPr>
          <w:rFonts w:ascii="Times New Roman" w:hAnsi="Times New Roman"/>
          <w:b/>
          <w:sz w:val="24"/>
        </w:rPr>
        <w:t>2.4 Divulgação de dívida e resultados de mercado</w:t>
      </w:r>
    </w:p>
    <w:p>
      <w:pPr>
        <w:spacing w:after="120" w:line="360" w:lineRule="auto"/>
        <w:ind w:firstLine="709"/>
      </w:pPr>
      <w:r>
        <w:rPr>
          <w:rFonts w:ascii="Times New Roman" w:hAnsi="Times New Roman"/>
          <w:b w:val="0"/>
          <w:i w:val="0"/>
          <w:sz w:val="24"/>
        </w:rPr>
        <w:t>Dois estudos internacionais ligam diretamente a qualidade textual da divulgação a resultados no mercado de dívida, o que ajuda a justificar por que a pesquisa escolheu justamente as notas de empréstimos, financiamentos e debêntures. Ertugrul et al. (2017) mostram que relatórios anuais menos legíveis e com tom mais ambíguo se associam a cláusulas de empréstimo mais restritivas e a maior risco futuro de queda abrupta no preço da ação. Bonsall e Miller (2017) mostram que menor legibilidade das divulgações narrativas se associa a ratings de crédito menos favoráveis e a mais divergência entre agências de rating. Os dois reforçam que o pedaço da divulgação relacionado à dívida é especialmente sensível à qualidade da comunicação textual.</w:t>
      </w:r>
    </w:p>
    <w:p>
      <w:pPr>
        <w:spacing w:after="200" w:line="276" w:lineRule="auto"/>
      </w:pPr>
      <w:r>
        <w:rPr>
          <w:rFonts w:ascii="Times New Roman" w:hAnsi="Times New Roman"/>
          <w:i/>
          <w:sz w:val="20"/>
        </w:rPr>
        <w:t>[IMPORTANTE — decisão pendente, ver reports/wholenote_alignment_review.md: o próximo parágrafo, já presente no pré-projeto, justifica explicitamente usar a nota de dívida ISOLADA em vez do documento inteiro de notas explicativas, citando Schiozer e Albanez. Um teste exploratório recente com o documento inteiro produziu resultados que precisam ser reconciliados com esse argumento antes da versão final — ver o arquivo citado.]</w:t>
      </w:r>
    </w:p>
    <w:p>
      <w:pPr>
        <w:spacing w:after="120" w:line="360" w:lineRule="auto"/>
        <w:ind w:firstLine="709"/>
      </w:pPr>
      <w:r>
        <w:rPr>
          <w:rFonts w:ascii="Times New Roman" w:hAnsi="Times New Roman"/>
          <w:b w:val="0"/>
          <w:i w:val="0"/>
          <w:sz w:val="24"/>
        </w:rPr>
        <w:t>No Brasil, Schiozer e Albanez (2021) mostram, com coleta manual em milhares de notas de empréstimos e financiamentos de empresas da B3, que essas notas carregam informação contratual concreta sobre covenants, o que reforça que vale a pena tratar essa nota especificamente, e não o documento inteiro, como unidade de análise.</w:t>
      </w:r>
    </w:p>
    <w:p>
      <w:pPr>
        <w:pStyle w:val="Heading2"/>
        <w:spacing w:before="480" w:after="240" w:line="360" w:lineRule="auto"/>
      </w:pPr>
      <w:r>
        <w:rPr>
          <w:rFonts w:ascii="Times New Roman" w:hAnsi="Times New Roman"/>
          <w:b/>
          <w:sz w:val="24"/>
        </w:rPr>
        <w:t>2.5 Panorama brasileiro e a lacuna que a pesquisa ocupa</w:t>
      </w:r>
    </w:p>
    <w:p>
      <w:pPr>
        <w:spacing w:after="120" w:line="360" w:lineRule="auto"/>
        <w:ind w:firstLine="709"/>
      </w:pPr>
      <w:r>
        <w:rPr>
          <w:rFonts w:ascii="Times New Roman" w:hAnsi="Times New Roman"/>
          <w:b w:val="0"/>
          <w:i w:val="0"/>
          <w:sz w:val="24"/>
        </w:rPr>
        <w:t>A literatura nacional sobre notas explicativas cobre bem legibilidade (Borges e Rech; Silva, 2019), tom e crise (Muniz, 2025), mineração de texto em notas de risco de instituições financeiras (Marcolin e colegas), previsão de variação de indicador contábil a partir de texto de notas (Maeda, Carvalho e Carvalho, 2017), conformidade com IFRS e erro de previsão de analista (Santos et al., 2018), covenants em notas de dívida (Schiozer e Albanez, 2021), e, mais recentemente, um índice sofisticado de informatividade construído com modelo de linguagem em português (Costa Neto e Anjos, 2025), ainda sem validação contra variável de mercado.</w:t>
      </w:r>
    </w:p>
    <w:p>
      <w:pPr>
        <w:spacing w:after="120" w:line="360" w:lineRule="auto"/>
        <w:ind w:firstLine="709"/>
      </w:pPr>
      <w:r>
        <w:rPr>
          <w:rFonts w:ascii="Times New Roman" w:hAnsi="Times New Roman"/>
          <w:b w:val="0"/>
          <w:i w:val="0"/>
          <w:sz w:val="24"/>
        </w:rPr>
        <w:t>A lacuna que esta dissertação ocupa é bem específica: nenhum desses trabalhos testa se a mudança textual ano a ano, medida de forma simples e replicável nas notas de dívida, carrega informação a mais sobre o retorno futuro das ações ou sobre a revisão das previsões dos analistas. É uma pergunta apoiada em literatura internacional já consolidada (Cohen, Malloy e Nguyen, 2020; Amel-Zadeh e Faasse, 2016) e, ao mesmo tempo, uma lacuna concreta e delimitada na literatura brasileira sobre disclosure textual.</w:t>
      </w:r>
    </w:p>
    <w:p>
      <w:r>
        <w:br w:type="page"/>
      </w:r>
    </w:p>
    <w:p>
      <w:pPr>
        <w:pStyle w:val="Heading1"/>
        <w:spacing w:before="480" w:after="240" w:line="360" w:lineRule="auto"/>
      </w:pPr>
      <w:r>
        <w:rPr>
          <w:rFonts w:ascii="Times New Roman" w:hAnsi="Times New Roman"/>
          <w:b/>
          <w:sz w:val="28"/>
        </w:rPr>
        <w:t>3 METODOLOGIA</w:t>
      </w:r>
    </w:p>
    <w:p>
      <w:pPr>
        <w:spacing w:after="200" w:line="276" w:lineRule="auto"/>
      </w:pPr>
      <w:r>
        <w:rPr>
          <w:rFonts w:ascii="Times New Roman" w:hAnsi="Times New Roman"/>
          <w:i/>
          <w:sz w:val="20"/>
        </w:rPr>
        <w:t>[Capítulo expandido a partir do pipeline de dados já construído neste repositório (não estava neste nível de detalhe no pré-projeto). Números e decisões abaixo refletem o estado real do trabalho em CLAUDE.md/README.md/reports/ no momento da redação — conferir se ainda estão corretos antes de finalizar, especialmente se a decisão sobre escopo (nota isolada vs. documento inteiro) mudar.]</w:t>
      </w:r>
    </w:p>
    <w:p>
      <w:pPr>
        <w:pStyle w:val="Heading2"/>
        <w:spacing w:before="480" w:after="240" w:line="360" w:lineRule="auto"/>
      </w:pPr>
      <w:r>
        <w:rPr>
          <w:rFonts w:ascii="Times New Roman" w:hAnsi="Times New Roman"/>
          <w:b/>
          <w:sz w:val="24"/>
        </w:rPr>
        <w:t>3.1 Amostra e período</w:t>
      </w:r>
    </w:p>
    <w:p>
      <w:pPr>
        <w:spacing w:after="120" w:line="360" w:lineRule="auto"/>
        <w:ind w:firstLine="709"/>
      </w:pPr>
      <w:r>
        <w:rPr>
          <w:rFonts w:ascii="Times New Roman" w:hAnsi="Times New Roman"/>
          <w:b w:val="0"/>
          <w:i w:val="0"/>
          <w:sz w:val="24"/>
        </w:rPr>
        <w:t>A amostra compreende 111 empresas não financeiras listadas na B3: as 66 constituintes atuais do Ibovespa (não financeiras) mais 46 empresas que integraram o índice em algum momento entre 2015 e 2024 mas não integram mais — reconstruídas a partir de snapshots históricos via Internet Archive e de um export histórico de composição do Ibovespa, especificamente para corrigir o viés de sobrevivência que uma amostra baseada apenas na composição atual do índice teria. O período de análise é 2015–2024, com dados anuais (DFP) e, em caráter exploratório, dados trimestrais (ITR) para 2015–2024.</w:t>
      </w:r>
    </w:p>
    <w:p>
      <w:pPr>
        <w:pStyle w:val="Heading2"/>
        <w:spacing w:before="480" w:after="240" w:line="360" w:lineRule="auto"/>
      </w:pPr>
      <w:r>
        <w:rPr>
          <w:rFonts w:ascii="Times New Roman" w:hAnsi="Times New Roman"/>
          <w:b/>
          <w:sz w:val="24"/>
        </w:rPr>
        <w:t>3.2 Coleta e extração das notas explicativas</w:t>
      </w:r>
    </w:p>
    <w:p>
      <w:pPr>
        <w:spacing w:after="120" w:line="360" w:lineRule="auto"/>
        <w:ind w:firstLine="709"/>
      </w:pPr>
      <w:r>
        <w:rPr>
          <w:rFonts w:ascii="Times New Roman" w:hAnsi="Times New Roman"/>
          <w:b w:val="0"/>
          <w:i w:val="0"/>
          <w:sz w:val="24"/>
        </w:rPr>
        <w:t>As notas explicativas foram coletadas diretamente do portal de dados abertos da CVM (DFP para dados anuais, ITR para trimestrais), a partir dos pacotes de arquivamento ("filing packages") de cada empresa-exercício. A nota específica de empréstimos, financiamentos e debêntures é isolada dentro do documento completo de notas explicativas (tipicamente 30–150 páginas) por meio de uma heurística baseada em metadados de layout do PDF (tamanho de fonte, negrito, posição), não por regex simples sobre o texto — necessário porque as mesmas palavras-chave aparecem em sumários, referências cruzadas e menções incidentais no corpo do texto, não apenas no título real da seção.</w:t>
      </w:r>
    </w:p>
    <w:p>
      <w:pPr>
        <w:spacing w:after="120" w:line="360" w:lineRule="auto"/>
        <w:ind w:firstLine="709"/>
      </w:pPr>
      <w:r>
        <w:rPr>
          <w:rFonts w:ascii="Times New Roman" w:hAnsi="Times New Roman"/>
          <w:b w:val="0"/>
          <w:i w:val="0"/>
          <w:sz w:val="24"/>
        </w:rPr>
        <w:t>[NÚMERO A CONFIRMAR/ATUALIZAR] Após múltiplas rodadas de aprimoramento da heurística de extração — cada uma validada contra os PDFs reais, não presumida —, a taxa de extração confiável (localização precisa da nota, não apenas uma aproximação por palavra-chave) está em aproximadamente 65% do universo anual completo. Os casos remanescentes recaem em uma extração aproximada (identificação por palavra-chave, sem delimitação precisa da seção) ou não localizam a nota. Essa taxa de confiabilidade é reportada e tratada como uma limitação explícita do método, não omitida — ver Capítulo 4.</w:t>
      </w:r>
    </w:p>
    <w:p>
      <w:pPr>
        <w:pStyle w:val="Heading2"/>
        <w:spacing w:before="480" w:after="240" w:line="360" w:lineRule="auto"/>
      </w:pPr>
      <w:r>
        <w:rPr>
          <w:rFonts w:ascii="Times New Roman" w:hAnsi="Times New Roman"/>
          <w:b/>
          <w:sz w:val="24"/>
        </w:rPr>
        <w:t>3.3 Medida de mudança textual (TF-IDF e similaridade de cosseno)</w:t>
      </w:r>
    </w:p>
    <w:p>
      <w:pPr>
        <w:spacing w:after="120" w:line="360" w:lineRule="auto"/>
        <w:ind w:firstLine="709"/>
      </w:pPr>
      <w:r>
        <w:rPr>
          <w:rFonts w:ascii="Times New Roman" w:hAnsi="Times New Roman"/>
          <w:b w:val="0"/>
          <w:i w:val="0"/>
          <w:sz w:val="24"/>
        </w:rPr>
        <w:t>Seguindo Cohen, Malloy e Nguyen (2020) e Brown e Tucker (2011), a mudança textual é medida por 1 menos a similaridade de cosseno entre os vetores TF-IDF do texto da nota em dois exercícios consecutivos da mesma empresa, com o vocabulário e os pesos IDF ajustados uma única vez sobre todo o corpus da amostra (não empresa a empresa), para que a ponderação reflita o que é de fato boilerplate genérico do setor/mercado.</w:t>
      </w:r>
    </w:p>
    <w:p>
      <w:pPr>
        <w:spacing w:after="200" w:line="276" w:lineRule="auto"/>
      </w:pPr>
      <w:r>
        <w:rPr>
          <w:rFonts w:ascii="Times New Roman" w:hAnsi="Times New Roman"/>
          <w:i/>
          <w:sz w:val="20"/>
        </w:rPr>
        <w:t>[DECISÃO PENDENTE: unidade de análise. O desenho original (pré-projeto, Capítulo 2) especifica a nota de dívida isolada. Um teste exploratório comparando o documento inteiro de notas produziu resultados estatisticamente diferentes (e inicialmente mais fortes) — ver reports/wholenote_alignment_review.md para a discussão completa e as opções. Esta seção deve declarar explicitamente qual unidade de análise é a definitiva antes da versão final, com a devida justificativa.]</w:t>
      </w:r>
    </w:p>
    <w:p>
      <w:pPr>
        <w:pStyle w:val="Heading2"/>
        <w:spacing w:before="480" w:after="240" w:line="360" w:lineRule="auto"/>
      </w:pPr>
      <w:r>
        <w:rPr>
          <w:rFonts w:ascii="Times New Roman" w:hAnsi="Times New Roman"/>
          <w:b/>
          <w:sz w:val="24"/>
        </w:rPr>
        <w:t>3.4 Variável dependente: retorno anormal futuro</w:t>
      </w:r>
    </w:p>
    <w:p>
      <w:pPr>
        <w:spacing w:after="120" w:line="360" w:lineRule="auto"/>
        <w:ind w:firstLine="709"/>
      </w:pPr>
      <w:r>
        <w:rPr>
          <w:rFonts w:ascii="Times New Roman" w:hAnsi="Times New Roman"/>
          <w:b w:val="0"/>
          <w:i w:val="0"/>
          <w:sz w:val="24"/>
        </w:rPr>
        <w:t>O retorno anormal é calculado como o retorno buy-and-hold da ação nos 12 meses seguintes à data de divulgação da DFP (data real de recebimento pela CVM, não a data de fechamento do exercício), menos o retorno buy-and-hold do Ibovespa no mesmo período. [A ESPECIFICAR NA VERSÃO FINAL: esta é uma medida ajustada ao mercado, sem beta — a versão final da dissertação deve considerar um modelo de mercado (CAPM) ou de fatores (Fama-French/Carhart) para o cálculo definitivo do retorno anormal, conforme já identificado como pendência nas notas de projeto deste repositório.]</w:t>
      </w:r>
    </w:p>
    <w:p>
      <w:pPr>
        <w:pStyle w:val="Heading2"/>
        <w:spacing w:before="480" w:after="240" w:line="360" w:lineRule="auto"/>
      </w:pPr>
      <w:r>
        <w:rPr>
          <w:rFonts w:ascii="Times New Roman" w:hAnsi="Times New Roman"/>
          <w:b/>
          <w:sz w:val="24"/>
        </w:rPr>
        <w:t>3.5 Variáveis de controle</w:t>
      </w:r>
    </w:p>
    <w:p>
      <w:pPr>
        <w:spacing w:after="120" w:line="360" w:lineRule="auto"/>
        <w:ind w:firstLine="709"/>
      </w:pPr>
      <w:r>
        <w:rPr>
          <w:rFonts w:ascii="Times New Roman" w:hAnsi="Times New Roman"/>
          <w:b w:val="0"/>
          <w:i w:val="0"/>
          <w:sz w:val="24"/>
        </w:rPr>
        <w:t>As variáveis de controle utilizadas são: tamanho (logaritmo do ativo total e da receita líquida), alavancagem (passivo total sobre ativo total), rentabilidade (ROA e ROE) e retorno passado (retorno acumulado de 12 meses anterior à data-base). Tamanho, alavancagem e rentabilidade são extraídos diretamente dos dados contábeis estruturados e padronizados publicados pela CVM (não das notas em texto livre), o que garante cobertura praticamente completa na amostra. Retorno passado é calculado a partir da série de preços.</w:t>
      </w:r>
    </w:p>
    <w:p>
      <w:pPr>
        <w:pStyle w:val="Heading2"/>
        <w:spacing w:before="480" w:after="240" w:line="360" w:lineRule="auto"/>
      </w:pPr>
      <w:r>
        <w:rPr>
          <w:rFonts w:ascii="Times New Roman" w:hAnsi="Times New Roman"/>
          <w:b/>
          <w:sz w:val="24"/>
        </w:rPr>
        <w:t>3.6 Modelo empírico</w:t>
      </w:r>
    </w:p>
    <w:p>
      <w:pPr>
        <w:spacing w:after="200" w:line="276" w:lineRule="auto"/>
      </w:pPr>
      <w:r>
        <w:rPr>
          <w:rFonts w:ascii="Times New Roman" w:hAnsi="Times New Roman"/>
          <w:i/>
          <w:sz w:val="20"/>
        </w:rPr>
        <w:t>[SEÇÃO A DESENVOLVER — é o item mais importante ainda em aberto. Trabalho exploratório recente (ver reports/wholenote_multivariate_model.md) identificou um problema metodológico real em todos os testes de significância feitos até agora neste projeto: comparações simples (teste de Mann-Whitney) tratam cada par ano-a-ano de uma mesma empresa como observação independente, o que não é estatisticamente válido, já que uma empresa contribui várias observações correlacionadas entre si. O modelo definitivo desta seção precisa usar erros-padrão agrupados por empresa (clustered standard errors) ou um modelo em painel com efeitos fixos de empresa — não os testes simples usados nas análises exploratórias até aqui. Esta é a principal pendência técnica antes de reportar qualquer resultado como definitivo.]</w:t>
      </w:r>
    </w:p>
    <w:p>
      <w:pPr>
        <w:pStyle w:val="Heading2"/>
        <w:spacing w:before="480" w:after="240" w:line="360" w:lineRule="auto"/>
      </w:pPr>
      <w:r>
        <w:rPr>
          <w:rFonts w:ascii="Times New Roman" w:hAnsi="Times New Roman"/>
          <w:b/>
          <w:sz w:val="24"/>
        </w:rPr>
        <w:t>3.7 Análise complementar: revisão de consenso de analistas (H2)</w:t>
      </w:r>
    </w:p>
    <w:p>
      <w:pPr>
        <w:spacing w:after="120" w:line="360" w:lineRule="auto"/>
        <w:ind w:firstLine="709"/>
      </w:pPr>
      <w:r>
        <w:rPr>
          <w:rFonts w:ascii="Times New Roman" w:hAnsi="Times New Roman"/>
          <w:b w:val="0"/>
          <w:i w:val="0"/>
          <w:sz w:val="24"/>
        </w:rPr>
        <w:t>Como análise complementar, testa-se se a mudança textual na nota de dívida também se associa à revisão do consenso de previsões de EPS dos analistas após a divulgação, usando dados de consenso trimestral do Bloomberg. [A ESPECIFICAR: definição exata da janela de revisão em torno de cada divulgação — dados já disponíveis, análise ainda não realizada.]</w:t>
      </w:r>
    </w:p>
    <w:p>
      <w:r>
        <w:br w:type="page"/>
      </w:r>
    </w:p>
    <w:p>
      <w:pPr>
        <w:pStyle w:val="Heading1"/>
        <w:spacing w:before="480" w:after="240" w:line="360" w:lineRule="auto"/>
      </w:pPr>
      <w:r>
        <w:rPr>
          <w:rFonts w:ascii="Times New Roman" w:hAnsi="Times New Roman"/>
          <w:b/>
          <w:sz w:val="28"/>
        </w:rPr>
        <w:t>4 RESULTADOS</w:t>
      </w:r>
    </w:p>
    <w:p>
      <w:pPr>
        <w:spacing w:after="200" w:line="276" w:lineRule="auto"/>
      </w:pPr>
      <w:r>
        <w:rPr>
          <w:rFonts w:ascii="Times New Roman" w:hAnsi="Times New Roman"/>
          <w:i/>
          <w:sz w:val="20"/>
        </w:rPr>
        <w:t>[Capítulo a ser escrito com os resultados definitivos, depois que o modelo empírico da Seção 3.6 estiver fechado. Estrutura proposta abaixo com base no que já foi explorado — nenhum número aqui deve ser tratado como resultado final da dissertação; todos vêm de análises exploratórias de prova de conceito (POC) que precisam ser refeitas com o modelo definitivo.]</w:t>
      </w:r>
    </w:p>
    <w:p>
      <w:pPr>
        <w:pStyle w:val="Heading2"/>
        <w:spacing w:before="480" w:after="240" w:line="360" w:lineRule="auto"/>
      </w:pPr>
      <w:r>
        <w:rPr>
          <w:rFonts w:ascii="Times New Roman" w:hAnsi="Times New Roman"/>
          <w:b/>
          <w:sz w:val="24"/>
        </w:rPr>
        <w:t>4.1 Estatísticas descritivas da amostra</w:t>
      </w:r>
    </w:p>
    <w:p>
      <w:pPr>
        <w:spacing w:after="200" w:line="276" w:lineRule="auto"/>
      </w:pPr>
      <w:r>
        <w:rPr>
          <w:rFonts w:ascii="Times New Roman" w:hAnsi="Times New Roman"/>
          <w:i/>
          <w:sz w:val="20"/>
        </w:rPr>
        <w:t>[Tabela descritiva: nº empresas, nº empresa-ano, distribuição por setor, cobertura de dados de mercado, etc.]</w:t>
      </w:r>
    </w:p>
    <w:p>
      <w:pPr>
        <w:pStyle w:val="Heading2"/>
        <w:spacing w:before="480" w:after="240" w:line="360" w:lineRule="auto"/>
      </w:pPr>
      <w:r>
        <w:rPr>
          <w:rFonts w:ascii="Times New Roman" w:hAnsi="Times New Roman"/>
          <w:b/>
          <w:sz w:val="24"/>
        </w:rPr>
        <w:t>4.2 Confiabilidade da extração textual</w:t>
      </w:r>
    </w:p>
    <w:p>
      <w:pPr>
        <w:spacing w:after="200" w:line="276" w:lineRule="auto"/>
      </w:pPr>
      <w:r>
        <w:rPr>
          <w:rFonts w:ascii="Times New Roman" w:hAnsi="Times New Roman"/>
          <w:i/>
          <w:sz w:val="20"/>
        </w:rPr>
        <w:t>[Reportar taxa de extração confiável e discutir limitações — dado já disponível em reports/poc_note_extraction_findings.md.]</w:t>
      </w:r>
    </w:p>
    <w:p>
      <w:pPr>
        <w:pStyle w:val="Heading2"/>
        <w:spacing w:before="480" w:after="240" w:line="360" w:lineRule="auto"/>
      </w:pPr>
      <w:r>
        <w:rPr>
          <w:rFonts w:ascii="Times New Roman" w:hAnsi="Times New Roman"/>
          <w:b/>
          <w:sz w:val="24"/>
        </w:rPr>
        <w:t>4.3 Resultados do modelo principal (H1)</w:t>
      </w:r>
    </w:p>
    <w:p>
      <w:pPr>
        <w:spacing w:after="200" w:line="276" w:lineRule="auto"/>
      </w:pPr>
      <w:r>
        <w:rPr>
          <w:rFonts w:ascii="Times New Roman" w:hAnsi="Times New Roman"/>
          <w:i/>
          <w:sz w:val="20"/>
        </w:rPr>
        <w:t>[Pendente do modelo definitivo da Seção 3.6.]</w:t>
      </w:r>
    </w:p>
    <w:p>
      <w:pPr>
        <w:pStyle w:val="Heading2"/>
        <w:spacing w:before="480" w:after="240" w:line="360" w:lineRule="auto"/>
      </w:pPr>
      <w:r>
        <w:rPr>
          <w:rFonts w:ascii="Times New Roman" w:hAnsi="Times New Roman"/>
          <w:b/>
          <w:sz w:val="24"/>
        </w:rPr>
        <w:t>4.4 Testes de robustez</w:t>
      </w:r>
    </w:p>
    <w:p>
      <w:pPr>
        <w:spacing w:after="200" w:line="276" w:lineRule="auto"/>
      </w:pPr>
      <w:r>
        <w:rPr>
          <w:rFonts w:ascii="Times New Roman" w:hAnsi="Times New Roman"/>
          <w:i/>
          <w:sz w:val="20"/>
        </w:rPr>
        <w:t>[Pendente.]</w:t>
      </w:r>
    </w:p>
    <w:p>
      <w:pPr>
        <w:pStyle w:val="Heading2"/>
        <w:spacing w:before="480" w:after="240" w:line="360" w:lineRule="auto"/>
      </w:pPr>
      <w:r>
        <w:rPr>
          <w:rFonts w:ascii="Times New Roman" w:hAnsi="Times New Roman"/>
          <w:b/>
          <w:sz w:val="24"/>
        </w:rPr>
        <w:t>4.5 Análise complementar (H2)</w:t>
      </w:r>
    </w:p>
    <w:p>
      <w:pPr>
        <w:spacing w:after="200" w:line="276" w:lineRule="auto"/>
      </w:pPr>
      <w:r>
        <w:rPr>
          <w:rFonts w:ascii="Times New Roman" w:hAnsi="Times New Roman"/>
          <w:i/>
          <w:sz w:val="20"/>
        </w:rPr>
        <w:t>[Pendente.]</w:t>
      </w:r>
    </w:p>
    <w:p>
      <w:r>
        <w:br w:type="page"/>
      </w:r>
    </w:p>
    <w:p>
      <w:pPr>
        <w:pStyle w:val="Heading1"/>
        <w:spacing w:before="480" w:after="240" w:line="360" w:lineRule="auto"/>
      </w:pPr>
      <w:r>
        <w:rPr>
          <w:rFonts w:ascii="Times New Roman" w:hAnsi="Times New Roman"/>
          <w:b/>
          <w:sz w:val="28"/>
        </w:rPr>
        <w:t>5 CONCLUSÃO</w:t>
      </w:r>
    </w:p>
    <w:p>
      <w:pPr>
        <w:spacing w:after="200" w:line="276" w:lineRule="auto"/>
      </w:pPr>
      <w:r>
        <w:rPr>
          <w:rFonts w:ascii="Times New Roman" w:hAnsi="Times New Roman"/>
          <w:i/>
          <w:sz w:val="20"/>
        </w:rPr>
        <w:t>[A escrever por último.]</w:t>
      </w:r>
    </w:p>
    <w:p>
      <w:r>
        <w:br w:type="page"/>
      </w:r>
    </w:p>
    <w:p>
      <w:pPr>
        <w:pStyle w:val="Heading1"/>
        <w:spacing w:before="480" w:after="240" w:line="360" w:lineRule="auto"/>
      </w:pPr>
      <w:r>
        <w:rPr>
          <w:rFonts w:ascii="Times New Roman" w:hAnsi="Times New Roman"/>
          <w:b/>
          <w:sz w:val="28"/>
        </w:rPr>
        <w:t>REFERÊNCIAS</w:t>
      </w:r>
    </w:p>
    <w:p>
      <w:pPr>
        <w:spacing w:after="200" w:line="276" w:lineRule="auto"/>
      </w:pPr>
      <w:r>
        <w:rPr>
          <w:rFonts w:ascii="Times New Roman" w:hAnsi="Times New Roman"/>
          <w:i/>
          <w:sz w:val="20"/>
        </w:rPr>
        <w:t>[Lista do pré-projeto, formatada em ABNT NBR 6023. O pré-projeto já sinaliza que os nomes completos de Souza, Borba, Telles e Moreira, além da lista completa de coautores de Marcolin et al., ainda precisam ser confirmados antes da versão final.]</w:t>
      </w:r>
    </w:p>
    <w:p>
      <w:pPr>
        <w:spacing w:after="200" w:line="240" w:lineRule="auto"/>
      </w:pPr>
      <w:r>
        <w:rPr>
          <w:rFonts w:ascii="Times New Roman" w:hAnsi="Times New Roman"/>
          <w:sz w:val="24"/>
        </w:rPr>
        <w:t>AMEL-ZADEH, A.; FAASSE, J. The information content of 10-K narratives: comparing MD&amp;A and footnotes disclosures. SSRN Working Paper, 2016.</w:t>
      </w:r>
    </w:p>
    <w:p>
      <w:pPr>
        <w:spacing w:after="200" w:line="240" w:lineRule="auto"/>
      </w:pPr>
      <w:r>
        <w:rPr>
          <w:rFonts w:ascii="Times New Roman" w:hAnsi="Times New Roman"/>
          <w:sz w:val="24"/>
        </w:rPr>
        <w:t>BONSALL, S. B.; MILLER, B. P. The impact of narrative disclosure readability on bond ratings and the cost of debt. Review of Accounting Studies, 2017.</w:t>
      </w:r>
    </w:p>
    <w:p>
      <w:pPr>
        <w:spacing w:after="200" w:line="240" w:lineRule="auto"/>
      </w:pPr>
      <w:r>
        <w:rPr>
          <w:rFonts w:ascii="Times New Roman" w:hAnsi="Times New Roman"/>
          <w:sz w:val="24"/>
        </w:rPr>
        <w:t>BORGES, G. F.; RECH, I. J. Características determinantes da legibilidade das notas explicativas de empresas brasileiras. Revista de Gestão, Finanças e Contabilidade.</w:t>
      </w:r>
    </w:p>
    <w:p>
      <w:pPr>
        <w:spacing w:after="200" w:line="240" w:lineRule="auto"/>
      </w:pPr>
      <w:r>
        <w:rPr>
          <w:rFonts w:ascii="Times New Roman" w:hAnsi="Times New Roman"/>
          <w:sz w:val="24"/>
        </w:rPr>
        <w:t>BROWN, S. V.; TUCKER, J. W. Large-sample evidence on firms' year-over-year MD&amp;A modifications. Journal of Accounting Research, v. 49, n. 2, p. 309-346, 2011.</w:t>
      </w:r>
    </w:p>
    <w:p>
      <w:pPr>
        <w:spacing w:after="200" w:line="240" w:lineRule="auto"/>
      </w:pPr>
      <w:r>
        <w:rPr>
          <w:rFonts w:ascii="Times New Roman" w:hAnsi="Times New Roman"/>
          <w:sz w:val="24"/>
        </w:rPr>
        <w:t>CARVALHO, R. S. de; TONIN, J. M. da F.; SANCHES, S. L. R. Previsibilidade do retorno das ações pela análise do sentimento textual: uma revisão. Revista de Educação e Pesquisa em Contabilidade (REPeC), v. 17, n. 2, 2023.</w:t>
      </w:r>
    </w:p>
    <w:p>
      <w:pPr>
        <w:spacing w:after="200" w:line="240" w:lineRule="auto"/>
      </w:pPr>
      <w:r>
        <w:rPr>
          <w:rFonts w:ascii="Times New Roman" w:hAnsi="Times New Roman"/>
          <w:sz w:val="24"/>
        </w:rPr>
        <w:t>COHEN, L.; MALLOY, C.; NGUYEN, Q. Lazy prices. The Journal of Finance, v. 75, n. 3, p. 1371-1415, 2020.</w:t>
      </w:r>
    </w:p>
    <w:p>
      <w:pPr>
        <w:spacing w:after="200" w:line="240" w:lineRule="auto"/>
      </w:pPr>
      <w:r>
        <w:rPr>
          <w:rFonts w:ascii="Times New Roman" w:hAnsi="Times New Roman"/>
          <w:sz w:val="24"/>
        </w:rPr>
        <w:t>COSTA NETO, A. M. da; ANJOS, L. C. M. dos. Readability in accounting: an ensemble learning approach. Tese de Doutorado, Universidade Federal de Pernambuco (UFPE), defendida em novembro de 2025.</w:t>
      </w:r>
    </w:p>
    <w:p>
      <w:pPr>
        <w:spacing w:after="200" w:line="240" w:lineRule="auto"/>
      </w:pPr>
      <w:r>
        <w:rPr>
          <w:rFonts w:ascii="Times New Roman" w:hAnsi="Times New Roman"/>
          <w:sz w:val="24"/>
        </w:rPr>
        <w:t>DIAMOND, D. W.; VERRECCHIA, R. E. Disclosure, liquidity, and the cost of capital. The Journal of Finance, v. 46, n. 4, p. 1325-1359, 1991.</w:t>
      </w:r>
    </w:p>
    <w:p>
      <w:pPr>
        <w:spacing w:after="200" w:line="240" w:lineRule="auto"/>
      </w:pPr>
      <w:r>
        <w:rPr>
          <w:rFonts w:ascii="Times New Roman" w:hAnsi="Times New Roman"/>
          <w:sz w:val="24"/>
        </w:rPr>
        <w:t>ERTUGRUL, M.; LEI, J.; QIU, J.; WAN, C. Annual report readability, tone ambiguity, and the cost of borrowing. Journal of Financial and Quantitative Analysis, v. 52, n. 2, p. 811-836, 2017.</w:t>
      </w:r>
    </w:p>
    <w:p>
      <w:pPr>
        <w:spacing w:after="200" w:line="240" w:lineRule="auto"/>
      </w:pPr>
      <w:r>
        <w:rPr>
          <w:rFonts w:ascii="Times New Roman" w:hAnsi="Times New Roman"/>
          <w:sz w:val="24"/>
        </w:rPr>
        <w:t>HEALY, P. M.; PALEPU, K. G. Information asymmetry, corporate disclosure, and the capital markets: a review of the empirical disclosure literature. Journal of Accounting and Economics, v. 31, n. 1-3, p. 405-440, 2001.</w:t>
      </w:r>
    </w:p>
    <w:p>
      <w:pPr>
        <w:spacing w:after="200" w:line="240" w:lineRule="auto"/>
      </w:pPr>
      <w:r>
        <w:rPr>
          <w:rFonts w:ascii="Times New Roman" w:hAnsi="Times New Roman"/>
          <w:sz w:val="24"/>
        </w:rPr>
        <w:t>HIRSHLEIFER, D.; LIM, S. S.; TEOH, S. H. Limited investor attention and stock market misreactions to accounting information. The Review of Asset Pricing Studies, v. 1, n. 1, p. 35-73, 2011.</w:t>
      </w:r>
    </w:p>
    <w:p>
      <w:pPr>
        <w:spacing w:after="200" w:line="240" w:lineRule="auto"/>
      </w:pPr>
      <w:r>
        <w:rPr>
          <w:rFonts w:ascii="Times New Roman" w:hAnsi="Times New Roman"/>
          <w:sz w:val="24"/>
        </w:rPr>
        <w:t>LI, F. Annual report readability, current earnings, and earnings persistence. Journal of Accounting and Economics, v. 45, n. 2-3, p. 221-247, 2008.</w:t>
      </w:r>
    </w:p>
    <w:p>
      <w:pPr>
        <w:spacing w:after="200" w:line="240" w:lineRule="auto"/>
      </w:pPr>
      <w:r>
        <w:rPr>
          <w:rFonts w:ascii="Times New Roman" w:hAnsi="Times New Roman"/>
          <w:sz w:val="24"/>
        </w:rPr>
        <w:t>LOUGHRAN, T.; MCDONALD, B. When is a liability not a liability? Textual analysis, dictionaries, and 10-Ks. The Journal of Finance, v. 66, n. 1, p. 35-65, 2011.</w:t>
      </w:r>
    </w:p>
    <w:p>
      <w:pPr>
        <w:spacing w:after="200" w:line="240" w:lineRule="auto"/>
      </w:pPr>
      <w:r>
        <w:rPr>
          <w:rFonts w:ascii="Times New Roman" w:hAnsi="Times New Roman"/>
          <w:sz w:val="24"/>
        </w:rPr>
        <w:t>LOUGHRAN, T.; MCDONALD, B. Measuring readability in financial disclosures. The Journal of Finance, v. 69, n. 4, p. 1643-1671, 2014.</w:t>
      </w:r>
    </w:p>
    <w:p>
      <w:pPr>
        <w:spacing w:after="200" w:line="240" w:lineRule="auto"/>
      </w:pPr>
      <w:r>
        <w:rPr>
          <w:rFonts w:ascii="Times New Roman" w:hAnsi="Times New Roman"/>
          <w:sz w:val="24"/>
        </w:rPr>
        <w:t>MAEDA, A. C. A.; CARVALHO, R. S.; CARVALHO, R. N. Evaluating the use of Brazilian companies' financial footnotes texts for debt variation prediction. In: IEEE International Conference on Machine Learning and Applications (ICMLA), 2017.</w:t>
      </w:r>
    </w:p>
    <w:p>
      <w:pPr>
        <w:spacing w:after="200" w:line="240" w:lineRule="auto"/>
      </w:pPr>
      <w:r>
        <w:rPr>
          <w:rFonts w:ascii="Times New Roman" w:hAnsi="Times New Roman"/>
          <w:sz w:val="24"/>
        </w:rPr>
        <w:t>MARCOLIN, C. B. et al. Notas explicativas explicam? Análise da comunicação do gerenciamento de risco a partir de técnicas de text mining. Revista Contemporânea de Contabilidade.</w:t>
      </w:r>
    </w:p>
    <w:p>
      <w:pPr>
        <w:spacing w:after="200" w:line="240" w:lineRule="auto"/>
      </w:pPr>
      <w:r>
        <w:rPr>
          <w:rFonts w:ascii="Times New Roman" w:hAnsi="Times New Roman"/>
          <w:sz w:val="24"/>
        </w:rPr>
        <w:t>MUNIZ, J. P. Influência da restrição financeira e das crises na legibilidade e no humor das notas explicativas. Dissertação de Mestrado, Universidade Federal do Espírito Santo (UFES), 2025.</w:t>
      </w:r>
    </w:p>
    <w:p>
      <w:pPr>
        <w:spacing w:after="200" w:line="240" w:lineRule="auto"/>
      </w:pPr>
      <w:r>
        <w:rPr>
          <w:rFonts w:ascii="Times New Roman" w:hAnsi="Times New Roman"/>
          <w:sz w:val="24"/>
        </w:rPr>
        <w:t>SANTOS, E. S.; SILVA, F. A. M. da; SHENG, H. H.; LORA, M. I. Compliance with IFRS required disclosure and analysts' forecast errors: evidence from Brazil. Revista Contabilidade Vista &amp; Revista, v. 29, n. 1, p. 77-100, 2018.</w:t>
      </w:r>
    </w:p>
    <w:p>
      <w:pPr>
        <w:spacing w:after="200" w:line="240" w:lineRule="auto"/>
      </w:pPr>
      <w:r>
        <w:rPr>
          <w:rFonts w:ascii="Times New Roman" w:hAnsi="Times New Roman"/>
          <w:sz w:val="24"/>
        </w:rPr>
        <w:t>SCHIOZER, R.; ALBANEZ, T. Panorama dos covenants em contratos de dívida de empresas listadas na B3. FGV EAESP, 2021.</w:t>
      </w:r>
    </w:p>
    <w:p>
      <w:pPr>
        <w:spacing w:after="200" w:line="240" w:lineRule="auto"/>
      </w:pPr>
      <w:r>
        <w:rPr>
          <w:rFonts w:ascii="Times New Roman" w:hAnsi="Times New Roman"/>
          <w:sz w:val="24"/>
        </w:rPr>
        <w:t>SILVA, A. W. M. da. A legibilidade das demonstrações financeiras e o custo de capital de terceiros. Dissertação de Mestrado, FUCAPE Business School, 2019.</w:t>
      </w:r>
    </w:p>
    <w:p>
      <w:pPr>
        <w:spacing w:after="200" w:line="240" w:lineRule="auto"/>
      </w:pPr>
      <w:r>
        <w:rPr>
          <w:rFonts w:ascii="Times New Roman" w:hAnsi="Times New Roman"/>
          <w:sz w:val="24"/>
        </w:rPr>
        <w:t>SOUZA, [nome a confirmar]; BORBA, [nome a confirmar]. Readability como medida de complexidade textual: determinantes e evidências em empresas brasileiras. Revista Contabilidade &amp; Finanças, 2022.</w:t>
      </w:r>
    </w:p>
    <w:p>
      <w:pPr>
        <w:spacing w:after="200" w:line="240" w:lineRule="auto"/>
      </w:pPr>
      <w:r>
        <w:rPr>
          <w:rFonts w:ascii="Times New Roman" w:hAnsi="Times New Roman"/>
          <w:sz w:val="24"/>
        </w:rPr>
        <w:t>TELLES, [nome a confirmar]; MOREIRA, [nome a confirmar]. Quality or quantity? The impact on the cost of equity capital. Revista Contabilidade &amp; Finanças, 2025.</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