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DOCUMENTO DE REQUISITO</w:t>
      </w:r>
    </w:p>
    <w:p>
      <w:pPr>
        <w:jc w:val="center"/>
      </w:pPr>
      <w:r>
        <w:rPr>
          <w:rFonts w:ascii="Arial" w:hAnsi="Arial"/>
          <w:sz w:val="22"/>
        </w:rPr>
        <w:t>Gestão de Fornecedores</w:t>
        <w:br/>
        <w:t>Projeto Integrado - PNCP Data Engine</w:t>
      </w:r>
    </w:p>
    <w:p>
      <w:pPr>
        <w:jc w:val="center"/>
      </w:pPr>
      <w:r>
        <w:rPr>
          <w:rFonts w:ascii="Arial" w:hAnsi="Arial"/>
          <w:sz w:val="17"/>
        </w:rPr>
        <w:t>Desenvolvido por: Lucas Ferreira de Vasconcelos Ribeiro, Luan Martins de Souza, Isaac Daniel Alvares Diniz, Antonio Tenorio Ferreira de Souza, Arthur Orange Vanderlei de Souza, Pedro Andre Falcao de Souza, Priscilla Maciel de Lima, Joao Lucas Santos Lira, Guilherme Chaves Sena</w:t>
      </w:r>
    </w:p>
    <w:p>
      <w:pPr>
        <w:jc w:val="center"/>
      </w:pPr>
      <w:r>
        <w:rPr>
          <w:rFonts w:ascii="Arial" w:hAnsi="Arial"/>
          <w:sz w:val="17"/>
        </w:rPr>
        <w:t>GitHub: https://github.com/Lukitas20-beep/ProjEngDados</w:t>
      </w:r>
    </w:p>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r/>
            <w:r>
              <w:rPr>
                <w:rFonts w:ascii="Arial" w:hAnsi="Arial"/>
                <w:b/>
                <w:sz w:val="17"/>
              </w:rPr>
              <w:t>Campo</w:t>
            </w:r>
          </w:p>
        </w:tc>
        <w:tc>
          <w:tcPr>
            <w:tcW w:type="dxa" w:w="8352"/>
            <w:vAlign w:val="top"/>
            <w:shd w:fill="D9EAF7"/>
          </w:tcPr>
          <w:p>
            <w:r/>
            <w:r>
              <w:rPr>
                <w:rFonts w:ascii="Arial" w:hAnsi="Arial"/>
                <w:b/>
                <w:sz w:val="17"/>
              </w:rPr>
              <w:t>Descrição</w:t>
            </w:r>
          </w:p>
        </w:tc>
      </w:tr>
      <w:tr>
        <w:tc>
          <w:tcPr>
            <w:tcW w:type="dxa" w:w="2592"/>
            <w:vAlign w:val="top"/>
          </w:tcPr>
          <w:p>
            <w:r/>
            <w:r>
              <w:rPr>
                <w:rFonts w:ascii="Arial" w:hAnsi="Arial"/>
                <w:b w:val="0"/>
                <w:sz w:val="17"/>
              </w:rPr>
              <w:t>Requisito avaliado</w:t>
            </w:r>
          </w:p>
        </w:tc>
        <w:tc>
          <w:tcPr>
            <w:tcW w:type="dxa" w:w="8352"/>
            <w:vAlign w:val="top"/>
          </w:tcPr>
          <w:p>
            <w:r/>
            <w:r>
              <w:rPr>
                <w:rFonts w:ascii="Arial" w:hAnsi="Arial"/>
                <w:b w:val="0"/>
                <w:sz w:val="17"/>
              </w:rPr>
              <w:t>6 - Gestão de fornecedores</w:t>
            </w:r>
          </w:p>
        </w:tc>
      </w:tr>
      <w:tr>
        <w:tc>
          <w:tcPr>
            <w:tcW w:type="dxa" w:w="2592"/>
            <w:vAlign w:val="top"/>
          </w:tcPr>
          <w:p>
            <w:r/>
            <w:r>
              <w:rPr>
                <w:rFonts w:ascii="Arial" w:hAnsi="Arial"/>
                <w:b w:val="0"/>
                <w:sz w:val="17"/>
              </w:rPr>
              <w:t>Período de documentação</w:t>
            </w:r>
          </w:p>
        </w:tc>
        <w:tc>
          <w:tcPr>
            <w:tcW w:type="dxa" w:w="8352"/>
            <w:vAlign w:val="top"/>
          </w:tcPr>
          <w:p>
            <w:r/>
            <w:r>
              <w:rPr>
                <w:rFonts w:ascii="Arial" w:hAnsi="Arial"/>
                <w:b w:val="0"/>
                <w:sz w:val="17"/>
              </w:rPr>
              <w:t>10-11/06</w:t>
            </w:r>
          </w:p>
        </w:tc>
      </w:tr>
      <w:tr>
        <w:tc>
          <w:tcPr>
            <w:tcW w:type="dxa" w:w="2592"/>
            <w:vAlign w:val="top"/>
          </w:tcPr>
          <w:p>
            <w:r/>
            <w:r>
              <w:rPr>
                <w:rFonts w:ascii="Arial" w:hAnsi="Arial"/>
                <w:b w:val="0"/>
                <w:sz w:val="17"/>
              </w:rPr>
              <w:t>Data de avaliação da implementação</w:t>
            </w:r>
          </w:p>
        </w:tc>
        <w:tc>
          <w:tcPr>
            <w:tcW w:type="dxa" w:w="8352"/>
            <w:vAlign w:val="top"/>
          </w:tcPr>
          <w:p>
            <w:r/>
            <w:r>
              <w:rPr>
                <w:rFonts w:ascii="Arial" w:hAnsi="Arial"/>
                <w:b w:val="0"/>
                <w:sz w:val="17"/>
              </w:rPr>
              <w:t>10-11/06</w:t>
            </w:r>
          </w:p>
        </w:tc>
      </w:tr>
      <w:tr>
        <w:tc>
          <w:tcPr>
            <w:tcW w:type="dxa" w:w="2592"/>
            <w:vAlign w:val="top"/>
          </w:tcPr>
          <w:p>
            <w:r/>
            <w:r>
              <w:rPr>
                <w:rFonts w:ascii="Arial" w:hAnsi="Arial"/>
                <w:b w:val="0"/>
                <w:sz w:val="17"/>
              </w:rPr>
              <w:t>Sistema</w:t>
            </w:r>
          </w:p>
        </w:tc>
        <w:tc>
          <w:tcPr>
            <w:tcW w:type="dxa" w:w="8352"/>
            <w:vAlign w:val="top"/>
          </w:tcPr>
          <w:p>
            <w:r/>
            <w:r>
              <w:rPr>
                <w:rFonts w:ascii="Arial" w:hAnsi="Arial"/>
                <w:b w:val="0"/>
                <w:sz w:val="17"/>
              </w:rPr>
              <w:t>Aplicação Streamlit para extração, transformação, visualização e carga de dados do PNCP</w:t>
            </w:r>
          </w:p>
        </w:tc>
      </w:tr>
      <w:tr>
        <w:tc>
          <w:tcPr>
            <w:tcW w:type="dxa" w:w="2592"/>
            <w:vAlign w:val="top"/>
          </w:tcPr>
          <w:p>
            <w:r/>
            <w:r>
              <w:rPr>
                <w:rFonts w:ascii="Arial" w:hAnsi="Arial"/>
                <w:b w:val="0"/>
                <w:sz w:val="17"/>
              </w:rPr>
              <w:t>Versão do documento</w:t>
            </w:r>
          </w:p>
        </w:tc>
        <w:tc>
          <w:tcPr>
            <w:tcW w:type="dxa" w:w="8352"/>
            <w:vAlign w:val="top"/>
          </w:tcPr>
          <w:p>
            <w:r/>
            <w:r>
              <w:rPr>
                <w:rFonts w:ascii="Arial" w:hAnsi="Arial"/>
                <w:b w:val="0"/>
                <w:sz w:val="17"/>
              </w:rPr>
              <w:t>1.0</w:t>
            </w:r>
          </w:p>
        </w:tc>
      </w:tr>
    </w:tbl>
    <w:p/>
    <w:p>
      <w:pPr>
        <w:pStyle w:val="Heading1"/>
      </w:pPr>
      <w:r>
        <w:t>1. Contexto do requisito</w:t>
      </w:r>
    </w:p>
    <w:p>
      <w:r>
        <w:t>O PNCP Data Engine utiliza componentes internos e externos para extrair dados públicos, processar informações, persistir registros, autenticar usuários, executar rotinas de backup e disponibilizar a interface da aplicação. Ao longo das entregas anteriores, o projeto incorporou controles de autenticação, anonimização, LGPD, disponibilidade e continuidade. A sexta entrega consolida esses controles sob a perspectiva da gestão de fornecedores, mapeando APIs, serviços em nuvem, bibliotecas, ferramentas de infraestrutura e dependências relevantes.</w:t>
      </w:r>
    </w:p>
    <w:p>
      <w:r>
        <w:t>Mesmo em um projeto acadêmico, fornecedores e componentes externos representam riscos operacionais, de segurança, de privacidade e de continuidade. Por isso, a aplicação passa a manter inventário de fornecedores, classificação de criticidade, dados tratados, riscos, mitigações, variáveis de ambiente relacionadas e registro de avaliações.</w:t>
      </w:r>
    </w:p>
    <w:p>
      <w:pPr>
        <w:pStyle w:val="Heading1"/>
      </w:pPr>
      <w:r>
        <w:t>2. Objetivo do requisito</w:t>
      </w:r>
    </w:p>
    <w:p>
      <w:r>
        <w:t>Implementar e documentar um mecanismo básico de gestão de fornecedores no PNCP Data Engine, permitindo identificar quais serviços, APIs, bibliotecas e componentes externos sustentam a aplicação, quais dados são processados por cada um, qual sua criticidade, quais riscos principais existem e quais medidas de mitigação foram adotadas.</w:t>
      </w:r>
    </w:p>
    <w:p>
      <w:pPr>
        <w:pStyle w:val="Heading1"/>
      </w:pPr>
      <w:r>
        <w:t>3. Escopo da entrega</w:t>
      </w:r>
    </w:p>
    <w:p>
      <w:pPr>
        <w:ind w:left="288" w:hanging="216"/>
      </w:pPr>
      <w:r>
        <w:rPr>
          <w:b/>
        </w:rPr>
        <w:t xml:space="preserve">• </w:t>
      </w:r>
      <w:r>
        <w:t>Criação de módulo específico para inventário e avaliação de fornecedores.</w:t>
      </w:r>
    </w:p>
    <w:p>
      <w:pPr>
        <w:ind w:left="288" w:hanging="216"/>
      </w:pPr>
      <w:r>
        <w:rPr>
          <w:b/>
        </w:rPr>
        <w:t xml:space="preserve">• </w:t>
      </w:r>
      <w:r>
        <w:t>Cadastro inicial dos fornecedores e componentes externos usados pelo projeto.</w:t>
      </w:r>
    </w:p>
    <w:p>
      <w:pPr>
        <w:ind w:left="288" w:hanging="216"/>
      </w:pPr>
      <w:r>
        <w:rPr>
          <w:b/>
        </w:rPr>
        <w:t xml:space="preserve">• </w:t>
      </w:r>
      <w:r>
        <w:t>Classificação por categoria, tipo, criticidade e status.</w:t>
      </w:r>
    </w:p>
    <w:p>
      <w:pPr>
        <w:ind w:left="288" w:hanging="216"/>
      </w:pPr>
      <w:r>
        <w:rPr>
          <w:b/>
        </w:rPr>
        <w:t xml:space="preserve">• </w:t>
      </w:r>
      <w:r>
        <w:t>Mapeamento de finalidade, dados processados e eventual contato com dados pessoais.</w:t>
      </w:r>
    </w:p>
    <w:p>
      <w:pPr>
        <w:ind w:left="288" w:hanging="216"/>
      </w:pPr>
      <w:r>
        <w:rPr>
          <w:b/>
        </w:rPr>
        <w:t xml:space="preserve">• </w:t>
      </w:r>
      <w:r>
        <w:t>Registro de riscos principais e medidas de mitigação.</w:t>
      </w:r>
    </w:p>
    <w:p>
      <w:pPr>
        <w:ind w:left="288" w:hanging="216"/>
      </w:pPr>
      <w:r>
        <w:rPr>
          <w:b/>
        </w:rPr>
        <w:t xml:space="preserve">• </w:t>
      </w:r>
      <w:r>
        <w:t>Checagem de variáveis de ambiente associadas aos fornecedores críticos.</w:t>
      </w:r>
    </w:p>
    <w:p>
      <w:pPr>
        <w:ind w:left="288" w:hanging="216"/>
      </w:pPr>
      <w:r>
        <w:rPr>
          <w:b/>
        </w:rPr>
        <w:t xml:space="preserve">• </w:t>
      </w:r>
      <w:r>
        <w:t>Registro de avaliações por critério, status, observação e usuário avaliador.</w:t>
      </w:r>
    </w:p>
    <w:p>
      <w:pPr>
        <w:ind w:left="288" w:hanging="216"/>
      </w:pPr>
      <w:r>
        <w:rPr>
          <w:b/>
        </w:rPr>
        <w:t xml:space="preserve">• </w:t>
      </w:r>
      <w:r>
        <w:t>Exportação do inventário em formato JSON.</w:t>
      </w:r>
    </w:p>
    <w:p>
      <w:pPr>
        <w:ind w:left="288" w:hanging="216"/>
      </w:pPr>
      <w:r>
        <w:rPr>
          <w:b/>
        </w:rPr>
        <w:t xml:space="preserve">• </w:t>
      </w:r>
      <w:r>
        <w:t>Inclusão da área “Gestão de fornecedores” na aplicação Streamlit.</w:t>
      </w:r>
    </w:p>
    <w:p>
      <w:pPr>
        <w:ind w:left="288" w:hanging="216"/>
      </w:pPr>
      <w:r>
        <w:rPr>
          <w:b/>
        </w:rPr>
        <w:t xml:space="preserve">• </w:t>
      </w:r>
      <w:r>
        <w:t>Atualização do .env.example e do .gitignore para contemplar a nova camada.</w:t>
      </w:r>
    </w:p>
    <w:p>
      <w:pPr>
        <w:pStyle w:val="Heading1"/>
      </w:pPr>
      <w:r>
        <w:t>4. Requisitos funcionais</w:t>
      </w:r>
    </w:p>
    <w:tbl>
      <w:tblPr>
        <w:tblStyle w:val="TableGrid"/>
        <w:tblW w:type="auto" w:w="0"/>
        <w:jc w:val="center"/>
        <w:tblLook w:firstColumn="1" w:firstRow="1" w:lastColumn="0" w:lastRow="0" w:noHBand="0" w:noVBand="1" w:val="04A0"/>
      </w:tblPr>
      <w:tblGrid>
        <w:gridCol w:w="3408"/>
        <w:gridCol w:w="3408"/>
        <w:gridCol w:w="3408"/>
      </w:tblGrid>
      <w:tr>
        <w:tc>
          <w:tcPr>
            <w:tcW w:type="dxa" w:w="1080"/>
            <w:vAlign w:val="top"/>
            <w:shd w:fill="D9EAF7"/>
          </w:tcPr>
          <w:p>
            <w:r/>
            <w:r>
              <w:rPr>
                <w:rFonts w:ascii="Arial" w:hAnsi="Arial"/>
                <w:b/>
                <w:sz w:val="17"/>
              </w:rPr>
              <w:t>Código</w:t>
            </w:r>
          </w:p>
        </w:tc>
        <w:tc>
          <w:tcPr>
            <w:tcW w:type="dxa" w:w="3024"/>
            <w:vAlign w:val="top"/>
            <w:shd w:fill="D9EAF7"/>
          </w:tcPr>
          <w:p>
            <w:r/>
            <w:r>
              <w:rPr>
                <w:rFonts w:ascii="Arial" w:hAnsi="Arial"/>
                <w:b/>
                <w:sz w:val="17"/>
              </w:rPr>
              <w:t>Requisito funcional</w:t>
            </w:r>
          </w:p>
        </w:tc>
        <w:tc>
          <w:tcPr>
            <w:tcW w:type="dxa" w:w="6840"/>
            <w:vAlign w:val="top"/>
            <w:shd w:fill="D9EAF7"/>
          </w:tcPr>
          <w:p>
            <w:r/>
            <w:r>
              <w:rPr>
                <w:rFonts w:ascii="Arial" w:hAnsi="Arial"/>
                <w:b/>
                <w:sz w:val="17"/>
              </w:rPr>
              <w:t>Descrição</w:t>
            </w:r>
          </w:p>
        </w:tc>
      </w:tr>
      <w:tr>
        <w:tc>
          <w:tcPr>
            <w:tcW w:type="dxa" w:w="1080"/>
            <w:vAlign w:val="top"/>
          </w:tcPr>
          <w:p>
            <w:r/>
            <w:r>
              <w:rPr>
                <w:rFonts w:ascii="Arial" w:hAnsi="Arial"/>
                <w:b w:val="0"/>
                <w:sz w:val="17"/>
              </w:rPr>
              <w:t>RF01</w:t>
            </w:r>
          </w:p>
        </w:tc>
        <w:tc>
          <w:tcPr>
            <w:tcW w:type="dxa" w:w="3024"/>
            <w:vAlign w:val="top"/>
          </w:tcPr>
          <w:p>
            <w:r/>
            <w:r>
              <w:rPr>
                <w:rFonts w:ascii="Arial" w:hAnsi="Arial"/>
                <w:b w:val="0"/>
                <w:sz w:val="17"/>
              </w:rPr>
              <w:t>Inventário de fornecedores</w:t>
            </w:r>
          </w:p>
        </w:tc>
        <w:tc>
          <w:tcPr>
            <w:tcW w:type="dxa" w:w="6840"/>
            <w:vAlign w:val="top"/>
          </w:tcPr>
          <w:p>
            <w:r/>
            <w:r>
              <w:rPr>
                <w:rFonts w:ascii="Arial" w:hAnsi="Arial"/>
                <w:b w:val="0"/>
                <w:sz w:val="17"/>
              </w:rPr>
              <w:t>O sistema deve manter inventário de fornecedores, APIs, bibliotecas e componentes externos usados pelo projeto.</w:t>
            </w:r>
          </w:p>
        </w:tc>
      </w:tr>
      <w:tr>
        <w:tc>
          <w:tcPr>
            <w:tcW w:type="dxa" w:w="1080"/>
            <w:vAlign w:val="top"/>
          </w:tcPr>
          <w:p>
            <w:r/>
            <w:r>
              <w:rPr>
                <w:rFonts w:ascii="Arial" w:hAnsi="Arial"/>
                <w:b w:val="0"/>
                <w:sz w:val="17"/>
              </w:rPr>
              <w:t>RF02</w:t>
            </w:r>
          </w:p>
        </w:tc>
        <w:tc>
          <w:tcPr>
            <w:tcW w:type="dxa" w:w="3024"/>
            <w:vAlign w:val="top"/>
          </w:tcPr>
          <w:p>
            <w:r/>
            <w:r>
              <w:rPr>
                <w:rFonts w:ascii="Arial" w:hAnsi="Arial"/>
                <w:b w:val="0"/>
                <w:sz w:val="17"/>
              </w:rPr>
              <w:t>Classificação de criticidade</w:t>
            </w:r>
          </w:p>
        </w:tc>
        <w:tc>
          <w:tcPr>
            <w:tcW w:type="dxa" w:w="6840"/>
            <w:vAlign w:val="top"/>
          </w:tcPr>
          <w:p>
            <w:r/>
            <w:r>
              <w:rPr>
                <w:rFonts w:ascii="Arial" w:hAnsi="Arial"/>
                <w:b w:val="0"/>
                <w:sz w:val="17"/>
              </w:rPr>
              <w:t>O sistema deve classificar fornecedores por criticidade alta, média ou baixa.</w:t>
            </w:r>
          </w:p>
        </w:tc>
      </w:tr>
      <w:tr>
        <w:tc>
          <w:tcPr>
            <w:tcW w:type="dxa" w:w="1080"/>
            <w:vAlign w:val="top"/>
          </w:tcPr>
          <w:p>
            <w:r/>
            <w:r>
              <w:rPr>
                <w:rFonts w:ascii="Arial" w:hAnsi="Arial"/>
                <w:b w:val="0"/>
                <w:sz w:val="17"/>
              </w:rPr>
              <w:t>RF03</w:t>
            </w:r>
          </w:p>
        </w:tc>
        <w:tc>
          <w:tcPr>
            <w:tcW w:type="dxa" w:w="3024"/>
            <w:vAlign w:val="top"/>
          </w:tcPr>
          <w:p>
            <w:r/>
            <w:r>
              <w:rPr>
                <w:rFonts w:ascii="Arial" w:hAnsi="Arial"/>
                <w:b w:val="0"/>
                <w:sz w:val="17"/>
              </w:rPr>
              <w:t>Mapeamento de dados tratados</w:t>
            </w:r>
          </w:p>
        </w:tc>
        <w:tc>
          <w:tcPr>
            <w:tcW w:type="dxa" w:w="6840"/>
            <w:vAlign w:val="top"/>
          </w:tcPr>
          <w:p>
            <w:r/>
            <w:r>
              <w:rPr>
                <w:rFonts w:ascii="Arial" w:hAnsi="Arial"/>
                <w:b w:val="0"/>
                <w:sz w:val="17"/>
              </w:rPr>
              <w:t>O sistema deve indicar quais dados ou tipos de dados são processados por cada fornecedor.</w:t>
            </w:r>
          </w:p>
        </w:tc>
      </w:tr>
      <w:tr>
        <w:tc>
          <w:tcPr>
            <w:tcW w:type="dxa" w:w="1080"/>
            <w:vAlign w:val="top"/>
          </w:tcPr>
          <w:p>
            <w:r/>
            <w:r>
              <w:rPr>
                <w:rFonts w:ascii="Arial" w:hAnsi="Arial"/>
                <w:b w:val="0"/>
                <w:sz w:val="17"/>
              </w:rPr>
              <w:t>RF04</w:t>
            </w:r>
          </w:p>
        </w:tc>
        <w:tc>
          <w:tcPr>
            <w:tcW w:type="dxa" w:w="3024"/>
            <w:vAlign w:val="top"/>
          </w:tcPr>
          <w:p>
            <w:r/>
            <w:r>
              <w:rPr>
                <w:rFonts w:ascii="Arial" w:hAnsi="Arial"/>
                <w:b w:val="0"/>
                <w:sz w:val="17"/>
              </w:rPr>
              <w:t>Mapeamento de riscos</w:t>
            </w:r>
          </w:p>
        </w:tc>
        <w:tc>
          <w:tcPr>
            <w:tcW w:type="dxa" w:w="6840"/>
            <w:vAlign w:val="top"/>
          </w:tcPr>
          <w:p>
            <w:r/>
            <w:r>
              <w:rPr>
                <w:rFonts w:ascii="Arial" w:hAnsi="Arial"/>
                <w:b w:val="0"/>
                <w:sz w:val="17"/>
              </w:rPr>
              <w:t>O sistema deve registrar risco principal e mitigação associada a cada fornecedor.</w:t>
            </w:r>
          </w:p>
        </w:tc>
      </w:tr>
      <w:tr>
        <w:tc>
          <w:tcPr>
            <w:tcW w:type="dxa" w:w="1080"/>
            <w:vAlign w:val="top"/>
          </w:tcPr>
          <w:p>
            <w:r/>
            <w:r>
              <w:rPr>
                <w:rFonts w:ascii="Arial" w:hAnsi="Arial"/>
                <w:b w:val="0"/>
                <w:sz w:val="17"/>
              </w:rPr>
              <w:t>RF05</w:t>
            </w:r>
          </w:p>
        </w:tc>
        <w:tc>
          <w:tcPr>
            <w:tcW w:type="dxa" w:w="3024"/>
            <w:vAlign w:val="top"/>
          </w:tcPr>
          <w:p>
            <w:r/>
            <w:r>
              <w:rPr>
                <w:rFonts w:ascii="Arial" w:hAnsi="Arial"/>
                <w:b w:val="0"/>
                <w:sz w:val="17"/>
              </w:rPr>
              <w:t>Checagem de configuração</w:t>
            </w:r>
          </w:p>
        </w:tc>
        <w:tc>
          <w:tcPr>
            <w:tcW w:type="dxa" w:w="6840"/>
            <w:vAlign w:val="top"/>
          </w:tcPr>
          <w:p>
            <w:r/>
            <w:r>
              <w:rPr>
                <w:rFonts w:ascii="Arial" w:hAnsi="Arial"/>
                <w:b w:val="0"/>
                <w:sz w:val="17"/>
              </w:rPr>
              <w:t>O sistema deve indicar se variáveis de ambiente associadas aos fornecedores estão configuradas.</w:t>
            </w:r>
          </w:p>
        </w:tc>
      </w:tr>
      <w:tr>
        <w:tc>
          <w:tcPr>
            <w:tcW w:type="dxa" w:w="1080"/>
            <w:vAlign w:val="top"/>
          </w:tcPr>
          <w:p>
            <w:r/>
            <w:r>
              <w:rPr>
                <w:rFonts w:ascii="Arial" w:hAnsi="Arial"/>
                <w:b w:val="0"/>
                <w:sz w:val="17"/>
              </w:rPr>
              <w:t>RF06</w:t>
            </w:r>
          </w:p>
        </w:tc>
        <w:tc>
          <w:tcPr>
            <w:tcW w:type="dxa" w:w="3024"/>
            <w:vAlign w:val="top"/>
          </w:tcPr>
          <w:p>
            <w:r/>
            <w:r>
              <w:rPr>
                <w:rFonts w:ascii="Arial" w:hAnsi="Arial"/>
                <w:b w:val="0"/>
                <w:sz w:val="17"/>
              </w:rPr>
              <w:t>Registro de avaliação</w:t>
            </w:r>
          </w:p>
        </w:tc>
        <w:tc>
          <w:tcPr>
            <w:tcW w:type="dxa" w:w="6840"/>
            <w:vAlign w:val="top"/>
          </w:tcPr>
          <w:p>
            <w:r/>
            <w:r>
              <w:rPr>
                <w:rFonts w:ascii="Arial" w:hAnsi="Arial"/>
                <w:b w:val="0"/>
                <w:sz w:val="17"/>
              </w:rPr>
              <w:t>O sistema deve permitir registrar avaliação de fornecedor por critério, status e observação.</w:t>
            </w:r>
          </w:p>
        </w:tc>
      </w:tr>
      <w:tr>
        <w:tc>
          <w:tcPr>
            <w:tcW w:type="dxa" w:w="1080"/>
            <w:vAlign w:val="top"/>
          </w:tcPr>
          <w:p>
            <w:r/>
            <w:r>
              <w:rPr>
                <w:rFonts w:ascii="Arial" w:hAnsi="Arial"/>
                <w:b w:val="0"/>
                <w:sz w:val="17"/>
              </w:rPr>
              <w:t>RF07</w:t>
            </w:r>
          </w:p>
        </w:tc>
        <w:tc>
          <w:tcPr>
            <w:tcW w:type="dxa" w:w="3024"/>
            <w:vAlign w:val="top"/>
          </w:tcPr>
          <w:p>
            <w:r/>
            <w:r>
              <w:rPr>
                <w:rFonts w:ascii="Arial" w:hAnsi="Arial"/>
                <w:b w:val="0"/>
                <w:sz w:val="17"/>
              </w:rPr>
              <w:t>Histórico de avaliações</w:t>
            </w:r>
          </w:p>
        </w:tc>
        <w:tc>
          <w:tcPr>
            <w:tcW w:type="dxa" w:w="6840"/>
            <w:vAlign w:val="top"/>
          </w:tcPr>
          <w:p>
            <w:r/>
            <w:r>
              <w:rPr>
                <w:rFonts w:ascii="Arial" w:hAnsi="Arial"/>
                <w:b w:val="0"/>
                <w:sz w:val="17"/>
              </w:rPr>
              <w:t>O sistema deve listar avaliações recentes registradas pelos usuários autenticados.</w:t>
            </w:r>
          </w:p>
        </w:tc>
      </w:tr>
      <w:tr>
        <w:tc>
          <w:tcPr>
            <w:tcW w:type="dxa" w:w="1080"/>
            <w:vAlign w:val="top"/>
          </w:tcPr>
          <w:p>
            <w:r/>
            <w:r>
              <w:rPr>
                <w:rFonts w:ascii="Arial" w:hAnsi="Arial"/>
                <w:b w:val="0"/>
                <w:sz w:val="17"/>
              </w:rPr>
              <w:t>RF08</w:t>
            </w:r>
          </w:p>
        </w:tc>
        <w:tc>
          <w:tcPr>
            <w:tcW w:type="dxa" w:w="3024"/>
            <w:vAlign w:val="top"/>
          </w:tcPr>
          <w:p>
            <w:r/>
            <w:r>
              <w:rPr>
                <w:rFonts w:ascii="Arial" w:hAnsi="Arial"/>
                <w:b w:val="0"/>
                <w:sz w:val="17"/>
              </w:rPr>
              <w:t>Exportação do inventário</w:t>
            </w:r>
          </w:p>
        </w:tc>
        <w:tc>
          <w:tcPr>
            <w:tcW w:type="dxa" w:w="6840"/>
            <w:vAlign w:val="top"/>
          </w:tcPr>
          <w:p>
            <w:r/>
            <w:r>
              <w:rPr>
                <w:rFonts w:ascii="Arial" w:hAnsi="Arial"/>
                <w:b w:val="0"/>
                <w:sz w:val="17"/>
              </w:rPr>
              <w:t>O sistema deve permitir baixar o inventário de fornecedores em JSON.</w:t>
            </w:r>
          </w:p>
        </w:tc>
      </w:tr>
      <w:tr>
        <w:tc>
          <w:tcPr>
            <w:tcW w:type="dxa" w:w="1080"/>
            <w:vAlign w:val="top"/>
          </w:tcPr>
          <w:p>
            <w:r/>
            <w:r>
              <w:rPr>
                <w:rFonts w:ascii="Arial" w:hAnsi="Arial"/>
                <w:b w:val="0"/>
                <w:sz w:val="17"/>
              </w:rPr>
              <w:t>RF09</w:t>
            </w:r>
          </w:p>
        </w:tc>
        <w:tc>
          <w:tcPr>
            <w:tcW w:type="dxa" w:w="3024"/>
            <w:vAlign w:val="top"/>
          </w:tcPr>
          <w:p>
            <w:r/>
            <w:r>
              <w:rPr>
                <w:rFonts w:ascii="Arial" w:hAnsi="Arial"/>
                <w:b w:val="0"/>
                <w:sz w:val="17"/>
              </w:rPr>
              <w:t>Interface de governança</w:t>
            </w:r>
          </w:p>
        </w:tc>
        <w:tc>
          <w:tcPr>
            <w:tcW w:type="dxa" w:w="6840"/>
            <w:vAlign w:val="top"/>
          </w:tcPr>
          <w:p>
            <w:r/>
            <w:r>
              <w:rPr>
                <w:rFonts w:ascii="Arial" w:hAnsi="Arial"/>
                <w:b w:val="0"/>
                <w:sz w:val="17"/>
              </w:rPr>
              <w:t>A aplicação deve exibir a área Gestão de fornecedores dentro do fluxo autenticado.</w:t>
            </w:r>
          </w:p>
        </w:tc>
      </w:tr>
    </w:tbl>
    <w:p/>
    <w:p>
      <w:pPr>
        <w:pStyle w:val="Heading1"/>
      </w:pPr>
      <w:r>
        <w:t>5. Requisitos não funcionais</w:t>
      </w:r>
    </w:p>
    <w:tbl>
      <w:tblPr>
        <w:tblStyle w:val="TableGrid"/>
        <w:tblW w:type="auto" w:w="0"/>
        <w:jc w:val="center"/>
        <w:tblLook w:firstColumn="1" w:firstRow="1" w:lastColumn="0" w:lastRow="0" w:noHBand="0" w:noVBand="1" w:val="04A0"/>
      </w:tblPr>
      <w:tblGrid>
        <w:gridCol w:w="3408"/>
        <w:gridCol w:w="3408"/>
        <w:gridCol w:w="3408"/>
      </w:tblGrid>
      <w:tr>
        <w:tc>
          <w:tcPr>
            <w:tcW w:type="dxa" w:w="1080"/>
            <w:vAlign w:val="top"/>
            <w:shd w:fill="D9EAF7"/>
          </w:tcPr>
          <w:p>
            <w:r/>
            <w:r>
              <w:rPr>
                <w:rFonts w:ascii="Arial" w:hAnsi="Arial"/>
                <w:b/>
                <w:sz w:val="17"/>
              </w:rPr>
              <w:t>Código</w:t>
            </w:r>
          </w:p>
        </w:tc>
        <w:tc>
          <w:tcPr>
            <w:tcW w:type="dxa" w:w="3024"/>
            <w:vAlign w:val="top"/>
            <w:shd w:fill="D9EAF7"/>
          </w:tcPr>
          <w:p>
            <w:r/>
            <w:r>
              <w:rPr>
                <w:rFonts w:ascii="Arial" w:hAnsi="Arial"/>
                <w:b/>
                <w:sz w:val="17"/>
              </w:rPr>
              <w:t>Requisito não funcional</w:t>
            </w:r>
          </w:p>
        </w:tc>
        <w:tc>
          <w:tcPr>
            <w:tcW w:type="dxa" w:w="6840"/>
            <w:vAlign w:val="top"/>
            <w:shd w:fill="D9EAF7"/>
          </w:tcPr>
          <w:p>
            <w:r/>
            <w:r>
              <w:rPr>
                <w:rFonts w:ascii="Arial" w:hAnsi="Arial"/>
                <w:b/>
                <w:sz w:val="17"/>
              </w:rPr>
              <w:t>Descrição</w:t>
            </w:r>
          </w:p>
        </w:tc>
      </w:tr>
      <w:tr>
        <w:tc>
          <w:tcPr>
            <w:tcW w:type="dxa" w:w="1080"/>
            <w:vAlign w:val="top"/>
          </w:tcPr>
          <w:p>
            <w:r/>
            <w:r>
              <w:rPr>
                <w:rFonts w:ascii="Arial" w:hAnsi="Arial"/>
                <w:b w:val="0"/>
                <w:sz w:val="17"/>
              </w:rPr>
              <w:t>RNF01</w:t>
            </w:r>
          </w:p>
        </w:tc>
        <w:tc>
          <w:tcPr>
            <w:tcW w:type="dxa" w:w="3024"/>
            <w:vAlign w:val="top"/>
          </w:tcPr>
          <w:p>
            <w:r/>
            <w:r>
              <w:rPr>
                <w:rFonts w:ascii="Arial" w:hAnsi="Arial"/>
                <w:b w:val="0"/>
                <w:sz w:val="17"/>
              </w:rPr>
              <w:t>Rastreabilidade</w:t>
            </w:r>
          </w:p>
        </w:tc>
        <w:tc>
          <w:tcPr>
            <w:tcW w:type="dxa" w:w="6840"/>
            <w:vAlign w:val="top"/>
          </w:tcPr>
          <w:p>
            <w:r/>
            <w:r>
              <w:rPr>
                <w:rFonts w:ascii="Arial" w:hAnsi="Arial"/>
                <w:b w:val="0"/>
                <w:sz w:val="17"/>
              </w:rPr>
              <w:t>Avaliações de fornecedores devem registrar data, critério, status, observação e usuário avaliador.</w:t>
            </w:r>
          </w:p>
        </w:tc>
      </w:tr>
      <w:tr>
        <w:tc>
          <w:tcPr>
            <w:tcW w:type="dxa" w:w="1080"/>
            <w:vAlign w:val="top"/>
          </w:tcPr>
          <w:p>
            <w:r/>
            <w:r>
              <w:rPr>
                <w:rFonts w:ascii="Arial" w:hAnsi="Arial"/>
                <w:b w:val="0"/>
                <w:sz w:val="17"/>
              </w:rPr>
              <w:t>RNF02</w:t>
            </w:r>
          </w:p>
        </w:tc>
        <w:tc>
          <w:tcPr>
            <w:tcW w:type="dxa" w:w="3024"/>
            <w:vAlign w:val="top"/>
          </w:tcPr>
          <w:p>
            <w:r/>
            <w:r>
              <w:rPr>
                <w:rFonts w:ascii="Arial" w:hAnsi="Arial"/>
                <w:b w:val="0"/>
                <w:sz w:val="17"/>
              </w:rPr>
              <w:t>Manutenibilidade</w:t>
            </w:r>
          </w:p>
        </w:tc>
        <w:tc>
          <w:tcPr>
            <w:tcW w:type="dxa" w:w="6840"/>
            <w:vAlign w:val="top"/>
          </w:tcPr>
          <w:p>
            <w:r/>
            <w:r>
              <w:rPr>
                <w:rFonts w:ascii="Arial" w:hAnsi="Arial"/>
                <w:b w:val="0"/>
                <w:sz w:val="17"/>
              </w:rPr>
              <w:t>A lógica de fornecedores deve ficar concentrada em módulo próprio, separado da interface principal.</w:t>
            </w:r>
          </w:p>
        </w:tc>
      </w:tr>
      <w:tr>
        <w:tc>
          <w:tcPr>
            <w:tcW w:type="dxa" w:w="1080"/>
            <w:vAlign w:val="top"/>
          </w:tcPr>
          <w:p>
            <w:r/>
            <w:r>
              <w:rPr>
                <w:rFonts w:ascii="Arial" w:hAnsi="Arial"/>
                <w:b w:val="0"/>
                <w:sz w:val="17"/>
              </w:rPr>
              <w:t>RNF03</w:t>
            </w:r>
          </w:p>
        </w:tc>
        <w:tc>
          <w:tcPr>
            <w:tcW w:type="dxa" w:w="3024"/>
            <w:vAlign w:val="top"/>
          </w:tcPr>
          <w:p>
            <w:r/>
            <w:r>
              <w:rPr>
                <w:rFonts w:ascii="Arial" w:hAnsi="Arial"/>
                <w:b w:val="0"/>
                <w:sz w:val="17"/>
              </w:rPr>
              <w:t>Transparência</w:t>
            </w:r>
          </w:p>
        </w:tc>
        <w:tc>
          <w:tcPr>
            <w:tcW w:type="dxa" w:w="6840"/>
            <w:vAlign w:val="top"/>
          </w:tcPr>
          <w:p>
            <w:r/>
            <w:r>
              <w:rPr>
                <w:rFonts w:ascii="Arial" w:hAnsi="Arial"/>
                <w:b w:val="0"/>
                <w:sz w:val="17"/>
              </w:rPr>
              <w:t>A aplicação deve expor finalidade, riscos e mitigação de cada fornecedor de forma clara.</w:t>
            </w:r>
          </w:p>
        </w:tc>
      </w:tr>
      <w:tr>
        <w:tc>
          <w:tcPr>
            <w:tcW w:type="dxa" w:w="1080"/>
            <w:vAlign w:val="top"/>
          </w:tcPr>
          <w:p>
            <w:r/>
            <w:r>
              <w:rPr>
                <w:rFonts w:ascii="Arial" w:hAnsi="Arial"/>
                <w:b w:val="0"/>
                <w:sz w:val="17"/>
              </w:rPr>
              <w:t>RNF04</w:t>
            </w:r>
          </w:p>
        </w:tc>
        <w:tc>
          <w:tcPr>
            <w:tcW w:type="dxa" w:w="3024"/>
            <w:vAlign w:val="top"/>
          </w:tcPr>
          <w:p>
            <w:r/>
            <w:r>
              <w:rPr>
                <w:rFonts w:ascii="Arial" w:hAnsi="Arial"/>
                <w:b w:val="0"/>
                <w:sz w:val="17"/>
              </w:rPr>
              <w:t>Segurança</w:t>
            </w:r>
          </w:p>
        </w:tc>
        <w:tc>
          <w:tcPr>
            <w:tcW w:type="dxa" w:w="6840"/>
            <w:vAlign w:val="top"/>
          </w:tcPr>
          <w:p>
            <w:r/>
            <w:r>
              <w:rPr>
                <w:rFonts w:ascii="Arial" w:hAnsi="Arial"/>
                <w:b w:val="0"/>
                <w:sz w:val="17"/>
              </w:rPr>
              <w:t>Fornecedores críticos devem estar associados a variáveis de ambiente, sem credenciais no código-fonte.</w:t>
            </w:r>
          </w:p>
        </w:tc>
      </w:tr>
      <w:tr>
        <w:tc>
          <w:tcPr>
            <w:tcW w:type="dxa" w:w="1080"/>
            <w:vAlign w:val="top"/>
          </w:tcPr>
          <w:p>
            <w:r/>
            <w:r>
              <w:rPr>
                <w:rFonts w:ascii="Arial" w:hAnsi="Arial"/>
                <w:b w:val="0"/>
                <w:sz w:val="17"/>
              </w:rPr>
              <w:t>RNF05</w:t>
            </w:r>
          </w:p>
        </w:tc>
        <w:tc>
          <w:tcPr>
            <w:tcW w:type="dxa" w:w="3024"/>
            <w:vAlign w:val="top"/>
          </w:tcPr>
          <w:p>
            <w:r/>
            <w:r>
              <w:rPr>
                <w:rFonts w:ascii="Arial" w:hAnsi="Arial"/>
                <w:b w:val="0"/>
                <w:sz w:val="17"/>
              </w:rPr>
              <w:t>Continuidade</w:t>
            </w:r>
          </w:p>
        </w:tc>
        <w:tc>
          <w:tcPr>
            <w:tcW w:type="dxa" w:w="6840"/>
            <w:vAlign w:val="top"/>
          </w:tcPr>
          <w:p>
            <w:r/>
            <w:r>
              <w:rPr>
                <w:rFonts w:ascii="Arial" w:hAnsi="Arial"/>
                <w:b w:val="0"/>
                <w:sz w:val="17"/>
              </w:rPr>
              <w:t>Fornecedores críticos devem ser avaliados quanto a riscos de indisponibilidade e dependência externa.</w:t>
            </w:r>
          </w:p>
        </w:tc>
      </w:tr>
      <w:tr>
        <w:tc>
          <w:tcPr>
            <w:tcW w:type="dxa" w:w="1080"/>
            <w:vAlign w:val="top"/>
          </w:tcPr>
          <w:p>
            <w:r/>
            <w:r>
              <w:rPr>
                <w:rFonts w:ascii="Arial" w:hAnsi="Arial"/>
                <w:b w:val="0"/>
                <w:sz w:val="17"/>
              </w:rPr>
              <w:t>RNF06</w:t>
            </w:r>
          </w:p>
        </w:tc>
        <w:tc>
          <w:tcPr>
            <w:tcW w:type="dxa" w:w="3024"/>
            <w:vAlign w:val="top"/>
          </w:tcPr>
          <w:p>
            <w:r/>
            <w:r>
              <w:rPr>
                <w:rFonts w:ascii="Arial" w:hAnsi="Arial"/>
                <w:b w:val="0"/>
                <w:sz w:val="17"/>
              </w:rPr>
              <w:t>Baixo impacto</w:t>
            </w:r>
          </w:p>
        </w:tc>
        <w:tc>
          <w:tcPr>
            <w:tcW w:type="dxa" w:w="6840"/>
            <w:vAlign w:val="top"/>
          </w:tcPr>
          <w:p>
            <w:r/>
            <w:r>
              <w:rPr>
                <w:rFonts w:ascii="Arial" w:hAnsi="Arial"/>
                <w:b w:val="0"/>
                <w:sz w:val="17"/>
              </w:rPr>
              <w:t>A gestão de fornecedores não deve interromper o fluxo principal de busca, processamento e carga.</w:t>
            </w:r>
          </w:p>
        </w:tc>
      </w:tr>
      <w:tr>
        <w:tc>
          <w:tcPr>
            <w:tcW w:type="dxa" w:w="1080"/>
            <w:vAlign w:val="top"/>
          </w:tcPr>
          <w:p>
            <w:r/>
            <w:r>
              <w:rPr>
                <w:rFonts w:ascii="Arial" w:hAnsi="Arial"/>
                <w:b w:val="0"/>
                <w:sz w:val="17"/>
              </w:rPr>
              <w:t>RNF07</w:t>
            </w:r>
          </w:p>
        </w:tc>
        <w:tc>
          <w:tcPr>
            <w:tcW w:type="dxa" w:w="3024"/>
            <w:vAlign w:val="top"/>
          </w:tcPr>
          <w:p>
            <w:r/>
            <w:r>
              <w:rPr>
                <w:rFonts w:ascii="Arial" w:hAnsi="Arial"/>
                <w:b w:val="0"/>
                <w:sz w:val="17"/>
              </w:rPr>
              <w:t>Portabilidade operacional</w:t>
            </w:r>
          </w:p>
        </w:tc>
        <w:tc>
          <w:tcPr>
            <w:tcW w:type="dxa" w:w="6840"/>
            <w:vAlign w:val="top"/>
          </w:tcPr>
          <w:p>
            <w:r/>
            <w:r>
              <w:rPr>
                <w:rFonts w:ascii="Arial" w:hAnsi="Arial"/>
                <w:b w:val="0"/>
                <w:sz w:val="17"/>
              </w:rPr>
              <w:t>O inventário deve poder ser exportado em JSON para documentação e auditoria acadêmica.</w:t>
            </w:r>
          </w:p>
        </w:tc>
      </w:tr>
    </w:tbl>
    <w:p/>
    <w:p>
      <w:pPr>
        <w:pStyle w:val="Heading1"/>
      </w:pPr>
      <w:r>
        <w:t>6. Regra de negócio</w:t>
      </w:r>
    </w:p>
    <w:p>
      <w:r>
        <w:t>A área de gestão de fornecedores só deve estar disponível para usuário autenticado e com aceite da política de privacidade vigente. O sistema mantém um inventário inicial de fornecedores e componentes associados ao projeto, incluindo PNCP, MongoDB Atlas, Groq, Streamlit, Prefect, Kafka, PySpark, Docker e bibliotecas Python. Cada item deve possuir finalidade, categoria, criticidade, dados processados, risco principal, mitigação e status de uso.</w:t>
      </w:r>
    </w:p>
    <w:p>
      <w:r>
        <w:t>As avaliações de fornecedores não substituem contratos, SLAs ou análise jurídica formal, mas servem como evidência acadêmica de governança, acompanhamento e consciência dos riscos de terceiros. Quando o fornecedor depende de credenciais, o sistema deve indicar as variáveis de ambiente relacionadas, reforçando que chaves e URIs não devem ser versionadas no Git.</w:t>
      </w:r>
    </w:p>
    <w:p>
      <w:pPr>
        <w:pStyle w:val="Heading1"/>
      </w:pPr>
      <w:r>
        <w:t>7. Fluxo de gestão de fornecedores</w:t>
      </w:r>
    </w:p>
    <w:p>
      <w:pPr>
        <w:ind w:left="288" w:hanging="216"/>
      </w:pPr>
      <w:r>
        <w:rPr>
          <w:b/>
        </w:rPr>
        <w:t xml:space="preserve">• </w:t>
      </w:r>
      <w:r>
        <w:t>O usuário autenticado acessa a área “Gestão de fornecedores”.</w:t>
      </w:r>
    </w:p>
    <w:p>
      <w:pPr>
        <w:ind w:left="288" w:hanging="216"/>
      </w:pPr>
      <w:r>
        <w:rPr>
          <w:b/>
        </w:rPr>
        <w:t xml:space="preserve">• </w:t>
      </w:r>
      <w:r>
        <w:t>O sistema inicializa o inventário padrão de fornecedores e componentes do projeto.</w:t>
      </w:r>
    </w:p>
    <w:p>
      <w:pPr>
        <w:ind w:left="288" w:hanging="216"/>
      </w:pPr>
      <w:r>
        <w:rPr>
          <w:b/>
        </w:rPr>
        <w:t xml:space="preserve">• </w:t>
      </w:r>
      <w:r>
        <w:t>A interface exibe fornecedores, categorias, finalidades, criticidades, riscos e mitigações.</w:t>
      </w:r>
    </w:p>
    <w:p>
      <w:pPr>
        <w:ind w:left="288" w:hanging="216"/>
      </w:pPr>
      <w:r>
        <w:rPr>
          <w:b/>
        </w:rPr>
        <w:t xml:space="preserve">• </w:t>
      </w:r>
      <w:r>
        <w:t>O usuário pode baixar o inventário em JSON.</w:t>
      </w:r>
    </w:p>
    <w:p>
      <w:pPr>
        <w:ind w:left="288" w:hanging="216"/>
      </w:pPr>
      <w:r>
        <w:rPr>
          <w:b/>
        </w:rPr>
        <w:t xml:space="preserve">• </w:t>
      </w:r>
      <w:r>
        <w:t>O sistema mostra checagem de variáveis de ambiente por fornecedor.</w:t>
      </w:r>
    </w:p>
    <w:p>
      <w:pPr>
        <w:ind w:left="288" w:hanging="216"/>
      </w:pPr>
      <w:r>
        <w:rPr>
          <w:b/>
        </w:rPr>
        <w:t xml:space="preserve">• </w:t>
      </w:r>
      <w:r>
        <w:t>O usuário pode registrar avaliação por critério e status.</w:t>
      </w:r>
    </w:p>
    <w:p>
      <w:pPr>
        <w:ind w:left="288" w:hanging="216"/>
      </w:pPr>
      <w:r>
        <w:rPr>
          <w:b/>
        </w:rPr>
        <w:t xml:space="preserve">• </w:t>
      </w:r>
      <w:r>
        <w:t>A aplicação salva a avaliação em banco local e exibe o histórico recente.</w:t>
      </w:r>
    </w:p>
    <w:p>
      <w:pPr>
        <w:ind w:left="288" w:hanging="216"/>
      </w:pPr>
      <w:r>
        <w:rPr>
          <w:b/>
        </w:rPr>
        <w:t xml:space="preserve">• </w:t>
      </w:r>
      <w:r>
        <w:t>Eventos de avaliação são registrados também como eventos de segurança e privacidade.</w:t>
      </w:r>
    </w:p>
    <w:p>
      <w:pPr>
        <w:pStyle w:val="Heading1"/>
      </w:pPr>
      <w:r>
        <w:t>8. Fornecedores e componentes mapeados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232"/>
            <w:vAlign w:val="top"/>
            <w:shd w:fill="D9EAF7"/>
          </w:tcPr>
          <w:p>
            <w:r/>
            <w:r>
              <w:rPr>
                <w:rFonts w:ascii="Arial" w:hAnsi="Arial"/>
                <w:b/>
                <w:sz w:val="17"/>
              </w:rPr>
              <w:t>Fornecedor/componente</w:t>
            </w:r>
          </w:p>
        </w:tc>
        <w:tc>
          <w:tcPr>
            <w:tcW w:type="dxa" w:w="1944"/>
            <w:vAlign w:val="top"/>
            <w:shd w:fill="D9EAF7"/>
          </w:tcPr>
          <w:p>
            <w:r/>
            <w:r>
              <w:rPr>
                <w:rFonts w:ascii="Arial" w:hAnsi="Arial"/>
                <w:b/>
                <w:sz w:val="17"/>
              </w:rPr>
              <w:t>Categoria</w:t>
            </w:r>
          </w:p>
        </w:tc>
        <w:tc>
          <w:tcPr>
            <w:tcW w:type="dxa" w:w="1296"/>
            <w:vAlign w:val="top"/>
            <w:shd w:fill="D9EAF7"/>
          </w:tcPr>
          <w:p>
            <w:r/>
            <w:r>
              <w:rPr>
                <w:rFonts w:ascii="Arial" w:hAnsi="Arial"/>
                <w:b/>
                <w:sz w:val="17"/>
              </w:rPr>
              <w:t>Criticidade</w:t>
            </w:r>
          </w:p>
        </w:tc>
        <w:tc>
          <w:tcPr>
            <w:tcW w:type="dxa" w:w="2736"/>
            <w:vAlign w:val="top"/>
            <w:shd w:fill="D9EAF7"/>
          </w:tcPr>
          <w:p>
            <w:r/>
            <w:r>
              <w:rPr>
                <w:rFonts w:ascii="Arial" w:hAnsi="Arial"/>
                <w:b/>
                <w:sz w:val="17"/>
              </w:rPr>
              <w:t>Risco principal</w:t>
            </w:r>
          </w:p>
        </w:tc>
        <w:tc>
          <w:tcPr>
            <w:tcW w:type="dxa" w:w="2736"/>
            <w:vAlign w:val="top"/>
            <w:shd w:fill="D9EAF7"/>
          </w:tcPr>
          <w:p>
            <w:r/>
            <w:r>
              <w:rPr>
                <w:rFonts w:ascii="Arial" w:hAnsi="Arial"/>
                <w:b/>
                <w:sz w:val="17"/>
              </w:rPr>
              <w:t>Mitigação</w:t>
            </w:r>
          </w:p>
        </w:tc>
      </w:tr>
      <w:tr>
        <w:tc>
          <w:tcPr>
            <w:tcW w:type="dxa" w:w="2232"/>
            <w:vAlign w:val="top"/>
          </w:tcPr>
          <w:p>
            <w:r/>
            <w:r>
              <w:rPr>
                <w:rFonts w:ascii="Arial" w:hAnsi="Arial"/>
                <w:b w:val="0"/>
                <w:sz w:val="17"/>
              </w:rPr>
              <w:t>PNCP API</w:t>
            </w:r>
          </w:p>
        </w:tc>
        <w:tc>
          <w:tcPr>
            <w:tcW w:type="dxa" w:w="1944"/>
            <w:vAlign w:val="top"/>
          </w:tcPr>
          <w:p>
            <w:r/>
            <w:r>
              <w:rPr>
                <w:rFonts w:ascii="Arial" w:hAnsi="Arial"/>
                <w:b w:val="0"/>
                <w:sz w:val="17"/>
              </w:rPr>
              <w:t>API pública governamental</w:t>
            </w:r>
          </w:p>
        </w:tc>
        <w:tc>
          <w:tcPr>
            <w:tcW w:type="dxa" w:w="1296"/>
            <w:vAlign w:val="top"/>
          </w:tcPr>
          <w:p>
            <w:r/>
            <w:r>
              <w:rPr>
                <w:rFonts w:ascii="Arial" w:hAnsi="Arial"/>
                <w:b w:val="0"/>
                <w:sz w:val="17"/>
              </w:rPr>
              <w:t>Alta</w:t>
            </w:r>
          </w:p>
        </w:tc>
        <w:tc>
          <w:tcPr>
            <w:tcW w:type="dxa" w:w="2736"/>
            <w:vAlign w:val="top"/>
          </w:tcPr>
          <w:p>
            <w:r/>
            <w:r>
              <w:rPr>
                <w:rFonts w:ascii="Arial" w:hAnsi="Arial"/>
                <w:b w:val="0"/>
                <w:sz w:val="17"/>
              </w:rPr>
              <w:t>Indisponibilidade ou mudança de retorno da API</w:t>
            </w:r>
          </w:p>
        </w:tc>
        <w:tc>
          <w:tcPr>
            <w:tcW w:type="dxa" w:w="2736"/>
            <w:vAlign w:val="top"/>
          </w:tcPr>
          <w:p>
            <w:r/>
            <w:r>
              <w:rPr>
                <w:rFonts w:ascii="Arial" w:hAnsi="Arial"/>
                <w:b w:val="0"/>
                <w:sz w:val="17"/>
              </w:rPr>
              <w:t>Timeout, retentativas, validação de entrada e tratamento de erro.</w:t>
            </w:r>
          </w:p>
        </w:tc>
      </w:tr>
      <w:tr>
        <w:tc>
          <w:tcPr>
            <w:tcW w:type="dxa" w:w="2232"/>
            <w:vAlign w:val="top"/>
          </w:tcPr>
          <w:p>
            <w:r/>
            <w:r>
              <w:rPr>
                <w:rFonts w:ascii="Arial" w:hAnsi="Arial"/>
                <w:b w:val="0"/>
                <w:sz w:val="17"/>
              </w:rPr>
              <w:t>MongoDB Atlas</w:t>
            </w:r>
          </w:p>
        </w:tc>
        <w:tc>
          <w:tcPr>
            <w:tcW w:type="dxa" w:w="1944"/>
            <w:vAlign w:val="top"/>
          </w:tcPr>
          <w:p>
            <w:r/>
            <w:r>
              <w:rPr>
                <w:rFonts w:ascii="Arial" w:hAnsi="Arial"/>
                <w:b w:val="0"/>
                <w:sz w:val="17"/>
              </w:rPr>
              <w:t>Banco em nuvem</w:t>
            </w:r>
          </w:p>
        </w:tc>
        <w:tc>
          <w:tcPr>
            <w:tcW w:type="dxa" w:w="1296"/>
            <w:vAlign w:val="top"/>
          </w:tcPr>
          <w:p>
            <w:r/>
            <w:r>
              <w:rPr>
                <w:rFonts w:ascii="Arial" w:hAnsi="Arial"/>
                <w:b w:val="0"/>
                <w:sz w:val="17"/>
              </w:rPr>
              <w:t>Alta</w:t>
            </w:r>
          </w:p>
        </w:tc>
        <w:tc>
          <w:tcPr>
            <w:tcW w:type="dxa" w:w="2736"/>
            <w:vAlign w:val="top"/>
          </w:tcPr>
          <w:p>
            <w:r/>
            <w:r>
              <w:rPr>
                <w:rFonts w:ascii="Arial" w:hAnsi="Arial"/>
                <w:b w:val="0"/>
                <w:sz w:val="17"/>
              </w:rPr>
              <w:t>Exposição de credenciais ou indisponibilidade do banco</w:t>
            </w:r>
          </w:p>
        </w:tc>
        <w:tc>
          <w:tcPr>
            <w:tcW w:type="dxa" w:w="2736"/>
            <w:vAlign w:val="top"/>
          </w:tcPr>
          <w:p>
            <w:r/>
            <w:r>
              <w:rPr>
                <w:rFonts w:ascii="Arial" w:hAnsi="Arial"/>
                <w:b w:val="0"/>
                <w:sz w:val="17"/>
              </w:rPr>
              <w:t>Variável MONGO_URI, health check, backup JSONL e anonimização.</w:t>
            </w:r>
          </w:p>
        </w:tc>
      </w:tr>
      <w:tr>
        <w:tc>
          <w:tcPr>
            <w:tcW w:type="dxa" w:w="2232"/>
            <w:vAlign w:val="top"/>
          </w:tcPr>
          <w:p>
            <w:r/>
            <w:r>
              <w:rPr>
                <w:rFonts w:ascii="Arial" w:hAnsi="Arial"/>
                <w:b w:val="0"/>
                <w:sz w:val="17"/>
              </w:rPr>
              <w:t>Groq API</w:t>
            </w:r>
          </w:p>
        </w:tc>
        <w:tc>
          <w:tcPr>
            <w:tcW w:type="dxa" w:w="1944"/>
            <w:vAlign w:val="top"/>
          </w:tcPr>
          <w:p>
            <w:r/>
            <w:r>
              <w:rPr>
                <w:rFonts w:ascii="Arial" w:hAnsi="Arial"/>
                <w:b w:val="0"/>
                <w:sz w:val="17"/>
              </w:rPr>
              <w:t>Classificação por IA</w:t>
            </w:r>
          </w:p>
        </w:tc>
        <w:tc>
          <w:tcPr>
            <w:tcW w:type="dxa" w:w="1296"/>
            <w:vAlign w:val="top"/>
          </w:tcPr>
          <w:p>
            <w:r/>
            <w:r>
              <w:rPr>
                <w:rFonts w:ascii="Arial" w:hAnsi="Arial"/>
                <w:b w:val="0"/>
                <w:sz w:val="17"/>
              </w:rPr>
              <w:t>Média</w:t>
            </w:r>
          </w:p>
        </w:tc>
        <w:tc>
          <w:tcPr>
            <w:tcW w:type="dxa" w:w="2736"/>
            <w:vAlign w:val="top"/>
          </w:tcPr>
          <w:p>
            <w:r/>
            <w:r>
              <w:rPr>
                <w:rFonts w:ascii="Arial" w:hAnsi="Arial"/>
                <w:b w:val="0"/>
                <w:sz w:val="17"/>
              </w:rPr>
              <w:t>Dependência externa e envio de texto excessivo</w:t>
            </w:r>
          </w:p>
        </w:tc>
        <w:tc>
          <w:tcPr>
            <w:tcW w:type="dxa" w:w="2736"/>
            <w:vAlign w:val="top"/>
          </w:tcPr>
          <w:p>
            <w:r/>
            <w:r>
              <w:rPr>
                <w:rFonts w:ascii="Arial" w:hAnsi="Arial"/>
                <w:b w:val="0"/>
                <w:sz w:val="17"/>
              </w:rPr>
              <w:t>Validação e limite do texto antes da chamada.</w:t>
            </w:r>
          </w:p>
        </w:tc>
      </w:tr>
      <w:tr>
        <w:tc>
          <w:tcPr>
            <w:tcW w:type="dxa" w:w="2232"/>
            <w:vAlign w:val="top"/>
          </w:tcPr>
          <w:p>
            <w:r/>
            <w:r>
              <w:rPr>
                <w:rFonts w:ascii="Arial" w:hAnsi="Arial"/>
                <w:b w:val="0"/>
                <w:sz w:val="17"/>
              </w:rPr>
              <w:t>Streamlit</w:t>
            </w:r>
          </w:p>
        </w:tc>
        <w:tc>
          <w:tcPr>
            <w:tcW w:type="dxa" w:w="1944"/>
            <w:vAlign w:val="top"/>
          </w:tcPr>
          <w:p>
            <w:r/>
            <w:r>
              <w:rPr>
                <w:rFonts w:ascii="Arial" w:hAnsi="Arial"/>
                <w:b w:val="0"/>
                <w:sz w:val="17"/>
              </w:rPr>
              <w:t>Framework de interface</w:t>
            </w:r>
          </w:p>
        </w:tc>
        <w:tc>
          <w:tcPr>
            <w:tcW w:type="dxa" w:w="1296"/>
            <w:vAlign w:val="top"/>
          </w:tcPr>
          <w:p>
            <w:r/>
            <w:r>
              <w:rPr>
                <w:rFonts w:ascii="Arial" w:hAnsi="Arial"/>
                <w:b w:val="0"/>
                <w:sz w:val="17"/>
              </w:rPr>
              <w:t>Alta</w:t>
            </w:r>
          </w:p>
        </w:tc>
        <w:tc>
          <w:tcPr>
            <w:tcW w:type="dxa" w:w="2736"/>
            <w:vAlign w:val="top"/>
          </w:tcPr>
          <w:p>
            <w:r/>
            <w:r>
              <w:rPr>
                <w:rFonts w:ascii="Arial" w:hAnsi="Arial"/>
                <w:b w:val="0"/>
                <w:sz w:val="17"/>
              </w:rPr>
              <w:t>Falhas de sessão ou exposição de tela</w:t>
            </w:r>
          </w:p>
        </w:tc>
        <w:tc>
          <w:tcPr>
            <w:tcW w:type="dxa" w:w="2736"/>
            <w:vAlign w:val="top"/>
          </w:tcPr>
          <w:p>
            <w:r/>
            <w:r>
              <w:rPr>
                <w:rFonts w:ascii="Arial" w:hAnsi="Arial"/>
                <w:b w:val="0"/>
                <w:sz w:val="17"/>
              </w:rPr>
              <w:t>Autenticação, sessão e bloqueio sem aceite LGPD.</w:t>
            </w:r>
          </w:p>
        </w:tc>
      </w:tr>
      <w:tr>
        <w:tc>
          <w:tcPr>
            <w:tcW w:type="dxa" w:w="2232"/>
            <w:vAlign w:val="top"/>
          </w:tcPr>
          <w:p>
            <w:r/>
            <w:r>
              <w:rPr>
                <w:rFonts w:ascii="Arial" w:hAnsi="Arial"/>
                <w:b w:val="0"/>
                <w:sz w:val="17"/>
              </w:rPr>
              <w:t>Prefect</w:t>
            </w:r>
          </w:p>
        </w:tc>
        <w:tc>
          <w:tcPr>
            <w:tcW w:type="dxa" w:w="1944"/>
            <w:vAlign w:val="top"/>
          </w:tcPr>
          <w:p>
            <w:r/>
            <w:r>
              <w:rPr>
                <w:rFonts w:ascii="Arial" w:hAnsi="Arial"/>
                <w:b w:val="0"/>
                <w:sz w:val="17"/>
              </w:rPr>
              <w:t>Orquestração</w:t>
            </w:r>
          </w:p>
        </w:tc>
        <w:tc>
          <w:tcPr>
            <w:tcW w:type="dxa" w:w="1296"/>
            <w:vAlign w:val="top"/>
          </w:tcPr>
          <w:p>
            <w:r/>
            <w:r>
              <w:rPr>
                <w:rFonts w:ascii="Arial" w:hAnsi="Arial"/>
                <w:b w:val="0"/>
                <w:sz w:val="17"/>
              </w:rPr>
              <w:t>Média</w:t>
            </w:r>
          </w:p>
        </w:tc>
        <w:tc>
          <w:tcPr>
            <w:tcW w:type="dxa" w:w="2736"/>
            <w:vAlign w:val="top"/>
          </w:tcPr>
          <w:p>
            <w:r/>
            <w:r>
              <w:rPr>
                <w:rFonts w:ascii="Arial" w:hAnsi="Arial"/>
                <w:b w:val="0"/>
                <w:sz w:val="17"/>
              </w:rPr>
              <w:t>Falha em execução automatizada</w:t>
            </w:r>
          </w:p>
        </w:tc>
        <w:tc>
          <w:tcPr>
            <w:tcW w:type="dxa" w:w="2736"/>
            <w:vAlign w:val="top"/>
          </w:tcPr>
          <w:p>
            <w:r/>
            <w:r>
              <w:rPr>
                <w:rFonts w:ascii="Arial" w:hAnsi="Arial"/>
                <w:b w:val="0"/>
                <w:sz w:val="17"/>
              </w:rPr>
              <w:t>Execução manual alternativa e variáveis de ambiente.</w:t>
            </w:r>
          </w:p>
        </w:tc>
      </w:tr>
      <w:tr>
        <w:tc>
          <w:tcPr>
            <w:tcW w:type="dxa" w:w="2232"/>
            <w:vAlign w:val="top"/>
          </w:tcPr>
          <w:p>
            <w:r/>
            <w:r>
              <w:rPr>
                <w:rFonts w:ascii="Arial" w:hAnsi="Arial"/>
                <w:b w:val="0"/>
                <w:sz w:val="17"/>
              </w:rPr>
              <w:t>Kafka/kafka-python</w:t>
            </w:r>
          </w:p>
        </w:tc>
        <w:tc>
          <w:tcPr>
            <w:tcW w:type="dxa" w:w="1944"/>
            <w:vAlign w:val="top"/>
          </w:tcPr>
          <w:p>
            <w:r/>
            <w:r>
              <w:rPr>
                <w:rFonts w:ascii="Arial" w:hAnsi="Arial"/>
                <w:b w:val="0"/>
                <w:sz w:val="17"/>
              </w:rPr>
              <w:t>Mensageria</w:t>
            </w:r>
          </w:p>
        </w:tc>
        <w:tc>
          <w:tcPr>
            <w:tcW w:type="dxa" w:w="1296"/>
            <w:vAlign w:val="top"/>
          </w:tcPr>
          <w:p>
            <w:r/>
            <w:r>
              <w:rPr>
                <w:rFonts w:ascii="Arial" w:hAnsi="Arial"/>
                <w:b w:val="0"/>
                <w:sz w:val="17"/>
              </w:rPr>
              <w:t>Baixa</w:t>
            </w:r>
          </w:p>
        </w:tc>
        <w:tc>
          <w:tcPr>
            <w:tcW w:type="dxa" w:w="2736"/>
            <w:vAlign w:val="top"/>
          </w:tcPr>
          <w:p>
            <w:r/>
            <w:r>
              <w:rPr>
                <w:rFonts w:ascii="Arial" w:hAnsi="Arial"/>
                <w:b w:val="0"/>
                <w:sz w:val="17"/>
              </w:rPr>
              <w:t>Complexidade operacional</w:t>
            </w:r>
          </w:p>
        </w:tc>
        <w:tc>
          <w:tcPr>
            <w:tcW w:type="dxa" w:w="2736"/>
            <w:vAlign w:val="top"/>
          </w:tcPr>
          <w:p>
            <w:r/>
            <w:r>
              <w:rPr>
                <w:rFonts w:ascii="Arial" w:hAnsi="Arial"/>
                <w:b w:val="0"/>
                <w:sz w:val="17"/>
              </w:rPr>
              <w:t>Uso mapeado e fora do fluxo principal crítico.</w:t>
            </w:r>
          </w:p>
        </w:tc>
      </w:tr>
      <w:tr>
        <w:tc>
          <w:tcPr>
            <w:tcW w:type="dxa" w:w="2232"/>
            <w:vAlign w:val="top"/>
          </w:tcPr>
          <w:p>
            <w:r/>
            <w:r>
              <w:rPr>
                <w:rFonts w:ascii="Arial" w:hAnsi="Arial"/>
                <w:b w:val="0"/>
                <w:sz w:val="17"/>
              </w:rPr>
              <w:t>PySpark/Spark</w:t>
            </w:r>
          </w:p>
        </w:tc>
        <w:tc>
          <w:tcPr>
            <w:tcW w:type="dxa" w:w="1944"/>
            <w:vAlign w:val="top"/>
          </w:tcPr>
          <w:p>
            <w:r/>
            <w:r>
              <w:rPr>
                <w:rFonts w:ascii="Arial" w:hAnsi="Arial"/>
                <w:b w:val="0"/>
                <w:sz w:val="17"/>
              </w:rPr>
              <w:t>Processamento</w:t>
            </w:r>
          </w:p>
        </w:tc>
        <w:tc>
          <w:tcPr>
            <w:tcW w:type="dxa" w:w="1296"/>
            <w:vAlign w:val="top"/>
          </w:tcPr>
          <w:p>
            <w:r/>
            <w:r>
              <w:rPr>
                <w:rFonts w:ascii="Arial" w:hAnsi="Arial"/>
                <w:b w:val="0"/>
                <w:sz w:val="17"/>
              </w:rPr>
              <w:t>Baixa</w:t>
            </w:r>
          </w:p>
        </w:tc>
        <w:tc>
          <w:tcPr>
            <w:tcW w:type="dxa" w:w="2736"/>
            <w:vAlign w:val="top"/>
          </w:tcPr>
          <w:p>
            <w:r/>
            <w:r>
              <w:rPr>
                <w:rFonts w:ascii="Arial" w:hAnsi="Arial"/>
                <w:b w:val="0"/>
                <w:sz w:val="17"/>
              </w:rPr>
              <w:t>Dependência de ambiente específico</w:t>
            </w:r>
          </w:p>
        </w:tc>
        <w:tc>
          <w:tcPr>
            <w:tcW w:type="dxa" w:w="2736"/>
            <w:vAlign w:val="top"/>
          </w:tcPr>
          <w:p>
            <w:r/>
            <w:r>
              <w:rPr>
                <w:rFonts w:ascii="Arial" w:hAnsi="Arial"/>
                <w:b w:val="0"/>
                <w:sz w:val="17"/>
              </w:rPr>
              <w:t>Uso alternativo e documentação.</w:t>
            </w:r>
          </w:p>
        </w:tc>
      </w:tr>
      <w:tr>
        <w:tc>
          <w:tcPr>
            <w:tcW w:type="dxa" w:w="2232"/>
            <w:vAlign w:val="top"/>
          </w:tcPr>
          <w:p>
            <w:r/>
            <w:r>
              <w:rPr>
                <w:rFonts w:ascii="Arial" w:hAnsi="Arial"/>
                <w:b w:val="0"/>
                <w:sz w:val="17"/>
              </w:rPr>
              <w:t>Docker/Docker Compose</w:t>
            </w:r>
          </w:p>
        </w:tc>
        <w:tc>
          <w:tcPr>
            <w:tcW w:type="dxa" w:w="1944"/>
            <w:vAlign w:val="top"/>
          </w:tcPr>
          <w:p>
            <w:r/>
            <w:r>
              <w:rPr>
                <w:rFonts w:ascii="Arial" w:hAnsi="Arial"/>
                <w:b w:val="0"/>
                <w:sz w:val="17"/>
              </w:rPr>
              <w:t>Ambiente</w:t>
            </w:r>
          </w:p>
        </w:tc>
        <w:tc>
          <w:tcPr>
            <w:tcW w:type="dxa" w:w="1296"/>
            <w:vAlign w:val="top"/>
          </w:tcPr>
          <w:p>
            <w:r/>
            <w:r>
              <w:rPr>
                <w:rFonts w:ascii="Arial" w:hAnsi="Arial"/>
                <w:b w:val="0"/>
                <w:sz w:val="17"/>
              </w:rPr>
              <w:t>Média</w:t>
            </w:r>
          </w:p>
        </w:tc>
        <w:tc>
          <w:tcPr>
            <w:tcW w:type="dxa" w:w="2736"/>
            <w:vAlign w:val="top"/>
          </w:tcPr>
          <w:p>
            <w:r/>
            <w:r>
              <w:rPr>
                <w:rFonts w:ascii="Arial" w:hAnsi="Arial"/>
                <w:b w:val="0"/>
                <w:sz w:val="17"/>
              </w:rPr>
              <w:t>Exposição de variáveis ou imagens desatualizadas</w:t>
            </w:r>
          </w:p>
        </w:tc>
        <w:tc>
          <w:tcPr>
            <w:tcW w:type="dxa" w:w="2736"/>
            <w:vAlign w:val="top"/>
          </w:tcPr>
          <w:p>
            <w:r/>
            <w:r>
              <w:rPr>
                <w:rFonts w:ascii="Arial" w:hAnsi="Arial"/>
                <w:b w:val="0"/>
                <w:sz w:val="17"/>
              </w:rPr>
              <w:t>.env, .gitignore e revisão de configuração.</w:t>
            </w:r>
          </w:p>
        </w:tc>
      </w:tr>
      <w:tr>
        <w:tc>
          <w:tcPr>
            <w:tcW w:type="dxa" w:w="2232"/>
            <w:vAlign w:val="top"/>
          </w:tcPr>
          <w:p>
            <w:r/>
            <w:r>
              <w:rPr>
                <w:rFonts w:ascii="Arial" w:hAnsi="Arial"/>
                <w:b w:val="0"/>
                <w:sz w:val="17"/>
              </w:rPr>
              <w:t>Bibliotecas Python</w:t>
            </w:r>
          </w:p>
        </w:tc>
        <w:tc>
          <w:tcPr>
            <w:tcW w:type="dxa" w:w="1944"/>
            <w:vAlign w:val="top"/>
          </w:tcPr>
          <w:p>
            <w:r/>
            <w:r>
              <w:rPr>
                <w:rFonts w:ascii="Arial" w:hAnsi="Arial"/>
                <w:b w:val="0"/>
                <w:sz w:val="17"/>
              </w:rPr>
              <w:t>Dependências open source</w:t>
            </w:r>
          </w:p>
        </w:tc>
        <w:tc>
          <w:tcPr>
            <w:tcW w:type="dxa" w:w="1296"/>
            <w:vAlign w:val="top"/>
          </w:tcPr>
          <w:p>
            <w:r/>
            <w:r>
              <w:rPr>
                <w:rFonts w:ascii="Arial" w:hAnsi="Arial"/>
                <w:b w:val="0"/>
                <w:sz w:val="17"/>
              </w:rPr>
              <w:t>Média</w:t>
            </w:r>
          </w:p>
        </w:tc>
        <w:tc>
          <w:tcPr>
            <w:tcW w:type="dxa" w:w="2736"/>
            <w:vAlign w:val="top"/>
          </w:tcPr>
          <w:p>
            <w:r/>
            <w:r>
              <w:rPr>
                <w:rFonts w:ascii="Arial" w:hAnsi="Arial"/>
                <w:b w:val="0"/>
                <w:sz w:val="17"/>
              </w:rPr>
              <w:t>Vulnerabilidades e incompatibilidades</w:t>
            </w:r>
          </w:p>
        </w:tc>
        <w:tc>
          <w:tcPr>
            <w:tcW w:type="dxa" w:w="2736"/>
            <w:vAlign w:val="top"/>
          </w:tcPr>
          <w:p>
            <w:r/>
            <w:r>
              <w:rPr>
                <w:rFonts w:ascii="Arial" w:hAnsi="Arial"/>
                <w:b w:val="0"/>
                <w:sz w:val="17"/>
              </w:rPr>
              <w:t>Inventário, requirements e revisão periódica.</w:t>
            </w:r>
          </w:p>
        </w:tc>
      </w:tr>
    </w:tbl>
    <w:p/>
    <w:p>
      <w:pPr>
        <w:pStyle w:val="Heading1"/>
      </w:pPr>
      <w:r>
        <w:t>9. Critérios de avaliação de fornecedores</w:t>
      </w:r>
    </w:p>
    <w:tbl>
      <w:tblPr>
        <w:tblStyle w:val="TableGrid"/>
        <w:tblW w:type="auto" w:w="0"/>
        <w:jc w:val="center"/>
        <w:tblLook w:firstColumn="1" w:firstRow="1" w:lastColumn="0" w:lastRow="0" w:noHBand="0" w:noVBand="1" w:val="04A0"/>
      </w:tblPr>
      <w:tblGrid>
        <w:gridCol w:w="5112"/>
        <w:gridCol w:w="5112"/>
      </w:tblGrid>
      <w:tr>
        <w:tc>
          <w:tcPr>
            <w:tcW w:type="dxa" w:w="3456"/>
            <w:vAlign w:val="top"/>
            <w:shd w:fill="D9EAF7"/>
          </w:tcPr>
          <w:p>
            <w:r/>
            <w:r>
              <w:rPr>
                <w:rFonts w:ascii="Arial" w:hAnsi="Arial"/>
                <w:b/>
                <w:sz w:val="17"/>
              </w:rPr>
              <w:t>Critério</w:t>
            </w:r>
          </w:p>
        </w:tc>
        <w:tc>
          <w:tcPr>
            <w:tcW w:type="dxa" w:w="7488"/>
            <w:vAlign w:val="top"/>
            <w:shd w:fill="D9EAF7"/>
          </w:tcPr>
          <w:p>
            <w:r/>
            <w:r>
              <w:rPr>
                <w:rFonts w:ascii="Arial" w:hAnsi="Arial"/>
                <w:b/>
                <w:sz w:val="17"/>
              </w:rPr>
              <w:t>Uso na aplicação</w:t>
            </w:r>
          </w:p>
        </w:tc>
      </w:tr>
      <w:tr>
        <w:tc>
          <w:tcPr>
            <w:tcW w:type="dxa" w:w="3456"/>
            <w:vAlign w:val="top"/>
          </w:tcPr>
          <w:p>
            <w:r/>
            <w:r>
              <w:rPr>
                <w:rFonts w:ascii="Arial" w:hAnsi="Arial"/>
                <w:b w:val="0"/>
                <w:sz w:val="17"/>
              </w:rPr>
              <w:t>Segurança da informação</w:t>
            </w:r>
          </w:p>
        </w:tc>
        <w:tc>
          <w:tcPr>
            <w:tcW w:type="dxa" w:w="7488"/>
            <w:vAlign w:val="top"/>
          </w:tcPr>
          <w:p>
            <w:r/>
            <w:r>
              <w:rPr>
                <w:rFonts w:ascii="Arial" w:hAnsi="Arial"/>
                <w:b w:val="0"/>
                <w:sz w:val="17"/>
              </w:rPr>
              <w:t>Verifica riscos de credenciais, acesso, exposição de dados e dependência técnica.</w:t>
            </w:r>
          </w:p>
        </w:tc>
      </w:tr>
      <w:tr>
        <w:tc>
          <w:tcPr>
            <w:tcW w:type="dxa" w:w="3456"/>
            <w:vAlign w:val="top"/>
          </w:tcPr>
          <w:p>
            <w:r/>
            <w:r>
              <w:rPr>
                <w:rFonts w:ascii="Arial" w:hAnsi="Arial"/>
                <w:b w:val="0"/>
                <w:sz w:val="17"/>
              </w:rPr>
              <w:t>Privacidade e LGPD</w:t>
            </w:r>
          </w:p>
        </w:tc>
        <w:tc>
          <w:tcPr>
            <w:tcW w:type="dxa" w:w="7488"/>
            <w:vAlign w:val="top"/>
          </w:tcPr>
          <w:p>
            <w:r/>
            <w:r>
              <w:rPr>
                <w:rFonts w:ascii="Arial" w:hAnsi="Arial"/>
                <w:b w:val="0"/>
                <w:sz w:val="17"/>
              </w:rPr>
              <w:t>Verifica se há dados pessoais ou possibilidade de tratamento identificável.</w:t>
            </w:r>
          </w:p>
        </w:tc>
      </w:tr>
      <w:tr>
        <w:tc>
          <w:tcPr>
            <w:tcW w:type="dxa" w:w="3456"/>
            <w:vAlign w:val="top"/>
          </w:tcPr>
          <w:p>
            <w:r/>
            <w:r>
              <w:rPr>
                <w:rFonts w:ascii="Arial" w:hAnsi="Arial"/>
                <w:b w:val="0"/>
                <w:sz w:val="17"/>
              </w:rPr>
              <w:t>Disponibilidade</w:t>
            </w:r>
          </w:p>
        </w:tc>
        <w:tc>
          <w:tcPr>
            <w:tcW w:type="dxa" w:w="7488"/>
            <w:vAlign w:val="top"/>
          </w:tcPr>
          <w:p>
            <w:r/>
            <w:r>
              <w:rPr>
                <w:rFonts w:ascii="Arial" w:hAnsi="Arial"/>
                <w:b w:val="0"/>
                <w:sz w:val="17"/>
              </w:rPr>
              <w:t>Avalia impacto de indisponibilidade do fornecedor no uso da aplicação.</w:t>
            </w:r>
          </w:p>
        </w:tc>
      </w:tr>
      <w:tr>
        <w:tc>
          <w:tcPr>
            <w:tcW w:type="dxa" w:w="3456"/>
            <w:vAlign w:val="top"/>
          </w:tcPr>
          <w:p>
            <w:r/>
            <w:r>
              <w:rPr>
                <w:rFonts w:ascii="Arial" w:hAnsi="Arial"/>
                <w:b w:val="0"/>
                <w:sz w:val="17"/>
              </w:rPr>
              <w:t>Continuidade operacional</w:t>
            </w:r>
          </w:p>
        </w:tc>
        <w:tc>
          <w:tcPr>
            <w:tcW w:type="dxa" w:w="7488"/>
            <w:vAlign w:val="top"/>
          </w:tcPr>
          <w:p>
            <w:r/>
            <w:r>
              <w:rPr>
                <w:rFonts w:ascii="Arial" w:hAnsi="Arial"/>
                <w:b w:val="0"/>
                <w:sz w:val="17"/>
              </w:rPr>
              <w:t>Verifica se há alternativa, backup, exportação ou mitigação em caso de falha.</w:t>
            </w:r>
          </w:p>
        </w:tc>
      </w:tr>
      <w:tr>
        <w:tc>
          <w:tcPr>
            <w:tcW w:type="dxa" w:w="3456"/>
            <w:vAlign w:val="top"/>
          </w:tcPr>
          <w:p>
            <w:r/>
            <w:r>
              <w:rPr>
                <w:rFonts w:ascii="Arial" w:hAnsi="Arial"/>
                <w:b w:val="0"/>
                <w:sz w:val="17"/>
              </w:rPr>
              <w:t>Dependência tecnológica</w:t>
            </w:r>
          </w:p>
        </w:tc>
        <w:tc>
          <w:tcPr>
            <w:tcW w:type="dxa" w:w="7488"/>
            <w:vAlign w:val="top"/>
          </w:tcPr>
          <w:p>
            <w:r/>
            <w:r>
              <w:rPr>
                <w:rFonts w:ascii="Arial" w:hAnsi="Arial"/>
                <w:b w:val="0"/>
                <w:sz w:val="17"/>
              </w:rPr>
              <w:t>Avalia grau de acoplamento do projeto ao fornecedor.</w:t>
            </w:r>
          </w:p>
        </w:tc>
      </w:tr>
      <w:tr>
        <w:tc>
          <w:tcPr>
            <w:tcW w:type="dxa" w:w="3456"/>
            <w:vAlign w:val="top"/>
          </w:tcPr>
          <w:p>
            <w:r/>
            <w:r>
              <w:rPr>
                <w:rFonts w:ascii="Arial" w:hAnsi="Arial"/>
                <w:b w:val="0"/>
                <w:sz w:val="17"/>
              </w:rPr>
              <w:t>Adequação ao escopo acadêmico</w:t>
            </w:r>
          </w:p>
        </w:tc>
        <w:tc>
          <w:tcPr>
            <w:tcW w:type="dxa" w:w="7488"/>
            <w:vAlign w:val="top"/>
          </w:tcPr>
          <w:p>
            <w:r/>
            <w:r>
              <w:rPr>
                <w:rFonts w:ascii="Arial" w:hAnsi="Arial"/>
                <w:b w:val="0"/>
                <w:sz w:val="17"/>
              </w:rPr>
              <w:t>Avalia se o uso do fornecedor é proporcional ao projeto integrado.</w:t>
            </w:r>
          </w:p>
        </w:tc>
      </w:tr>
    </w:tbl>
    <w:p/>
    <w:p>
      <w:pPr>
        <w:pStyle w:val="Heading1"/>
      </w:pPr>
      <w:r>
        <w:t>10. Critérios de aceite</w:t>
      </w:r>
    </w:p>
    <w:tbl>
      <w:tblPr>
        <w:tblStyle w:val="TableGrid"/>
        <w:tblW w:type="auto" w:w="0"/>
        <w:jc w:val="center"/>
        <w:tblLook w:firstColumn="1" w:firstRow="1" w:lastColumn="0" w:lastRow="0" w:noHBand="0" w:noVBand="1" w:val="04A0"/>
      </w:tblPr>
      <w:tblGrid>
        <w:gridCol w:w="5112"/>
        <w:gridCol w:w="5112"/>
      </w:tblGrid>
      <w:tr>
        <w:tc>
          <w:tcPr>
            <w:tcW w:type="dxa" w:w="3312"/>
            <w:vAlign w:val="top"/>
            <w:shd w:fill="D9EAF7"/>
          </w:tcPr>
          <w:p>
            <w:r/>
            <w:r>
              <w:rPr>
                <w:rFonts w:ascii="Arial" w:hAnsi="Arial"/>
                <w:b/>
                <w:sz w:val="17"/>
              </w:rPr>
              <w:t>Critério</w:t>
            </w:r>
          </w:p>
        </w:tc>
        <w:tc>
          <w:tcPr>
            <w:tcW w:type="dxa" w:w="7632"/>
            <w:vAlign w:val="top"/>
            <w:shd w:fill="D9EAF7"/>
          </w:tcPr>
          <w:p>
            <w:r/>
            <w:r>
              <w:rPr>
                <w:rFonts w:ascii="Arial" w:hAnsi="Arial"/>
                <w:b/>
                <w:sz w:val="17"/>
              </w:rPr>
              <w:t>Resultado esperado</w:t>
            </w:r>
          </w:p>
        </w:tc>
      </w:tr>
      <w:tr>
        <w:tc>
          <w:tcPr>
            <w:tcW w:type="dxa" w:w="3312"/>
            <w:vAlign w:val="top"/>
          </w:tcPr>
          <w:p>
            <w:r/>
            <w:r>
              <w:rPr>
                <w:rFonts w:ascii="Arial" w:hAnsi="Arial"/>
                <w:b w:val="0"/>
                <w:sz w:val="17"/>
              </w:rPr>
              <w:t>Inventário exibido</w:t>
            </w:r>
          </w:p>
        </w:tc>
        <w:tc>
          <w:tcPr>
            <w:tcW w:type="dxa" w:w="7632"/>
            <w:vAlign w:val="top"/>
          </w:tcPr>
          <w:p>
            <w:r/>
            <w:r>
              <w:rPr>
                <w:rFonts w:ascii="Arial" w:hAnsi="Arial"/>
                <w:b w:val="0"/>
                <w:sz w:val="17"/>
              </w:rPr>
              <w:t>A aplicação deve mostrar fornecedores e componentes externos em tabela.</w:t>
            </w:r>
          </w:p>
        </w:tc>
      </w:tr>
      <w:tr>
        <w:tc>
          <w:tcPr>
            <w:tcW w:type="dxa" w:w="3312"/>
            <w:vAlign w:val="top"/>
          </w:tcPr>
          <w:p>
            <w:r/>
            <w:r>
              <w:rPr>
                <w:rFonts w:ascii="Arial" w:hAnsi="Arial"/>
                <w:b w:val="0"/>
                <w:sz w:val="17"/>
              </w:rPr>
              <w:t>Exportação JSON</w:t>
            </w:r>
          </w:p>
        </w:tc>
        <w:tc>
          <w:tcPr>
            <w:tcW w:type="dxa" w:w="7632"/>
            <w:vAlign w:val="top"/>
          </w:tcPr>
          <w:p>
            <w:r/>
            <w:r>
              <w:rPr>
                <w:rFonts w:ascii="Arial" w:hAnsi="Arial"/>
                <w:b w:val="0"/>
                <w:sz w:val="17"/>
              </w:rPr>
              <w:t>O usuário deve conseguir baixar o inventário de fornecedores em JSON.</w:t>
            </w:r>
          </w:p>
        </w:tc>
      </w:tr>
      <w:tr>
        <w:tc>
          <w:tcPr>
            <w:tcW w:type="dxa" w:w="3312"/>
            <w:vAlign w:val="top"/>
          </w:tcPr>
          <w:p>
            <w:r/>
            <w:r>
              <w:rPr>
                <w:rFonts w:ascii="Arial" w:hAnsi="Arial"/>
                <w:b w:val="0"/>
                <w:sz w:val="17"/>
              </w:rPr>
              <w:t>Criticidade mapeada</w:t>
            </w:r>
          </w:p>
        </w:tc>
        <w:tc>
          <w:tcPr>
            <w:tcW w:type="dxa" w:w="7632"/>
            <w:vAlign w:val="top"/>
          </w:tcPr>
          <w:p>
            <w:r/>
            <w:r>
              <w:rPr>
                <w:rFonts w:ascii="Arial" w:hAnsi="Arial"/>
                <w:b w:val="0"/>
                <w:sz w:val="17"/>
              </w:rPr>
              <w:t>Cada fornecedor deve possuir classificação de criticidade.</w:t>
            </w:r>
          </w:p>
        </w:tc>
      </w:tr>
      <w:tr>
        <w:tc>
          <w:tcPr>
            <w:tcW w:type="dxa" w:w="3312"/>
            <w:vAlign w:val="top"/>
          </w:tcPr>
          <w:p>
            <w:r/>
            <w:r>
              <w:rPr>
                <w:rFonts w:ascii="Arial" w:hAnsi="Arial"/>
                <w:b w:val="0"/>
                <w:sz w:val="17"/>
              </w:rPr>
              <w:t>Riscos e mitigações</w:t>
            </w:r>
          </w:p>
        </w:tc>
        <w:tc>
          <w:tcPr>
            <w:tcW w:type="dxa" w:w="7632"/>
            <w:vAlign w:val="top"/>
          </w:tcPr>
          <w:p>
            <w:r/>
            <w:r>
              <w:rPr>
                <w:rFonts w:ascii="Arial" w:hAnsi="Arial"/>
                <w:b w:val="0"/>
                <w:sz w:val="17"/>
              </w:rPr>
              <w:t>Cada fornecedor deve apresentar risco principal e medida de mitigação.</w:t>
            </w:r>
          </w:p>
        </w:tc>
      </w:tr>
      <w:tr>
        <w:tc>
          <w:tcPr>
            <w:tcW w:type="dxa" w:w="3312"/>
            <w:vAlign w:val="top"/>
          </w:tcPr>
          <w:p>
            <w:r/>
            <w:r>
              <w:rPr>
                <w:rFonts w:ascii="Arial" w:hAnsi="Arial"/>
                <w:b w:val="0"/>
                <w:sz w:val="17"/>
              </w:rPr>
              <w:t>Checagem de ambiente</w:t>
            </w:r>
          </w:p>
        </w:tc>
        <w:tc>
          <w:tcPr>
            <w:tcW w:type="dxa" w:w="7632"/>
            <w:vAlign w:val="top"/>
          </w:tcPr>
          <w:p>
            <w:r/>
            <w:r>
              <w:rPr>
                <w:rFonts w:ascii="Arial" w:hAnsi="Arial"/>
                <w:b w:val="0"/>
                <w:sz w:val="17"/>
              </w:rPr>
              <w:t>A aplicação deve indicar variáveis de ambiente configuradas ou ausentes.</w:t>
            </w:r>
          </w:p>
        </w:tc>
      </w:tr>
      <w:tr>
        <w:tc>
          <w:tcPr>
            <w:tcW w:type="dxa" w:w="3312"/>
            <w:vAlign w:val="top"/>
          </w:tcPr>
          <w:p>
            <w:r/>
            <w:r>
              <w:rPr>
                <w:rFonts w:ascii="Arial" w:hAnsi="Arial"/>
                <w:b w:val="0"/>
                <w:sz w:val="17"/>
              </w:rPr>
              <w:t>Registro de avaliação</w:t>
            </w:r>
          </w:p>
        </w:tc>
        <w:tc>
          <w:tcPr>
            <w:tcW w:type="dxa" w:w="7632"/>
            <w:vAlign w:val="top"/>
          </w:tcPr>
          <w:p>
            <w:r/>
            <w:r>
              <w:rPr>
                <w:rFonts w:ascii="Arial" w:hAnsi="Arial"/>
                <w:b w:val="0"/>
                <w:sz w:val="17"/>
              </w:rPr>
              <w:t>O usuário deve conseguir registrar avaliação por critério, status e observação.</w:t>
            </w:r>
          </w:p>
        </w:tc>
      </w:tr>
      <w:tr>
        <w:tc>
          <w:tcPr>
            <w:tcW w:type="dxa" w:w="3312"/>
            <w:vAlign w:val="top"/>
          </w:tcPr>
          <w:p>
            <w:r/>
            <w:r>
              <w:rPr>
                <w:rFonts w:ascii="Arial" w:hAnsi="Arial"/>
                <w:b w:val="0"/>
                <w:sz w:val="17"/>
              </w:rPr>
              <w:t>Histórico de avaliações</w:t>
            </w:r>
          </w:p>
        </w:tc>
        <w:tc>
          <w:tcPr>
            <w:tcW w:type="dxa" w:w="7632"/>
            <w:vAlign w:val="top"/>
          </w:tcPr>
          <w:p>
            <w:r/>
            <w:r>
              <w:rPr>
                <w:rFonts w:ascii="Arial" w:hAnsi="Arial"/>
                <w:b w:val="0"/>
                <w:sz w:val="17"/>
              </w:rPr>
              <w:t>A aplicação deve listar avaliações recentes.</w:t>
            </w:r>
          </w:p>
        </w:tc>
      </w:tr>
      <w:tr>
        <w:tc>
          <w:tcPr>
            <w:tcW w:type="dxa" w:w="3312"/>
            <w:vAlign w:val="top"/>
          </w:tcPr>
          <w:p>
            <w:r/>
            <w:r>
              <w:rPr>
                <w:rFonts w:ascii="Arial" w:hAnsi="Arial"/>
                <w:b w:val="0"/>
                <w:sz w:val="17"/>
              </w:rPr>
              <w:t>Credenciais</w:t>
            </w:r>
          </w:p>
        </w:tc>
        <w:tc>
          <w:tcPr>
            <w:tcW w:type="dxa" w:w="7632"/>
            <w:vAlign w:val="top"/>
          </w:tcPr>
          <w:p>
            <w:r/>
            <w:r>
              <w:rPr>
                <w:rFonts w:ascii="Arial" w:hAnsi="Arial"/>
                <w:b w:val="0"/>
                <w:sz w:val="17"/>
              </w:rPr>
              <w:t>Nenhuma credencial de fornecedor deve ser salva diretamente no código-fonte.</w:t>
            </w:r>
          </w:p>
        </w:tc>
      </w:tr>
    </w:tbl>
    <w:p/>
    <w:p>
      <w:pPr>
        <w:pStyle w:val="Heading1"/>
      </w:pPr>
      <w:r>
        <w:t>11. Evidências de implementação</w:t>
      </w:r>
    </w:p>
    <w:p>
      <w:pPr>
        <w:ind w:left="288" w:hanging="216"/>
      </w:pPr>
      <w:r>
        <w:rPr>
          <w:b/>
        </w:rPr>
        <w:t xml:space="preserve">• </w:t>
      </w:r>
      <w:r>
        <w:t>Criação do módulo `src/vendor_management.py`, responsável pelo inventário e avaliações de fornecedores.</w:t>
      </w:r>
    </w:p>
    <w:p>
      <w:pPr>
        <w:ind w:left="288" w:hanging="216"/>
      </w:pPr>
      <w:r>
        <w:rPr>
          <w:b/>
        </w:rPr>
        <w:t xml:space="preserve">• </w:t>
      </w:r>
      <w:r>
        <w:t>Atualização do `app.py` para incluir a área “Gestão de fornecedores”.</w:t>
      </w:r>
    </w:p>
    <w:p>
      <w:pPr>
        <w:ind w:left="288" w:hanging="216"/>
      </w:pPr>
      <w:r>
        <w:rPr>
          <w:b/>
        </w:rPr>
        <w:t xml:space="preserve">• </w:t>
      </w:r>
      <w:r>
        <w:t>Cadastro inicial de fornecedores e componentes padrão do projeto.</w:t>
      </w:r>
    </w:p>
    <w:p>
      <w:pPr>
        <w:ind w:left="288" w:hanging="216"/>
      </w:pPr>
      <w:r>
        <w:rPr>
          <w:b/>
        </w:rPr>
        <w:t xml:space="preserve">• </w:t>
      </w:r>
      <w:r>
        <w:t>Criação de banco local `vendors.db` para fornecedores e avaliações.</w:t>
      </w:r>
    </w:p>
    <w:p>
      <w:pPr>
        <w:ind w:left="288" w:hanging="216"/>
      </w:pPr>
      <w:r>
        <w:rPr>
          <w:b/>
        </w:rPr>
        <w:t xml:space="preserve">• </w:t>
      </w:r>
      <w:r>
        <w:t>Exportação do inventário de fornecedores em JSON.</w:t>
      </w:r>
    </w:p>
    <w:p>
      <w:pPr>
        <w:ind w:left="288" w:hanging="216"/>
      </w:pPr>
      <w:r>
        <w:rPr>
          <w:b/>
        </w:rPr>
        <w:t xml:space="preserve">• </w:t>
      </w:r>
      <w:r>
        <w:t>Checagem de variáveis de ambiente associadas a fornecedores críticos.</w:t>
      </w:r>
    </w:p>
    <w:p>
      <w:pPr>
        <w:ind w:left="288" w:hanging="216"/>
      </w:pPr>
      <w:r>
        <w:rPr>
          <w:b/>
        </w:rPr>
        <w:t xml:space="preserve">• </w:t>
      </w:r>
      <w:r>
        <w:t>Registro de eventos de avaliação em logs de segurança e privacidade.</w:t>
      </w:r>
    </w:p>
    <w:p>
      <w:pPr>
        <w:ind w:left="288" w:hanging="216"/>
      </w:pPr>
      <w:r>
        <w:rPr>
          <w:b/>
        </w:rPr>
        <w:t xml:space="preserve">• </w:t>
      </w:r>
      <w:r>
        <w:t>Atualização do `.env.example` com `VENDOR_DB_PATH` e parâmetros complementares.</w:t>
      </w:r>
    </w:p>
    <w:p>
      <w:pPr>
        <w:ind w:left="288" w:hanging="216"/>
      </w:pPr>
      <w:r>
        <w:rPr>
          <w:b/>
        </w:rPr>
        <w:t xml:space="preserve">• </w:t>
      </w:r>
      <w:r>
        <w:t>Atualização do `.gitignore` para impedir versionamento de bancos locais e arquivos sensíveis.</w:t>
      </w:r>
    </w:p>
    <w:p>
      <w:pPr>
        <w:pStyle w:val="Heading1"/>
      </w:pPr>
      <w:r>
        <w:t>12. Arquivos impactados</w:t>
      </w:r>
    </w:p>
    <w:tbl>
      <w:tblPr>
        <w:tblStyle w:val="TableGrid"/>
        <w:tblW w:type="auto" w:w="0"/>
        <w:jc w:val="center"/>
        <w:tblLook w:firstColumn="1" w:firstRow="1" w:lastColumn="0" w:lastRow="0" w:noHBand="0" w:noVBand="1" w:val="04A0"/>
      </w:tblPr>
      <w:tblGrid>
        <w:gridCol w:w="5112"/>
        <w:gridCol w:w="5112"/>
      </w:tblGrid>
      <w:tr>
        <w:tc>
          <w:tcPr>
            <w:tcW w:type="dxa" w:w="4032"/>
            <w:vAlign w:val="top"/>
            <w:shd w:fill="D9EAF7"/>
          </w:tcPr>
          <w:p>
            <w:r/>
            <w:r>
              <w:rPr>
                <w:rFonts w:ascii="Arial" w:hAnsi="Arial"/>
                <w:b/>
                <w:sz w:val="17"/>
              </w:rPr>
              <w:t>Arquivo</w:t>
            </w:r>
          </w:p>
        </w:tc>
        <w:tc>
          <w:tcPr>
            <w:tcW w:type="dxa" w:w="6912"/>
            <w:vAlign w:val="top"/>
            <w:shd w:fill="D9EAF7"/>
          </w:tcPr>
          <w:p>
            <w:r/>
            <w:r>
              <w:rPr>
                <w:rFonts w:ascii="Arial" w:hAnsi="Arial"/>
                <w:b/>
                <w:sz w:val="17"/>
              </w:rPr>
              <w:t>Descrição da alteração</w:t>
            </w:r>
          </w:p>
        </w:tc>
      </w:tr>
      <w:tr>
        <w:tc>
          <w:tcPr>
            <w:tcW w:type="dxa" w:w="4032"/>
            <w:vAlign w:val="top"/>
          </w:tcPr>
          <w:p>
            <w:r/>
            <w:r>
              <w:rPr>
                <w:rFonts w:ascii="Arial" w:hAnsi="Arial"/>
                <w:b w:val="0"/>
                <w:sz w:val="17"/>
              </w:rPr>
              <w:t>src/vendor_management.py</w:t>
            </w:r>
          </w:p>
        </w:tc>
        <w:tc>
          <w:tcPr>
            <w:tcW w:type="dxa" w:w="6912"/>
            <w:vAlign w:val="top"/>
          </w:tcPr>
          <w:p>
            <w:r/>
            <w:r>
              <w:rPr>
                <w:rFonts w:ascii="Arial" w:hAnsi="Arial"/>
                <w:b w:val="0"/>
                <w:sz w:val="17"/>
              </w:rPr>
              <w:t>Novo módulo de inventário, avaliação, exportação e checagem de fornecedores.</w:t>
            </w:r>
          </w:p>
        </w:tc>
      </w:tr>
      <w:tr>
        <w:tc>
          <w:tcPr>
            <w:tcW w:type="dxa" w:w="4032"/>
            <w:vAlign w:val="top"/>
          </w:tcPr>
          <w:p>
            <w:r/>
            <w:r>
              <w:rPr>
                <w:rFonts w:ascii="Arial" w:hAnsi="Arial"/>
                <w:b w:val="0"/>
                <w:sz w:val="17"/>
              </w:rPr>
              <w:t>app.py</w:t>
            </w:r>
          </w:p>
        </w:tc>
        <w:tc>
          <w:tcPr>
            <w:tcW w:type="dxa" w:w="6912"/>
            <w:vAlign w:val="top"/>
          </w:tcPr>
          <w:p>
            <w:r/>
            <w:r>
              <w:rPr>
                <w:rFonts w:ascii="Arial" w:hAnsi="Arial"/>
                <w:b w:val="0"/>
                <w:sz w:val="17"/>
              </w:rPr>
              <w:t>Inclui a área Gestão de fornecedores no fluxo autenticado da aplicação.</w:t>
            </w:r>
          </w:p>
        </w:tc>
      </w:tr>
      <w:tr>
        <w:tc>
          <w:tcPr>
            <w:tcW w:type="dxa" w:w="4032"/>
            <w:vAlign w:val="top"/>
          </w:tcPr>
          <w:p>
            <w:r/>
            <w:r>
              <w:rPr>
                <w:rFonts w:ascii="Arial" w:hAnsi="Arial"/>
                <w:b w:val="0"/>
                <w:sz w:val="17"/>
              </w:rPr>
              <w:t>.env.example</w:t>
            </w:r>
          </w:p>
        </w:tc>
        <w:tc>
          <w:tcPr>
            <w:tcW w:type="dxa" w:w="6912"/>
            <w:vAlign w:val="top"/>
          </w:tcPr>
          <w:p>
            <w:r/>
            <w:r>
              <w:rPr>
                <w:rFonts w:ascii="Arial" w:hAnsi="Arial"/>
                <w:b w:val="0"/>
                <w:sz w:val="17"/>
              </w:rPr>
              <w:t>Inclui variáveis usadas por fornecedores, integrações, backup, segurança e LGPD.</w:t>
            </w:r>
          </w:p>
        </w:tc>
      </w:tr>
      <w:tr>
        <w:tc>
          <w:tcPr>
            <w:tcW w:type="dxa" w:w="4032"/>
            <w:vAlign w:val="top"/>
          </w:tcPr>
          <w:p>
            <w:r/>
            <w:r>
              <w:rPr>
                <w:rFonts w:ascii="Arial" w:hAnsi="Arial"/>
                <w:b w:val="0"/>
                <w:sz w:val="17"/>
              </w:rPr>
              <w:t>.gitignore</w:t>
            </w:r>
          </w:p>
        </w:tc>
        <w:tc>
          <w:tcPr>
            <w:tcW w:type="dxa" w:w="6912"/>
            <w:vAlign w:val="top"/>
          </w:tcPr>
          <w:p>
            <w:r/>
            <w:r>
              <w:rPr>
                <w:rFonts w:ascii="Arial" w:hAnsi="Arial"/>
                <w:b w:val="0"/>
                <w:sz w:val="17"/>
              </w:rPr>
              <w:t>Evita versionamento de bancos locais, logs, backups, variáveis e arquivos sensíveis.</w:t>
            </w:r>
          </w:p>
        </w:tc>
      </w:tr>
      <w:tr>
        <w:tc>
          <w:tcPr>
            <w:tcW w:type="dxa" w:w="4032"/>
            <w:vAlign w:val="top"/>
          </w:tcPr>
          <w:p>
            <w:r/>
            <w:r>
              <w:rPr>
                <w:rFonts w:ascii="Arial" w:hAnsi="Arial"/>
                <w:b w:val="0"/>
                <w:sz w:val="17"/>
              </w:rPr>
              <w:t>Documentação do Projeto/10_Gestao_Fornecedores.md</w:t>
            </w:r>
          </w:p>
        </w:tc>
        <w:tc>
          <w:tcPr>
            <w:tcW w:type="dxa" w:w="6912"/>
            <w:vAlign w:val="top"/>
          </w:tcPr>
          <w:p>
            <w:r/>
            <w:r>
              <w:rPr>
                <w:rFonts w:ascii="Arial" w:hAnsi="Arial"/>
                <w:b w:val="0"/>
                <w:sz w:val="17"/>
              </w:rPr>
              <w:t>Documento técnico em Markdown da Entrega 6.</w:t>
            </w:r>
          </w:p>
        </w:tc>
      </w:tr>
      <w:tr>
        <w:tc>
          <w:tcPr>
            <w:tcW w:type="dxa" w:w="4032"/>
            <w:vAlign w:val="top"/>
          </w:tcPr>
          <w:p>
            <w:r/>
            <w:r>
              <w:rPr>
                <w:rFonts w:ascii="Arial" w:hAnsi="Arial"/>
                <w:b w:val="0"/>
                <w:sz w:val="17"/>
              </w:rPr>
              <w:t>Documentação do Projeto/6 - Documento_Requisito_Gestao_Fornecedores.docx</w:t>
            </w:r>
          </w:p>
        </w:tc>
        <w:tc>
          <w:tcPr>
            <w:tcW w:type="dxa" w:w="6912"/>
            <w:vAlign w:val="top"/>
          </w:tcPr>
          <w:p>
            <w:r/>
            <w:r>
              <w:rPr>
                <w:rFonts w:ascii="Arial" w:hAnsi="Arial"/>
                <w:b w:val="0"/>
                <w:sz w:val="17"/>
              </w:rPr>
              <w:t>Documento formal da Entrega 6.</w:t>
            </w:r>
          </w:p>
        </w:tc>
      </w:tr>
    </w:tbl>
    <w:p/>
    <w:p>
      <w:pPr>
        <w:pStyle w:val="Heading1"/>
      </w:pPr>
      <w:r>
        <w:t>13. Limitações e melhorias futuras</w:t>
      </w:r>
    </w:p>
    <w:p>
      <w:r>
        <w:t>A solução atende ao escopo acadêmico de gestão de fornecedores, mas não substitui um processo corporativo completo de terceiros. Em uma versão de produção, seria recomendável incluir due diligence formal, contratos, acordos de nível de serviço, revisão periódica de segurança, avaliação jurídica de operadores e controladores, termos de tratamento de dados, monitoramento de vulnerabilidades, inventário automatizado de dependências e responsáveis institucionais por cada fornecedor.</w:t>
      </w:r>
    </w:p>
    <w:p>
      <w:pPr>
        <w:pStyle w:val="Heading1"/>
      </w:pPr>
      <w:r>
        <w:t>14. Conclusão</w:t>
      </w:r>
    </w:p>
    <w:p>
      <w:r>
        <w:t>A sexta entrega adiciona ao PNCP Data Engine uma camada inicial de governança de fornecedores. O sistema passa a documentar os serviços, APIs, bibliotecas e componentes externos dos quais depende, indicando finalidade, criticidade, riscos, mitigação e configuração. Com isso, o projeto fecha o ciclo das seis entregas avaliadas, conectando autenticação, anonimização, LGPD, proteção contra ataques, backup e gestão de terceiros em uma estrutura coerente de segurança e governança.</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