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RELATÓRIO DE CONFERÊNCIA</w:t>
      </w:r>
    </w:p>
    <w:p>
      <w:pPr>
        <w:jc w:val="center"/>
      </w:pPr>
      <w:r>
        <w:rPr>
          <w:rFonts w:ascii="Arial" w:hAnsi="Arial"/>
          <w:sz w:val="22"/>
        </w:rPr>
        <w:t>Entregas 1 a 6 - PNCP Data Engine</w:t>
      </w:r>
    </w:p>
    <w:p>
      <w:pPr>
        <w:jc w:val="center"/>
      </w:pPr>
      <w:r>
        <w:rPr>
          <w:rFonts w:ascii="Arial" w:hAnsi="Arial"/>
          <w:sz w:val="17"/>
        </w:rPr>
        <w:t>Desenvolvido por: Lucas Ferreira de Vasconcelos Ribeiro, Luan Martins de Souza, Isaac Daniel Alvares Diniz, Antonio Tenorio Ferreira de Souza, Arthur Orange Vanderlei de Souza, Pedro Andre Falcao de Souza, Priscilla Maciel de Lima, Joao Lucas Santos Lira, Guilherme Chaves Sena</w:t>
      </w:r>
    </w:p>
    <w:p>
      <w:pPr>
        <w:jc w:val="center"/>
      </w:pPr>
      <w:r>
        <w:rPr>
          <w:rFonts w:ascii="Arial" w:hAnsi="Arial"/>
          <w:sz w:val="17"/>
        </w:rPr>
        <w:t>GitHub: https://github.com/Lukitas20-beep/ProjEngDados</w:t>
      </w:r>
    </w:p>
    <w:p/>
    <w:p>
      <w:r>
        <w:t>Este relatório resume a conferência entre os documentos de requisito enviados e o código atualizado do projeto. A revisão verificou se as entregas previstas no calendário estão refletidas em documentação, módulos de código, interface Streamlit e arquivos de configuração.</w:t>
      </w:r>
    </w:p>
    <w:p>
      <w:pPr>
        <w:pStyle w:val="Heading1"/>
      </w:pPr>
      <w:r>
        <w:t>1. Resultado geral</w:t>
      </w:r>
    </w:p>
    <w:p>
      <w:r>
        <w:t>Resultado: o projeto está coerente com as seis entregas solicitadas. Durante a revisão da Entrega 6, foram aplicados ajustes adicionais para alinhar o código ao que estava documentado nas entregas anteriores, especialmente na Entrega 5.</w:t>
      </w:r>
    </w:p>
    <w:p>
      <w:pPr>
        <w:pStyle w:val="Heading1"/>
      </w:pPr>
      <w:r>
        <w:t>2. Ajustes aplicados nesta revisão</w:t>
      </w:r>
    </w:p>
    <w:p>
      <w:pPr>
        <w:ind w:left="288" w:hanging="216"/>
      </w:pPr>
      <w:r>
        <w:rPr>
          <w:b/>
        </w:rPr>
        <w:t xml:space="preserve">• </w:t>
      </w:r>
      <w:r>
        <w:t>A área “Backup e continuidade de operação” passou a ser chamada dentro da tela principal do Streamlit.</w:t>
      </w:r>
    </w:p>
    <w:p>
      <w:pPr>
        <w:ind w:left="288" w:hanging="216"/>
      </w:pPr>
      <w:r>
        <w:rPr>
          <w:b/>
        </w:rPr>
        <w:t xml:space="preserve">• </w:t>
      </w:r>
      <w:r>
        <w:t>Foi criado o módulo `src/vendor_management.py` para atender à Entrega 6.</w:t>
      </w:r>
    </w:p>
    <w:p>
      <w:pPr>
        <w:ind w:left="288" w:hanging="216"/>
      </w:pPr>
      <w:r>
        <w:rPr>
          <w:b/>
        </w:rPr>
        <w:t xml:space="preserve">• </w:t>
      </w:r>
      <w:r>
        <w:t>Foi adicionada a área “Gestão de fornecedores” no `app.py`.</w:t>
      </w:r>
    </w:p>
    <w:p>
      <w:pPr>
        <w:ind w:left="288" w:hanging="216"/>
      </w:pPr>
      <w:r>
        <w:rPr>
          <w:b/>
        </w:rPr>
        <w:t xml:space="preserve">• </w:t>
      </w:r>
      <w:r>
        <w:t>O `.env.example` foi ampliado para contemplar variáveis das Entregas 1 a 6.</w:t>
      </w:r>
    </w:p>
    <w:p>
      <w:pPr>
        <w:ind w:left="288" w:hanging="216"/>
      </w:pPr>
      <w:r>
        <w:rPr>
          <w:b/>
        </w:rPr>
        <w:t xml:space="preserve">• </w:t>
      </w:r>
      <w:r>
        <w:t>O `.gitignore` foi reforçado para bancos locais, logs, backups, caches e arquivos sensíveis.</w:t>
      </w:r>
    </w:p>
    <w:p>
      <w:pPr>
        <w:ind w:left="288" w:hanging="216"/>
      </w:pPr>
      <w:r>
        <w:rPr>
          <w:b/>
        </w:rPr>
        <w:t xml:space="preserve">• </w:t>
      </w:r>
      <w:r>
        <w:t>A pasta de documentação foi normalizada para `Documentação do Projeto`.</w:t>
      </w:r>
    </w:p>
    <w:p>
      <w:pPr>
        <w:pStyle w:val="Heading1"/>
      </w:pPr>
      <w:r>
        <w:t>3. Conferência por entrega</w:t>
      </w:r>
    </w:p>
    <w:tbl>
      <w:tblPr>
        <w:tblStyle w:val="TableGrid"/>
        <w:tblW w:type="auto" w:w="0"/>
        <w:jc w:val="center"/>
        <w:tblLook w:firstColumn="1" w:firstRow="1" w:lastColumn="0" w:lastRow="0" w:noHBand="0" w:noVBand="1" w:val="04A0"/>
      </w:tblPr>
      <w:tblGrid>
        <w:gridCol w:w="3408"/>
        <w:gridCol w:w="3408"/>
        <w:gridCol w:w="3408"/>
      </w:tblGrid>
      <w:tr>
        <w:tc>
          <w:tcPr>
            <w:tcW w:type="dxa" w:w="2664"/>
            <w:vAlign w:val="top"/>
            <w:shd w:fill="D9EAF7"/>
          </w:tcPr>
          <w:p>
            <w:r/>
            <w:r>
              <w:rPr>
                <w:rFonts w:ascii="Arial" w:hAnsi="Arial"/>
                <w:b/>
                <w:sz w:val="17"/>
              </w:rPr>
              <w:t>Entrega</w:t>
            </w:r>
          </w:p>
        </w:tc>
        <w:tc>
          <w:tcPr>
            <w:tcW w:type="dxa" w:w="1872"/>
            <w:vAlign w:val="top"/>
            <w:shd w:fill="D9EAF7"/>
          </w:tcPr>
          <w:p>
            <w:r/>
            <w:r>
              <w:rPr>
                <w:rFonts w:ascii="Arial" w:hAnsi="Arial"/>
                <w:b/>
                <w:sz w:val="17"/>
              </w:rPr>
              <w:t>Status</w:t>
            </w:r>
          </w:p>
        </w:tc>
        <w:tc>
          <w:tcPr>
            <w:tcW w:type="dxa" w:w="6408"/>
            <w:vAlign w:val="top"/>
            <w:shd w:fill="D9EAF7"/>
          </w:tcPr>
          <w:p>
            <w:r/>
            <w:r>
              <w:rPr>
                <w:rFonts w:ascii="Arial" w:hAnsi="Arial"/>
                <w:b/>
                <w:sz w:val="17"/>
              </w:rPr>
              <w:t>Evidência no código/documentação</w:t>
            </w:r>
          </w:p>
        </w:tc>
      </w:tr>
      <w:tr>
        <w:tc>
          <w:tcPr>
            <w:tcW w:type="dxa" w:w="2664"/>
            <w:vAlign w:val="top"/>
          </w:tcPr>
          <w:p>
            <w:r/>
            <w:r>
              <w:rPr>
                <w:rFonts w:ascii="Arial" w:hAnsi="Arial"/>
                <w:b w:val="0"/>
                <w:sz w:val="17"/>
              </w:rPr>
              <w:t>1 - Autenticação e senhas</w:t>
            </w:r>
          </w:p>
        </w:tc>
        <w:tc>
          <w:tcPr>
            <w:tcW w:type="dxa" w:w="1872"/>
            <w:vAlign w:val="top"/>
          </w:tcPr>
          <w:p>
            <w:r/>
            <w:r>
              <w:rPr>
                <w:rFonts w:ascii="Arial" w:hAnsi="Arial"/>
                <w:b w:val="0"/>
                <w:sz w:val="17"/>
              </w:rPr>
              <w:t>OK</w:t>
            </w:r>
          </w:p>
        </w:tc>
        <w:tc>
          <w:tcPr>
            <w:tcW w:type="dxa" w:w="6408"/>
            <w:vAlign w:val="top"/>
          </w:tcPr>
          <w:p>
            <w:r/>
            <w:r>
              <w:rPr>
                <w:rFonts w:ascii="Arial" w:hAnsi="Arial"/>
                <w:b w:val="0"/>
                <w:sz w:val="17"/>
              </w:rPr>
              <w:t>`src/auth.py`, login/cadastro, alteração de senha, bcrypt, sessão e bloqueio de acesso não autenticado.</w:t>
            </w:r>
          </w:p>
        </w:tc>
      </w:tr>
      <w:tr>
        <w:tc>
          <w:tcPr>
            <w:tcW w:type="dxa" w:w="2664"/>
            <w:vAlign w:val="top"/>
          </w:tcPr>
          <w:p>
            <w:r/>
            <w:r>
              <w:rPr>
                <w:rFonts w:ascii="Arial" w:hAnsi="Arial"/>
                <w:b w:val="0"/>
                <w:sz w:val="17"/>
              </w:rPr>
              <w:t>2 - Dados em repouso/anonimização</w:t>
            </w:r>
          </w:p>
        </w:tc>
        <w:tc>
          <w:tcPr>
            <w:tcW w:type="dxa" w:w="1872"/>
            <w:vAlign w:val="top"/>
          </w:tcPr>
          <w:p>
            <w:r/>
            <w:r>
              <w:rPr>
                <w:rFonts w:ascii="Arial" w:hAnsi="Arial"/>
                <w:b w:val="0"/>
                <w:sz w:val="17"/>
              </w:rPr>
              <w:t>OK</w:t>
            </w:r>
          </w:p>
        </w:tc>
        <w:tc>
          <w:tcPr>
            <w:tcW w:type="dxa" w:w="6408"/>
            <w:vAlign w:val="top"/>
          </w:tcPr>
          <w:p>
            <w:r/>
            <w:r>
              <w:rPr>
                <w:rFonts w:ascii="Arial" w:hAnsi="Arial"/>
                <w:b w:val="0"/>
                <w:sz w:val="17"/>
              </w:rPr>
              <w:t>`src/data_security.py`, anonimização, mascaramento, hash de campos sensíveis e carga anonimizada no MongoDB.</w:t>
            </w:r>
          </w:p>
        </w:tc>
      </w:tr>
      <w:tr>
        <w:tc>
          <w:tcPr>
            <w:tcW w:type="dxa" w:w="2664"/>
            <w:vAlign w:val="top"/>
          </w:tcPr>
          <w:p>
            <w:r/>
            <w:r>
              <w:rPr>
                <w:rFonts w:ascii="Arial" w:hAnsi="Arial"/>
                <w:b w:val="0"/>
                <w:sz w:val="17"/>
              </w:rPr>
              <w:t>3 - LGPD</w:t>
            </w:r>
          </w:p>
        </w:tc>
        <w:tc>
          <w:tcPr>
            <w:tcW w:type="dxa" w:w="1872"/>
            <w:vAlign w:val="top"/>
          </w:tcPr>
          <w:p>
            <w:r/>
            <w:r>
              <w:rPr>
                <w:rFonts w:ascii="Arial" w:hAnsi="Arial"/>
                <w:b w:val="0"/>
                <w:sz w:val="17"/>
              </w:rPr>
              <w:t>OK</w:t>
            </w:r>
          </w:p>
        </w:tc>
        <w:tc>
          <w:tcPr>
            <w:tcW w:type="dxa" w:w="6408"/>
            <w:vAlign w:val="top"/>
          </w:tcPr>
          <w:p>
            <w:r/>
            <w:r>
              <w:rPr>
                <w:rFonts w:ascii="Arial" w:hAnsi="Arial"/>
                <w:b w:val="0"/>
                <w:sz w:val="17"/>
              </w:rPr>
              <w:t>`src/lgpd.py`, aviso de privacidade, aceite, registro de tratamento, solicitações do titular e exportação JSON.</w:t>
            </w:r>
          </w:p>
        </w:tc>
      </w:tr>
      <w:tr>
        <w:tc>
          <w:tcPr>
            <w:tcW w:type="dxa" w:w="2664"/>
            <w:vAlign w:val="top"/>
          </w:tcPr>
          <w:p>
            <w:r/>
            <w:r>
              <w:rPr>
                <w:rFonts w:ascii="Arial" w:hAnsi="Arial"/>
                <w:b w:val="0"/>
                <w:sz w:val="17"/>
              </w:rPr>
              <w:t>4 - Disponibilidade/proteção</w:t>
            </w:r>
          </w:p>
        </w:tc>
        <w:tc>
          <w:tcPr>
            <w:tcW w:type="dxa" w:w="1872"/>
            <w:vAlign w:val="top"/>
          </w:tcPr>
          <w:p>
            <w:r/>
            <w:r>
              <w:rPr>
                <w:rFonts w:ascii="Arial" w:hAnsi="Arial"/>
                <w:b w:val="0"/>
                <w:sz w:val="17"/>
              </w:rPr>
              <w:t>OK</w:t>
            </w:r>
          </w:p>
        </w:tc>
        <w:tc>
          <w:tcPr>
            <w:tcW w:type="dxa" w:w="6408"/>
            <w:vAlign w:val="top"/>
          </w:tcPr>
          <w:p>
            <w:r/>
            <w:r>
              <w:rPr>
                <w:rFonts w:ascii="Arial" w:hAnsi="Arial"/>
                <w:b w:val="0"/>
                <w:sz w:val="17"/>
              </w:rPr>
              <w:t>`src/security.py`, limite de login, logs, validações, health checks, timeout/retentativas e sanitização.</w:t>
            </w:r>
          </w:p>
        </w:tc>
      </w:tr>
      <w:tr>
        <w:tc>
          <w:tcPr>
            <w:tcW w:type="dxa" w:w="2664"/>
            <w:vAlign w:val="top"/>
          </w:tcPr>
          <w:p>
            <w:r/>
            <w:r>
              <w:rPr>
                <w:rFonts w:ascii="Arial" w:hAnsi="Arial"/>
                <w:b w:val="0"/>
                <w:sz w:val="17"/>
              </w:rPr>
              <w:t>5 - Backup/continuidade</w:t>
            </w:r>
          </w:p>
        </w:tc>
        <w:tc>
          <w:tcPr>
            <w:tcW w:type="dxa" w:w="1872"/>
            <w:vAlign w:val="top"/>
          </w:tcPr>
          <w:p>
            <w:r/>
            <w:r>
              <w:rPr>
                <w:rFonts w:ascii="Arial" w:hAnsi="Arial"/>
                <w:b w:val="0"/>
                <w:sz w:val="17"/>
              </w:rPr>
              <w:t>OK após ajuste</w:t>
            </w:r>
          </w:p>
        </w:tc>
        <w:tc>
          <w:tcPr>
            <w:tcW w:type="dxa" w:w="6408"/>
            <w:vAlign w:val="top"/>
          </w:tcPr>
          <w:p>
            <w:r/>
            <w:r>
              <w:rPr>
                <w:rFonts w:ascii="Arial" w:hAnsi="Arial"/>
                <w:b w:val="0"/>
                <w:sz w:val="17"/>
              </w:rPr>
              <w:t>`src/backup.py` já existia; a chamada da tela foi integrada ao fluxo principal do `app.py`.</w:t>
            </w:r>
          </w:p>
        </w:tc>
      </w:tr>
      <w:tr>
        <w:tc>
          <w:tcPr>
            <w:tcW w:type="dxa" w:w="2664"/>
            <w:vAlign w:val="top"/>
          </w:tcPr>
          <w:p>
            <w:r/>
            <w:r>
              <w:rPr>
                <w:rFonts w:ascii="Arial" w:hAnsi="Arial"/>
                <w:b w:val="0"/>
                <w:sz w:val="17"/>
              </w:rPr>
              <w:t>6 - Gestão de fornecedores</w:t>
            </w:r>
          </w:p>
        </w:tc>
        <w:tc>
          <w:tcPr>
            <w:tcW w:type="dxa" w:w="1872"/>
            <w:vAlign w:val="top"/>
          </w:tcPr>
          <w:p>
            <w:r/>
            <w:r>
              <w:rPr>
                <w:rFonts w:ascii="Arial" w:hAnsi="Arial"/>
                <w:b w:val="0"/>
                <w:sz w:val="17"/>
              </w:rPr>
              <w:t>OK implementada</w:t>
            </w:r>
          </w:p>
        </w:tc>
        <w:tc>
          <w:tcPr>
            <w:tcW w:type="dxa" w:w="6408"/>
            <w:vAlign w:val="top"/>
          </w:tcPr>
          <w:p>
            <w:r/>
            <w:r>
              <w:rPr>
                <w:rFonts w:ascii="Arial" w:hAnsi="Arial"/>
                <w:b w:val="0"/>
                <w:sz w:val="17"/>
              </w:rPr>
              <w:t>`src/vendor_management.py`, inventário, criticidade, riscos, mitigação, avaliações e exportação JSON.</w:t>
            </w:r>
          </w:p>
        </w:tc>
      </w:tr>
    </w:tbl>
    <w:p/>
    <w:p>
      <w:pPr>
        <w:pStyle w:val="Heading1"/>
      </w:pPr>
      <w:r>
        <w:t>4. Pontos de atenção para apresentação ao professor</w:t>
      </w:r>
    </w:p>
    <w:p>
      <w:pPr>
        <w:ind w:left="288" w:hanging="216"/>
      </w:pPr>
      <w:r>
        <w:rPr>
          <w:b/>
        </w:rPr>
        <w:t xml:space="preserve">• </w:t>
      </w:r>
      <w:r>
        <w:t>Explicar que o projeto é acadêmico/MVP; portanto, os controles são proporcionais ao escopo da disciplina.</w:t>
      </w:r>
    </w:p>
    <w:p>
      <w:pPr>
        <w:ind w:left="288" w:hanging="216"/>
      </w:pPr>
      <w:r>
        <w:rPr>
          <w:b/>
        </w:rPr>
        <w:t xml:space="preserve">• </w:t>
      </w:r>
      <w:r>
        <w:t>Mostrar que cada entrega tem módulo próprio ou área clara na aplicação.</w:t>
      </w:r>
    </w:p>
    <w:p>
      <w:pPr>
        <w:ind w:left="288" w:hanging="216"/>
      </w:pPr>
      <w:r>
        <w:rPr>
          <w:b/>
        </w:rPr>
        <w:t xml:space="preserve">• </w:t>
      </w:r>
      <w:r>
        <w:t>Destacar que credenciais ficam em `.env` e não no código-fonte.</w:t>
      </w:r>
    </w:p>
    <w:p>
      <w:pPr>
        <w:ind w:left="288" w:hanging="216"/>
      </w:pPr>
      <w:r>
        <w:rPr>
          <w:b/>
        </w:rPr>
        <w:t xml:space="preserve">• </w:t>
      </w:r>
      <w:r>
        <w:t>Mostrar o fluxo autenticado antes de acessar LGPD, backup e fornecedores.</w:t>
      </w:r>
    </w:p>
    <w:p>
      <w:pPr>
        <w:ind w:left="288" w:hanging="216"/>
      </w:pPr>
      <w:r>
        <w:rPr>
          <w:b/>
        </w:rPr>
        <w:t xml:space="preserve">• </w:t>
      </w:r>
      <w:r>
        <w:t>Para a Entrega 6, abrir a área “Gestão de fornecedores” e mostrar inventário, checagem de variáveis e registro de avaliação.</w:t>
      </w:r>
    </w:p>
    <w:p>
      <w:pPr>
        <w:pStyle w:val="Heading1"/>
      </w:pPr>
      <w:r>
        <w:t>5. Conclusão</w:t>
      </w:r>
    </w:p>
    <w:p>
      <w:r>
        <w:t>Com os ajustes aplicados, o código e a documentação estão alinhados ao conjunto das seis entregas do projeto integrado. A implementação cobre segurança de acesso, proteção de dados em repouso, governança LGPD, resiliência contra falhas/ataques, backup/continuidade e gestão de fornecedores.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