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DOCUMENTO DE REQUISITO</w:t>
      </w:r>
    </w:p>
    <w:p>
      <w:pPr>
        <w:jc w:val="center"/>
      </w:pPr>
      <w:r>
        <w:rPr>
          <w:b/>
          <w:sz w:val="30"/>
        </w:rPr>
        <w:t>Atendimento a Requisitos de LGPD</w:t>
      </w:r>
    </w:p>
    <w:p>
      <w:pPr>
        <w:jc w:val="center"/>
      </w:pPr>
      <w:r>
        <w:rPr>
          <w:sz w:val="22"/>
        </w:rPr>
        <w:t>Projeto Integrado - PNCP Data Engine</w:t>
      </w:r>
    </w:p>
    <w:p>
      <w:pPr>
        <w:jc w:val="center"/>
      </w:pPr>
      <w:r>
        <w:t>Desenvolvido por: Lucas Ferreira, Isaac Daniel, Arthur Orange, Antônio, Guilherme, Gabriel Garcia, Priscila Maciel e João Lucas Santos Lira</w:t>
      </w:r>
    </w:p>
    <w:p>
      <w:pPr>
        <w:jc w:val="center"/>
      </w:pPr>
      <w:r>
        <w:t>GitHub: https://github.com/Lukitas20-beep/ProjEngDados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024"/>
            <w:vAlign w:val="center"/>
            <w:shd w:fill="D9EAF7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/>
                <w:sz w:val="17"/>
              </w:rPr>
              <w:t>Campo</w:t>
            </w:r>
          </w:p>
        </w:tc>
        <w:tc>
          <w:tcPr>
            <w:tcW w:type="dxa" w:w="7632"/>
            <w:vAlign w:val="center"/>
            <w:shd w:fill="D9EAF7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/>
                <w:sz w:val="17"/>
              </w:rPr>
              <w:t>Descrição</w:t>
            </w:r>
          </w:p>
        </w:tc>
      </w:tr>
      <w:tr>
        <w:tc>
          <w:tcPr>
            <w:tcW w:type="dxa" w:w="3024"/>
            <w:vAlign w:val="center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Requisito avaliado</w:t>
            </w:r>
          </w:p>
        </w:tc>
        <w:tc>
          <w:tcPr>
            <w:tcW w:type="dxa" w:w="7632"/>
            <w:vAlign w:val="center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3 - Atendimento a requisitos de LGPD</w:t>
            </w:r>
          </w:p>
        </w:tc>
      </w:tr>
      <w:tr>
        <w:tc>
          <w:tcPr>
            <w:tcW w:type="dxa" w:w="3024"/>
            <w:vAlign w:val="center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Período de documentação</w:t>
            </w:r>
          </w:p>
        </w:tc>
        <w:tc>
          <w:tcPr>
            <w:tcW w:type="dxa" w:w="7632"/>
            <w:vAlign w:val="center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20-21/05</w:t>
            </w:r>
          </w:p>
        </w:tc>
      </w:tr>
      <w:tr>
        <w:tc>
          <w:tcPr>
            <w:tcW w:type="dxa" w:w="3024"/>
            <w:vAlign w:val="center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Data de avaliação da implementação</w:t>
            </w:r>
          </w:p>
        </w:tc>
        <w:tc>
          <w:tcPr>
            <w:tcW w:type="dxa" w:w="7632"/>
            <w:vAlign w:val="center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10-11/06</w:t>
            </w:r>
          </w:p>
        </w:tc>
      </w:tr>
      <w:tr>
        <w:tc>
          <w:tcPr>
            <w:tcW w:type="dxa" w:w="3024"/>
            <w:vAlign w:val="center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Sistema</w:t>
            </w:r>
          </w:p>
        </w:tc>
        <w:tc>
          <w:tcPr>
            <w:tcW w:type="dxa" w:w="7632"/>
            <w:vAlign w:val="center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Aplicação Streamlit para extração, transformação, visualização e carga de dados do PNCP</w:t>
            </w:r>
          </w:p>
        </w:tc>
      </w:tr>
      <w:tr>
        <w:tc>
          <w:tcPr>
            <w:tcW w:type="dxa" w:w="3024"/>
            <w:vAlign w:val="center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Versão do documento</w:t>
            </w:r>
          </w:p>
        </w:tc>
        <w:tc>
          <w:tcPr>
            <w:tcW w:type="dxa" w:w="7632"/>
            <w:vAlign w:val="center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1.0</w:t>
            </w:r>
          </w:p>
        </w:tc>
      </w:tr>
    </w:tbl>
    <w:p/>
    <w:p>
      <w:pPr>
        <w:pStyle w:val="Heading1"/>
      </w:pPr>
      <w:r>
        <w:t>1. Contexto do requisito</w:t>
      </w:r>
    </w:p>
    <w:p>
      <w:r>
        <w:t>O PNCP Data Engine realiza extração, transformação, visualização e carga de dados obtidos a partir da API do Portal Nacional de Contratações Públicas. Nas entregas anteriores, o sistema passou a contar com autenticação de usuários, cadastro, login, logout, alteração de senha, senha armazenada com hash, externalização de credenciais, anonimização preventiva e cuidados com dados em repouso.</w:t>
      </w:r>
    </w:p>
    <w:p>
      <w:r>
        <w:t>A terceira entrega acrescenta uma camada de conformidade com a Lei Geral de Proteção de Dados Pessoais (LGPD), organizando o tratamento de dados pessoais realizado pelo sistema, especialmente os dados de cadastro dos usuários. A entrega não substitui uma adequação jurídica completa, mas cria mecanismos técnicos e documentais compatíveis com um projeto acadêmico: aviso de privacidade, aceite do usuário, registro simplificado das operações de tratamento, canal para solicitações do titular e evidências de minimização, segurança e transparência.</w:t>
      </w:r>
    </w:p>
    <w:p>
      <w:pPr>
        <w:pStyle w:val="Heading1"/>
      </w:pPr>
      <w:r>
        <w:t>2. Objetivo do requisito</w:t>
      </w:r>
    </w:p>
    <w:p>
      <w:r>
        <w:t>Implementar e documentar mecanismos básicos de atendimento à LGPD no PNCP Data Engine, garantindo que o usuário seja informado sobre o tratamento de seus dados pessoais, registre aceite do aviso de privacidade, tenha acesso aos seus dados de cadastro e possa formalizar solicitações relacionadas aos direitos do titular. O requisito também busca consolidar as entregas anteriores como salvaguardas de segurança e privacidade.</w:t>
      </w:r>
    </w:p>
    <w:p>
      <w:pPr>
        <w:pStyle w:val="Heading1"/>
      </w:pPr>
      <w:r>
        <w:t>3. Escopo da entrega</w:t>
      </w:r>
    </w:p>
    <w:p>
      <w:pPr>
        <w:pStyle w:val="ListBullet"/>
      </w:pPr>
      <w:r>
        <w:t>Criação de módulo específico para controles de LGPD e privacidade.</w:t>
      </w:r>
    </w:p>
    <w:p>
      <w:pPr>
        <w:pStyle w:val="ListBullet"/>
      </w:pPr>
      <w:r>
        <w:t>Inclusão de aviso de privacidade na aplicação Streamlit.</w:t>
      </w:r>
    </w:p>
    <w:p>
      <w:pPr>
        <w:pStyle w:val="ListBullet"/>
      </w:pPr>
      <w:r>
        <w:t>Registro do aceite da política de privacidade por usuário e versão do documento.</w:t>
      </w:r>
    </w:p>
    <w:p>
      <w:pPr>
        <w:pStyle w:val="ListBullet"/>
      </w:pPr>
      <w:r>
        <w:t>Bloqueio do acesso à aplicação principal até o aceite do aviso de privacidade.</w:t>
      </w:r>
    </w:p>
    <w:p>
      <w:pPr>
        <w:pStyle w:val="ListBullet"/>
      </w:pPr>
      <w:r>
        <w:t>Criação de registro simplificado das operações de tratamento de dados pessoais.</w:t>
      </w:r>
    </w:p>
    <w:p>
      <w:pPr>
        <w:pStyle w:val="ListBullet"/>
      </w:pPr>
      <w:r>
        <w:t>Criação de área na interface para consulta de dados pessoais do usuário autenticado.</w:t>
      </w:r>
    </w:p>
    <w:p>
      <w:pPr>
        <w:pStyle w:val="ListBullet"/>
      </w:pPr>
      <w:r>
        <w:t>Exportação dos dados do usuário em formato JSON.</w:t>
      </w:r>
    </w:p>
    <w:p>
      <w:pPr>
        <w:pStyle w:val="ListBullet"/>
      </w:pPr>
      <w:r>
        <w:t>Criação de canal interno para solicitações do titular, como acesso, correção, eliminação, anonimização, oposição ou informação sobre tratamento.</w:t>
      </w:r>
    </w:p>
    <w:p>
      <w:pPr>
        <w:pStyle w:val="ListBullet"/>
      </w:pPr>
      <w:r>
        <w:t>Registro de eventos básicos de privacidade, como login, logout, aceite da política e solicitação do titular.</w:t>
      </w:r>
    </w:p>
    <w:p>
      <w:pPr>
        <w:pStyle w:val="ListBullet"/>
      </w:pPr>
      <w:r>
        <w:t>Documentação das bases legais, finalidades, dados tratados e prazos gerais de retenção.</w:t>
      </w:r>
    </w:p>
    <w:p>
      <w:pPr>
        <w:pStyle w:val="Heading1"/>
      </w:pPr>
      <w:r>
        <w:t>4. Requisitos funcionais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1152"/>
            <w:vAlign w:val="center"/>
            <w:shd w:fill="D9EAF7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/>
                <w:sz w:val="17"/>
              </w:rPr>
              <w:t>Código</w:t>
            </w:r>
          </w:p>
        </w:tc>
        <w:tc>
          <w:tcPr>
            <w:tcW w:type="dxa" w:w="2880"/>
            <w:vAlign w:val="center"/>
            <w:shd w:fill="D9EAF7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/>
                <w:sz w:val="17"/>
              </w:rPr>
              <w:t>Requisito funcional</w:t>
            </w:r>
          </w:p>
        </w:tc>
        <w:tc>
          <w:tcPr>
            <w:tcW w:type="dxa" w:w="6480"/>
            <w:vAlign w:val="center"/>
            <w:shd w:fill="D9EAF7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/>
                <w:sz w:val="17"/>
              </w:rPr>
              <w:t>Descrição</w:t>
            </w:r>
          </w:p>
        </w:tc>
      </w:tr>
      <w:tr>
        <w:tc>
          <w:tcPr>
            <w:tcW w:type="dxa" w:w="1152"/>
            <w:vAlign w:val="center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RF01</w:t>
            </w:r>
          </w:p>
        </w:tc>
        <w:tc>
          <w:tcPr>
            <w:tcW w:type="dxa" w:w="2880"/>
            <w:vAlign w:val="center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Aviso de privacidade</w:t>
            </w:r>
          </w:p>
        </w:tc>
        <w:tc>
          <w:tcPr>
            <w:tcW w:type="dxa" w:w="6480"/>
            <w:vAlign w:val="center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O sistema deve apresentar ao usuário um aviso de privacidade informando dados tratados, finalidades e direitos.</w:t>
            </w:r>
          </w:p>
        </w:tc>
      </w:tr>
      <w:tr>
        <w:tc>
          <w:tcPr>
            <w:tcW w:type="dxa" w:w="1152"/>
            <w:vAlign w:val="center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RF02</w:t>
            </w:r>
          </w:p>
        </w:tc>
        <w:tc>
          <w:tcPr>
            <w:tcW w:type="dxa" w:w="2880"/>
            <w:vAlign w:val="center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Aceite da política</w:t>
            </w:r>
          </w:p>
        </w:tc>
        <w:tc>
          <w:tcPr>
            <w:tcW w:type="dxa" w:w="6480"/>
            <w:vAlign w:val="center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O sistema deve registrar a data, hora e versão da política de privacidade aceita pelo usuário.</w:t>
            </w:r>
          </w:p>
        </w:tc>
      </w:tr>
      <w:tr>
        <w:tc>
          <w:tcPr>
            <w:tcW w:type="dxa" w:w="1152"/>
            <w:vAlign w:val="center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RF03</w:t>
            </w:r>
          </w:p>
        </w:tc>
        <w:tc>
          <w:tcPr>
            <w:tcW w:type="dxa" w:w="2880"/>
            <w:vAlign w:val="center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Bloqueio sem aceite</w:t>
            </w:r>
          </w:p>
        </w:tc>
        <w:tc>
          <w:tcPr>
            <w:tcW w:type="dxa" w:w="6480"/>
            <w:vAlign w:val="center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O sistema deve impedir o acesso à tela principal enquanto a política vigente não for aceita.</w:t>
            </w:r>
          </w:p>
        </w:tc>
      </w:tr>
      <w:tr>
        <w:tc>
          <w:tcPr>
            <w:tcW w:type="dxa" w:w="1152"/>
            <w:vAlign w:val="center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RF04</w:t>
            </w:r>
          </w:p>
        </w:tc>
        <w:tc>
          <w:tcPr>
            <w:tcW w:type="dxa" w:w="2880"/>
            <w:vAlign w:val="center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Registro de tratamento</w:t>
            </w:r>
          </w:p>
        </w:tc>
        <w:tc>
          <w:tcPr>
            <w:tcW w:type="dxa" w:w="6480"/>
            <w:vAlign w:val="center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O sistema deve exibir um registro simplificado das operações de tratamento de dados pessoais.</w:t>
            </w:r>
          </w:p>
        </w:tc>
      </w:tr>
      <w:tr>
        <w:tc>
          <w:tcPr>
            <w:tcW w:type="dxa" w:w="1152"/>
            <w:vAlign w:val="center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RF05</w:t>
            </w:r>
          </w:p>
        </w:tc>
        <w:tc>
          <w:tcPr>
            <w:tcW w:type="dxa" w:w="2880"/>
            <w:vAlign w:val="center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Consulta dos dados do usuário</w:t>
            </w:r>
          </w:p>
        </w:tc>
        <w:tc>
          <w:tcPr>
            <w:tcW w:type="dxa" w:w="6480"/>
            <w:vAlign w:val="center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O usuário autenticado deve conseguir visualizar seus dados de cadastro mantidos pelo sistema.</w:t>
            </w:r>
          </w:p>
        </w:tc>
      </w:tr>
      <w:tr>
        <w:tc>
          <w:tcPr>
            <w:tcW w:type="dxa" w:w="1152"/>
            <w:vAlign w:val="center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RF06</w:t>
            </w:r>
          </w:p>
        </w:tc>
        <w:tc>
          <w:tcPr>
            <w:tcW w:type="dxa" w:w="2880"/>
            <w:vAlign w:val="center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Exportação dos dados</w:t>
            </w:r>
          </w:p>
        </w:tc>
        <w:tc>
          <w:tcPr>
            <w:tcW w:type="dxa" w:w="6480"/>
            <w:vAlign w:val="center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O usuário deve conseguir baixar seus dados de cadastro em formato JSON.</w:t>
            </w:r>
          </w:p>
        </w:tc>
      </w:tr>
      <w:tr>
        <w:tc>
          <w:tcPr>
            <w:tcW w:type="dxa" w:w="1152"/>
            <w:vAlign w:val="center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RF07</w:t>
            </w:r>
          </w:p>
        </w:tc>
        <w:tc>
          <w:tcPr>
            <w:tcW w:type="dxa" w:w="2880"/>
            <w:vAlign w:val="center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Solicitações do titular</w:t>
            </w:r>
          </w:p>
        </w:tc>
        <w:tc>
          <w:tcPr>
            <w:tcW w:type="dxa" w:w="6480"/>
            <w:vAlign w:val="center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O sistema deve permitir registrar solicitações relacionadas aos direitos do titular.</w:t>
            </w:r>
          </w:p>
        </w:tc>
      </w:tr>
      <w:tr>
        <w:tc>
          <w:tcPr>
            <w:tcW w:type="dxa" w:w="1152"/>
            <w:vAlign w:val="center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RF08</w:t>
            </w:r>
          </w:p>
        </w:tc>
        <w:tc>
          <w:tcPr>
            <w:tcW w:type="dxa" w:w="2880"/>
            <w:vAlign w:val="center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Histórico de solicitações</w:t>
            </w:r>
          </w:p>
        </w:tc>
        <w:tc>
          <w:tcPr>
            <w:tcW w:type="dxa" w:w="6480"/>
            <w:vAlign w:val="center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O sistema deve listar as solicitações já registradas pelo usuário autenticado.</w:t>
            </w:r>
          </w:p>
        </w:tc>
      </w:tr>
      <w:tr>
        <w:tc>
          <w:tcPr>
            <w:tcW w:type="dxa" w:w="1152"/>
            <w:vAlign w:val="center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RF09</w:t>
            </w:r>
          </w:p>
        </w:tc>
        <w:tc>
          <w:tcPr>
            <w:tcW w:type="dxa" w:w="2880"/>
            <w:vAlign w:val="center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Eventos de privacidade</w:t>
            </w:r>
          </w:p>
        </w:tc>
        <w:tc>
          <w:tcPr>
            <w:tcW w:type="dxa" w:w="6480"/>
            <w:vAlign w:val="center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O sistema deve registrar eventos básicos relacionados a privacidade e segurança.</w:t>
            </w:r>
          </w:p>
        </w:tc>
      </w:tr>
    </w:tbl>
    <w:p/>
    <w:p>
      <w:pPr>
        <w:pStyle w:val="Heading1"/>
      </w:pPr>
      <w:r>
        <w:t>5. Requisitos não funcionais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1152"/>
            <w:vAlign w:val="center"/>
            <w:shd w:fill="D9EAF7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/>
                <w:sz w:val="17"/>
              </w:rPr>
              <w:t>Código</w:t>
            </w:r>
          </w:p>
        </w:tc>
        <w:tc>
          <w:tcPr>
            <w:tcW w:type="dxa" w:w="2880"/>
            <w:vAlign w:val="center"/>
            <w:shd w:fill="D9EAF7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/>
                <w:sz w:val="17"/>
              </w:rPr>
              <w:t>Requisito não funcional</w:t>
            </w:r>
          </w:p>
        </w:tc>
        <w:tc>
          <w:tcPr>
            <w:tcW w:type="dxa" w:w="6480"/>
            <w:vAlign w:val="center"/>
            <w:shd w:fill="D9EAF7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/>
                <w:sz w:val="17"/>
              </w:rPr>
              <w:t>Descrição</w:t>
            </w:r>
          </w:p>
        </w:tc>
      </w:tr>
      <w:tr>
        <w:tc>
          <w:tcPr>
            <w:tcW w:type="dxa" w:w="1152"/>
            <w:vAlign w:val="center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RNF01</w:t>
            </w:r>
          </w:p>
        </w:tc>
        <w:tc>
          <w:tcPr>
            <w:tcW w:type="dxa" w:w="2880"/>
            <w:vAlign w:val="center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Transparência</w:t>
            </w:r>
          </w:p>
        </w:tc>
        <w:tc>
          <w:tcPr>
            <w:tcW w:type="dxa" w:w="6480"/>
            <w:vAlign w:val="center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O sistema deve informar, em linguagem simples, quais dados são tratados e para quais finalidades.</w:t>
            </w:r>
          </w:p>
        </w:tc>
      </w:tr>
      <w:tr>
        <w:tc>
          <w:tcPr>
            <w:tcW w:type="dxa" w:w="1152"/>
            <w:vAlign w:val="center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RNF02</w:t>
            </w:r>
          </w:p>
        </w:tc>
        <w:tc>
          <w:tcPr>
            <w:tcW w:type="dxa" w:w="2880"/>
            <w:vAlign w:val="center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Minimização</w:t>
            </w:r>
          </w:p>
        </w:tc>
        <w:tc>
          <w:tcPr>
            <w:tcW w:type="dxa" w:w="6480"/>
            <w:vAlign w:val="center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O sistema deve manter apenas dados necessários para autenticação, segurança, funcionamento e governança do projeto.</w:t>
            </w:r>
          </w:p>
        </w:tc>
      </w:tr>
      <w:tr>
        <w:tc>
          <w:tcPr>
            <w:tcW w:type="dxa" w:w="1152"/>
            <w:vAlign w:val="center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RNF03</w:t>
            </w:r>
          </w:p>
        </w:tc>
        <w:tc>
          <w:tcPr>
            <w:tcW w:type="dxa" w:w="2880"/>
            <w:vAlign w:val="center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Segurança</w:t>
            </w:r>
          </w:p>
        </w:tc>
        <w:tc>
          <w:tcPr>
            <w:tcW w:type="dxa" w:w="6480"/>
            <w:vAlign w:val="center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O sistema deve preservar as medidas das entregas anteriores, como hash de senhas, variáveis de ambiente e anonimização preventiva.</w:t>
            </w:r>
          </w:p>
        </w:tc>
      </w:tr>
      <w:tr>
        <w:tc>
          <w:tcPr>
            <w:tcW w:type="dxa" w:w="1152"/>
            <w:vAlign w:val="center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RNF04</w:t>
            </w:r>
          </w:p>
        </w:tc>
        <w:tc>
          <w:tcPr>
            <w:tcW w:type="dxa" w:w="2880"/>
            <w:vAlign w:val="center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Rastreabilidade</w:t>
            </w:r>
          </w:p>
        </w:tc>
        <w:tc>
          <w:tcPr>
            <w:tcW w:type="dxa" w:w="6480"/>
            <w:vAlign w:val="center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Aceites, solicitações e eventos relevantes devem ser registrados para fins de acompanhamento.</w:t>
            </w:r>
          </w:p>
        </w:tc>
      </w:tr>
      <w:tr>
        <w:tc>
          <w:tcPr>
            <w:tcW w:type="dxa" w:w="1152"/>
            <w:vAlign w:val="center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RNF05</w:t>
            </w:r>
          </w:p>
        </w:tc>
        <w:tc>
          <w:tcPr>
            <w:tcW w:type="dxa" w:w="2880"/>
            <w:vAlign w:val="center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Manutenibilidade</w:t>
            </w:r>
          </w:p>
        </w:tc>
        <w:tc>
          <w:tcPr>
            <w:tcW w:type="dxa" w:w="6480"/>
            <w:vAlign w:val="center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A lógica de LGPD deve ficar concentrada em módulo próprio, evitando mistura excessiva com a interface principal.</w:t>
            </w:r>
          </w:p>
        </w:tc>
      </w:tr>
      <w:tr>
        <w:tc>
          <w:tcPr>
            <w:tcW w:type="dxa" w:w="1152"/>
            <w:vAlign w:val="center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RNF06</w:t>
            </w:r>
          </w:p>
        </w:tc>
        <w:tc>
          <w:tcPr>
            <w:tcW w:type="dxa" w:w="2880"/>
            <w:vAlign w:val="center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Portabilidade operacional</w:t>
            </w:r>
          </w:p>
        </w:tc>
        <w:tc>
          <w:tcPr>
            <w:tcW w:type="dxa" w:w="6480"/>
            <w:vAlign w:val="center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Os dados do usuário e o registro de tratamento devem poder ser exportados em formato JSON.</w:t>
            </w:r>
          </w:p>
        </w:tc>
      </w:tr>
    </w:tbl>
    <w:p/>
    <w:p>
      <w:pPr>
        <w:pStyle w:val="Heading1"/>
      </w:pPr>
      <w:r>
        <w:t>6. Regra de negócio</w:t>
      </w:r>
    </w:p>
    <w:p>
      <w:r>
        <w:t>O usuário só poderá utilizar a tela principal do PNCP Data Engine após autenticação e aceite do aviso de privacidade vigente. Caso a versão da política de privacidade seja alterada, o sistema poderá exigir novo aceite. O aceite fica registrado no banco local de usuários, juntamente com a versão do aviso aceita.</w:t>
      </w:r>
    </w:p>
    <w:p>
      <w:r>
        <w:t>Os dados pessoais tratados diretamente pelo sistema são mínimos e se concentram no cadastro dos usuários: nome, e-mail, hash de senha, status do usuário, datas de criação/atualização e aceite da política de privacidade. A senha original não é armazenada. Os dados extraídos do PNCP são, no escopo atual, predominantemente públicos e administrativos, mas continuam submetidos à camada de anonimização preventiva quando houver campos identificáveis.</w:t>
      </w:r>
    </w:p>
    <w:p>
      <w:pPr>
        <w:pStyle w:val="Heading1"/>
      </w:pPr>
      <w:r>
        <w:t>7. Fluxo LGPD na aplicação</w:t>
      </w:r>
    </w:p>
    <w:p>
      <w:pPr>
        <w:pStyle w:val="ListBullet"/>
      </w:pPr>
      <w:r>
        <w:t>O usuário acessa a aplicação Streamlit e realiza login com e-mail e senha.</w:t>
      </w:r>
    </w:p>
    <w:p>
      <w:pPr>
        <w:pStyle w:val="ListBullet"/>
      </w:pPr>
      <w:r>
        <w:t>O sistema verifica se o usuário já aceitou a versão vigente do aviso de privacidade.</w:t>
      </w:r>
    </w:p>
    <w:p>
      <w:pPr>
        <w:pStyle w:val="ListBullet"/>
      </w:pPr>
      <w:r>
        <w:t>Se não houver aceite, a aplicação exibe o aviso de privacidade e bloqueia a tela principal.</w:t>
      </w:r>
    </w:p>
    <w:p>
      <w:pPr>
        <w:pStyle w:val="ListBullet"/>
      </w:pPr>
      <w:r>
        <w:t>Após o aceite, o sistema registra data, hora e versão da política aceita.</w:t>
      </w:r>
    </w:p>
    <w:p>
      <w:pPr>
        <w:pStyle w:val="ListBullet"/>
      </w:pPr>
      <w:r>
        <w:t>O usuário passa a acessar as funcionalidades principais do pipeline ETL.</w:t>
      </w:r>
    </w:p>
    <w:p>
      <w:pPr>
        <w:pStyle w:val="ListBullet"/>
      </w:pPr>
      <w:r>
        <w:t>Na área “Privacidade e LGPD”, o usuário pode consultar o aviso, visualizar o registro de tratamento e baixar seus dados de cadastro.</w:t>
      </w:r>
    </w:p>
    <w:p>
      <w:pPr>
        <w:pStyle w:val="ListBullet"/>
      </w:pPr>
      <w:r>
        <w:t>O usuário pode registrar solicitações relacionadas aos direitos do titular.</w:t>
      </w:r>
    </w:p>
    <w:p>
      <w:pPr>
        <w:pStyle w:val="ListBullet"/>
      </w:pPr>
      <w:r>
        <w:t>O sistema salva as solicitações em banco local para acompanhamento pela equipe responsável.</w:t>
      </w:r>
    </w:p>
    <w:p>
      <w:pPr>
        <w:pStyle w:val="Heading1"/>
      </w:pPr>
      <w:r>
        <w:t>8. Registro simplificado das operações de tratamento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1008"/>
            <w:vAlign w:val="center"/>
            <w:shd w:fill="D9EAF7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/>
                <w:sz w:val="17"/>
              </w:rPr>
              <w:t>Código</w:t>
            </w:r>
          </w:p>
        </w:tc>
        <w:tc>
          <w:tcPr>
            <w:tcW w:type="dxa" w:w="2016"/>
            <w:vAlign w:val="center"/>
            <w:shd w:fill="D9EAF7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/>
                <w:sz w:val="17"/>
              </w:rPr>
              <w:t>Atividade</w:t>
            </w:r>
          </w:p>
        </w:tc>
        <w:tc>
          <w:tcPr>
            <w:tcW w:type="dxa" w:w="2592"/>
            <w:vAlign w:val="center"/>
            <w:shd w:fill="D9EAF7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/>
                <w:sz w:val="17"/>
              </w:rPr>
              <w:t>Dados tratados</w:t>
            </w:r>
          </w:p>
        </w:tc>
        <w:tc>
          <w:tcPr>
            <w:tcW w:type="dxa" w:w="2448"/>
            <w:vAlign w:val="center"/>
            <w:shd w:fill="D9EAF7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/>
                <w:sz w:val="17"/>
              </w:rPr>
              <w:t>Finalidade</w:t>
            </w:r>
          </w:p>
        </w:tc>
        <w:tc>
          <w:tcPr>
            <w:tcW w:type="dxa" w:w="2736"/>
            <w:vAlign w:val="center"/>
            <w:shd w:fill="D9EAF7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/>
                <w:sz w:val="17"/>
              </w:rPr>
              <w:t>Base legal/justificativa</w:t>
            </w:r>
          </w:p>
        </w:tc>
      </w:tr>
      <w:tr>
        <w:tc>
          <w:tcPr>
            <w:tcW w:type="dxa" w:w="1008"/>
            <w:vAlign w:val="center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OP01</w:t>
            </w:r>
          </w:p>
        </w:tc>
        <w:tc>
          <w:tcPr>
            <w:tcW w:type="dxa" w:w="2016"/>
            <w:vAlign w:val="center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Cadastro de usuários</w:t>
            </w:r>
          </w:p>
        </w:tc>
        <w:tc>
          <w:tcPr>
            <w:tcW w:type="dxa" w:w="2592"/>
            <w:vAlign w:val="center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Nome, e-mail, hash de senha e aceite da política</w:t>
            </w:r>
          </w:p>
        </w:tc>
        <w:tc>
          <w:tcPr>
            <w:tcW w:type="dxa" w:w="2448"/>
            <w:vAlign w:val="center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Identificar usuários autorizados e controlar acesso</w:t>
            </w:r>
          </w:p>
        </w:tc>
        <w:tc>
          <w:tcPr>
            <w:tcW w:type="dxa" w:w="2736"/>
            <w:vAlign w:val="center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Execução do serviço/projeto e legítimo interesse em segurança</w:t>
            </w:r>
          </w:p>
        </w:tc>
      </w:tr>
      <w:tr>
        <w:tc>
          <w:tcPr>
            <w:tcW w:type="dxa" w:w="1008"/>
            <w:vAlign w:val="center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OP02</w:t>
            </w:r>
          </w:p>
        </w:tc>
        <w:tc>
          <w:tcPr>
            <w:tcW w:type="dxa" w:w="2016"/>
            <w:vAlign w:val="center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Autenticação</w:t>
            </w:r>
          </w:p>
        </w:tc>
        <w:tc>
          <w:tcPr>
            <w:tcW w:type="dxa" w:w="2592"/>
            <w:vAlign w:val="center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E-mail, hash de senha e identificador do usuário</w:t>
            </w:r>
          </w:p>
        </w:tc>
        <w:tc>
          <w:tcPr>
            <w:tcW w:type="dxa" w:w="2448"/>
            <w:vAlign w:val="center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Permitir acesso seguro à aplicação</w:t>
            </w:r>
          </w:p>
        </w:tc>
        <w:tc>
          <w:tcPr>
            <w:tcW w:type="dxa" w:w="2736"/>
            <w:vAlign w:val="center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Segurança e prevenção à fraude</w:t>
            </w:r>
          </w:p>
        </w:tc>
      </w:tr>
      <w:tr>
        <w:tc>
          <w:tcPr>
            <w:tcW w:type="dxa" w:w="1008"/>
            <w:vAlign w:val="center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OP03</w:t>
            </w:r>
          </w:p>
        </w:tc>
        <w:tc>
          <w:tcPr>
            <w:tcW w:type="dxa" w:w="2016"/>
            <w:vAlign w:val="center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Tratamento de dados do PNCP</w:t>
            </w:r>
          </w:p>
        </w:tc>
        <w:tc>
          <w:tcPr>
            <w:tcW w:type="dxa" w:w="2592"/>
            <w:vAlign w:val="center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Número de controle, objeto, órgão, valor, UF, município, modalidade e data</w:t>
            </w:r>
          </w:p>
        </w:tc>
        <w:tc>
          <w:tcPr>
            <w:tcW w:type="dxa" w:w="2448"/>
            <w:vAlign w:val="center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Executar análise acadêmica de contratações públicas</w:t>
            </w:r>
          </w:p>
        </w:tc>
        <w:tc>
          <w:tcPr>
            <w:tcW w:type="dxa" w:w="2736"/>
            <w:vAlign w:val="center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Dados públicos administrativos e finalidade acadêmica</w:t>
            </w:r>
          </w:p>
        </w:tc>
      </w:tr>
      <w:tr>
        <w:tc>
          <w:tcPr>
            <w:tcW w:type="dxa" w:w="1008"/>
            <w:vAlign w:val="center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OP04</w:t>
            </w:r>
          </w:p>
        </w:tc>
        <w:tc>
          <w:tcPr>
            <w:tcW w:type="dxa" w:w="2016"/>
            <w:vAlign w:val="center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Anonimização preventiva</w:t>
            </w:r>
          </w:p>
        </w:tc>
        <w:tc>
          <w:tcPr>
            <w:tcW w:type="dxa" w:w="2592"/>
            <w:vAlign w:val="center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Campos eventualmente identificáveis</w:t>
            </w:r>
          </w:p>
        </w:tc>
        <w:tc>
          <w:tcPr>
            <w:tcW w:type="dxa" w:w="2448"/>
            <w:vAlign w:val="center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Reduzir exposição de dados pessoais em repouso</w:t>
            </w:r>
          </w:p>
        </w:tc>
        <w:tc>
          <w:tcPr>
            <w:tcW w:type="dxa" w:w="2736"/>
            <w:vAlign w:val="center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Princípios de necessidade, segurança e prevenção</w:t>
            </w:r>
          </w:p>
        </w:tc>
      </w:tr>
      <w:tr>
        <w:tc>
          <w:tcPr>
            <w:tcW w:type="dxa" w:w="1008"/>
            <w:vAlign w:val="center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OP05</w:t>
            </w:r>
          </w:p>
        </w:tc>
        <w:tc>
          <w:tcPr>
            <w:tcW w:type="dxa" w:w="2016"/>
            <w:vAlign w:val="center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Solicitações do titular</w:t>
            </w:r>
          </w:p>
        </w:tc>
        <w:tc>
          <w:tcPr>
            <w:tcW w:type="dxa" w:w="2592"/>
            <w:vAlign w:val="center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Tipo de solicitação, descrição, status e datas</w:t>
            </w:r>
          </w:p>
        </w:tc>
        <w:tc>
          <w:tcPr>
            <w:tcW w:type="dxa" w:w="2448"/>
            <w:vAlign w:val="center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Permitir acompanhamento dos direitos do titular</w:t>
            </w:r>
          </w:p>
        </w:tc>
        <w:tc>
          <w:tcPr>
            <w:tcW w:type="dxa" w:w="2736"/>
            <w:vAlign w:val="center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Cumprimento de obrigação legal/regulatória e responsabilização</w:t>
            </w:r>
          </w:p>
        </w:tc>
      </w:tr>
    </w:tbl>
    <w:p/>
    <w:p>
      <w:pPr>
        <w:pStyle w:val="Heading1"/>
      </w:pPr>
      <w:r>
        <w:t>9. Direitos do titular operacionalizados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168"/>
            <w:vAlign w:val="center"/>
            <w:shd w:fill="D9EAF7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/>
                <w:sz w:val="17"/>
              </w:rPr>
              <w:t>Direito/solicitação</w:t>
            </w:r>
          </w:p>
        </w:tc>
        <w:tc>
          <w:tcPr>
            <w:tcW w:type="dxa" w:w="7488"/>
            <w:vAlign w:val="center"/>
            <w:shd w:fill="D9EAF7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/>
                <w:sz w:val="17"/>
              </w:rPr>
              <w:t>Tratamento no sistema</w:t>
            </w:r>
          </w:p>
        </w:tc>
      </w:tr>
      <w:tr>
        <w:tc>
          <w:tcPr>
            <w:tcW w:type="dxa" w:w="3168"/>
            <w:vAlign w:val="center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Acesso aos dados pessoais</w:t>
            </w:r>
          </w:p>
        </w:tc>
        <w:tc>
          <w:tcPr>
            <w:tcW w:type="dxa" w:w="7488"/>
            <w:vAlign w:val="center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O usuário pode visualizar e baixar seus dados de cadastro em JSON.</w:t>
            </w:r>
          </w:p>
        </w:tc>
      </w:tr>
      <w:tr>
        <w:tc>
          <w:tcPr>
            <w:tcW w:type="dxa" w:w="3168"/>
            <w:vAlign w:val="center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Correção de dados pessoais</w:t>
            </w:r>
          </w:p>
        </w:tc>
        <w:tc>
          <w:tcPr>
            <w:tcW w:type="dxa" w:w="7488"/>
            <w:vAlign w:val="center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O usuário pode registrar solicitação de correção para análise da equipe.</w:t>
            </w:r>
          </w:p>
        </w:tc>
      </w:tr>
      <w:tr>
        <w:tc>
          <w:tcPr>
            <w:tcW w:type="dxa" w:w="3168"/>
            <w:vAlign w:val="center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Informação sobre tratamento</w:t>
            </w:r>
          </w:p>
        </w:tc>
        <w:tc>
          <w:tcPr>
            <w:tcW w:type="dxa" w:w="7488"/>
            <w:vAlign w:val="center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O aviso de privacidade e o registro simplificado informam dados, finalidade e justificativa.</w:t>
            </w:r>
          </w:p>
        </w:tc>
      </w:tr>
      <w:tr>
        <w:tc>
          <w:tcPr>
            <w:tcW w:type="dxa" w:w="3168"/>
            <w:vAlign w:val="center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Anonimização ou bloqueio</w:t>
            </w:r>
          </w:p>
        </w:tc>
        <w:tc>
          <w:tcPr>
            <w:tcW w:type="dxa" w:w="7488"/>
            <w:vAlign w:val="center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O usuário pode registrar solicitação; a aplicação já aplica anonimização preventiva nos dados persistidos.</w:t>
            </w:r>
          </w:p>
        </w:tc>
      </w:tr>
      <w:tr>
        <w:tc>
          <w:tcPr>
            <w:tcW w:type="dxa" w:w="3168"/>
            <w:vAlign w:val="center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Eliminação de dados pessoais</w:t>
            </w:r>
          </w:p>
        </w:tc>
        <w:tc>
          <w:tcPr>
            <w:tcW w:type="dxa" w:w="7488"/>
            <w:vAlign w:val="center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O usuário pode registrar solicitação de eliminação/desativação, a ser avaliada conforme necessidade de retenção.</w:t>
            </w:r>
          </w:p>
        </w:tc>
      </w:tr>
      <w:tr>
        <w:tc>
          <w:tcPr>
            <w:tcW w:type="dxa" w:w="3168"/>
            <w:vAlign w:val="center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Portabilidade/extração</w:t>
            </w:r>
          </w:p>
        </w:tc>
        <w:tc>
          <w:tcPr>
            <w:tcW w:type="dxa" w:w="7488"/>
            <w:vAlign w:val="center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O usuário pode baixar seus dados de cadastro em JSON.</w:t>
            </w:r>
          </w:p>
        </w:tc>
      </w:tr>
      <w:tr>
        <w:tc>
          <w:tcPr>
            <w:tcW w:type="dxa" w:w="3168"/>
            <w:vAlign w:val="center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Revogação/oposição</w:t>
            </w:r>
          </w:p>
        </w:tc>
        <w:tc>
          <w:tcPr>
            <w:tcW w:type="dxa" w:w="7488"/>
            <w:vAlign w:val="center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O usuário pode registrar solicitação de revogação de aceite ou oposição ao tratamento.</w:t>
            </w:r>
          </w:p>
        </w:tc>
      </w:tr>
    </w:tbl>
    <w:p/>
    <w:p>
      <w:pPr>
        <w:pStyle w:val="Heading1"/>
      </w:pPr>
      <w:r>
        <w:t>10. Critérios de aceite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888"/>
            <w:vAlign w:val="center"/>
            <w:shd w:fill="D9EAF7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/>
                <w:sz w:val="17"/>
              </w:rPr>
              <w:t>Critério</w:t>
            </w:r>
          </w:p>
        </w:tc>
        <w:tc>
          <w:tcPr>
            <w:tcW w:type="dxa" w:w="6768"/>
            <w:vAlign w:val="center"/>
            <w:shd w:fill="D9EAF7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/>
                <w:sz w:val="17"/>
              </w:rPr>
              <w:t>Resultado esperado</w:t>
            </w:r>
          </w:p>
        </w:tc>
      </w:tr>
      <w:tr>
        <w:tc>
          <w:tcPr>
            <w:tcW w:type="dxa" w:w="3888"/>
            <w:vAlign w:val="center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Usuário sem aceite da política vigente</w:t>
            </w:r>
          </w:p>
        </w:tc>
        <w:tc>
          <w:tcPr>
            <w:tcW w:type="dxa" w:w="6768"/>
            <w:vAlign w:val="center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O sistema deve bloquear a tela principal e exibir o aviso de privacidade.</w:t>
            </w:r>
          </w:p>
        </w:tc>
      </w:tr>
      <w:tr>
        <w:tc>
          <w:tcPr>
            <w:tcW w:type="dxa" w:w="3888"/>
            <w:vAlign w:val="center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Aceite da política de privacidade</w:t>
            </w:r>
          </w:p>
        </w:tc>
        <w:tc>
          <w:tcPr>
            <w:tcW w:type="dxa" w:w="6768"/>
            <w:vAlign w:val="center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O sistema deve registrar data, hora e versão da política aceita.</w:t>
            </w:r>
          </w:p>
        </w:tc>
      </w:tr>
      <w:tr>
        <w:tc>
          <w:tcPr>
            <w:tcW w:type="dxa" w:w="3888"/>
            <w:vAlign w:val="center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Consulta do registro de tratamento</w:t>
            </w:r>
          </w:p>
        </w:tc>
        <w:tc>
          <w:tcPr>
            <w:tcW w:type="dxa" w:w="6768"/>
            <w:vAlign w:val="center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O sistema deve exibir as operações de tratamento em tabela.</w:t>
            </w:r>
          </w:p>
        </w:tc>
      </w:tr>
      <w:tr>
        <w:tc>
          <w:tcPr>
            <w:tcW w:type="dxa" w:w="3888"/>
            <w:vAlign w:val="center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Exportação do registro de tratamento</w:t>
            </w:r>
          </w:p>
        </w:tc>
        <w:tc>
          <w:tcPr>
            <w:tcW w:type="dxa" w:w="6768"/>
            <w:vAlign w:val="center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O sistema deve permitir baixar o registro em JSON.</w:t>
            </w:r>
          </w:p>
        </w:tc>
      </w:tr>
      <w:tr>
        <w:tc>
          <w:tcPr>
            <w:tcW w:type="dxa" w:w="3888"/>
            <w:vAlign w:val="center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Consulta dos dados do usuário</w:t>
            </w:r>
          </w:p>
        </w:tc>
        <w:tc>
          <w:tcPr>
            <w:tcW w:type="dxa" w:w="6768"/>
            <w:vAlign w:val="center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O sistema deve exibir apenas dados de cadastro necessários, sem revelar senha.</w:t>
            </w:r>
          </w:p>
        </w:tc>
      </w:tr>
      <w:tr>
        <w:tc>
          <w:tcPr>
            <w:tcW w:type="dxa" w:w="3888"/>
            <w:vAlign w:val="center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Exportação dos dados pessoais</w:t>
            </w:r>
          </w:p>
        </w:tc>
        <w:tc>
          <w:tcPr>
            <w:tcW w:type="dxa" w:w="6768"/>
            <w:vAlign w:val="center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O sistema deve gerar JSON com dados de cadastro do usuário.</w:t>
            </w:r>
          </w:p>
        </w:tc>
      </w:tr>
      <w:tr>
        <w:tc>
          <w:tcPr>
            <w:tcW w:type="dxa" w:w="3888"/>
            <w:vAlign w:val="center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Registro de solicitação do titular</w:t>
            </w:r>
          </w:p>
        </w:tc>
        <w:tc>
          <w:tcPr>
            <w:tcW w:type="dxa" w:w="6768"/>
            <w:vAlign w:val="center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O sistema deve salvar a solicitação com tipo, descrição, status e datas.</w:t>
            </w:r>
          </w:p>
        </w:tc>
      </w:tr>
      <w:tr>
        <w:tc>
          <w:tcPr>
            <w:tcW w:type="dxa" w:w="3888"/>
            <w:vAlign w:val="center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Histórico de solicitações</w:t>
            </w:r>
          </w:p>
        </w:tc>
        <w:tc>
          <w:tcPr>
            <w:tcW w:type="dxa" w:w="6768"/>
            <w:vAlign w:val="center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O sistema deve listar as solicitações registradas pelo usuário autenticado.</w:t>
            </w:r>
          </w:p>
        </w:tc>
      </w:tr>
      <w:tr>
        <w:tc>
          <w:tcPr>
            <w:tcW w:type="dxa" w:w="3888"/>
            <w:vAlign w:val="center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Senha original</w:t>
            </w:r>
          </w:p>
        </w:tc>
        <w:tc>
          <w:tcPr>
            <w:tcW w:type="dxa" w:w="6768"/>
            <w:vAlign w:val="center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A senha original não deve aparecer em nenhuma exportação ou tela de privacidade.</w:t>
            </w:r>
          </w:p>
        </w:tc>
      </w:tr>
    </w:tbl>
    <w:p/>
    <w:p>
      <w:pPr>
        <w:pStyle w:val="Heading1"/>
      </w:pPr>
      <w:r>
        <w:t>11. Evidências de implementação</w:t>
      </w:r>
    </w:p>
    <w:p>
      <w:pPr>
        <w:pStyle w:val="ListBullet"/>
      </w:pPr>
      <w:r>
        <w:t>Criação do módulo src/lgpd.py, responsável pelo aviso de privacidade, registro de tratamento, tipos de solicitação, eventos e persistência das solicitações do titular.</w:t>
      </w:r>
    </w:p>
    <w:p>
      <w:pPr>
        <w:pStyle w:val="ListBullet"/>
      </w:pPr>
      <w:r>
        <w:t>Atualização do src/auth.py para incluir campos de aceite da política de privacidade e versão aceita pelo usuário.</w:t>
      </w:r>
    </w:p>
    <w:p>
      <w:pPr>
        <w:pStyle w:val="ListBullet"/>
      </w:pPr>
      <w:r>
        <w:t>Atualização do app.py para bloquear acesso sem aceite da política vigente.</w:t>
      </w:r>
    </w:p>
    <w:p>
      <w:pPr>
        <w:pStyle w:val="ListBullet"/>
      </w:pPr>
      <w:r>
        <w:t>Criação da área “Privacidade e LGPD” na interface Streamlit.</w:t>
      </w:r>
    </w:p>
    <w:p>
      <w:pPr>
        <w:pStyle w:val="ListBullet"/>
      </w:pPr>
      <w:r>
        <w:t>Inclusão de visualização e download dos dados do usuário em JSON.</w:t>
      </w:r>
    </w:p>
    <w:p>
      <w:pPr>
        <w:pStyle w:val="ListBullet"/>
      </w:pPr>
      <w:r>
        <w:t>Inclusão de visualização e download do registro simplificado de tratamento em JSON.</w:t>
      </w:r>
    </w:p>
    <w:p>
      <w:pPr>
        <w:pStyle w:val="ListBullet"/>
      </w:pPr>
      <w:r>
        <w:t>Inclusão de formulário para registro de solicitações do titular.</w:t>
      </w:r>
    </w:p>
    <w:p>
      <w:pPr>
        <w:pStyle w:val="ListBullet"/>
      </w:pPr>
      <w:r>
        <w:t>Registro de eventos básicos de privacidade, como login, logout, aceite da política, alteração de senha, processamento e carga de dados.</w:t>
      </w:r>
    </w:p>
    <w:p>
      <w:pPr>
        <w:pStyle w:val="ListBullet"/>
      </w:pPr>
      <w:r>
        <w:t>Manutenção da anonimização preventiva da Entrega 2 por meio do módulo src/data_security.py e da carga anonimizada no MongoDB.</w:t>
      </w:r>
    </w:p>
    <w:p>
      <w:pPr>
        <w:pStyle w:val="Heading1"/>
      </w:pPr>
      <w:r>
        <w:t>12. Arquivos impactados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024"/>
            <w:vAlign w:val="center"/>
            <w:shd w:fill="D9EAF7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/>
                <w:sz w:val="17"/>
              </w:rPr>
              <w:t>Arquivo</w:t>
            </w:r>
          </w:p>
        </w:tc>
        <w:tc>
          <w:tcPr>
            <w:tcW w:type="dxa" w:w="7632"/>
            <w:vAlign w:val="center"/>
            <w:shd w:fill="D9EAF7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/>
                <w:sz w:val="17"/>
              </w:rPr>
              <w:t>Descrição da alteração</w:t>
            </w:r>
          </w:p>
        </w:tc>
      </w:tr>
      <w:tr>
        <w:tc>
          <w:tcPr>
            <w:tcW w:type="dxa" w:w="3024"/>
            <w:vAlign w:val="center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app.py</w:t>
            </w:r>
          </w:p>
        </w:tc>
        <w:tc>
          <w:tcPr>
            <w:tcW w:type="dxa" w:w="7632"/>
            <w:vAlign w:val="center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Recebeu fluxo de aceite da política de privacidade, área LGPD, exportação de dados e registro de solicitações.</w:t>
            </w:r>
          </w:p>
        </w:tc>
      </w:tr>
      <w:tr>
        <w:tc>
          <w:tcPr>
            <w:tcW w:type="dxa" w:w="3024"/>
            <w:vAlign w:val="center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src/lgpd.py</w:t>
            </w:r>
          </w:p>
        </w:tc>
        <w:tc>
          <w:tcPr>
            <w:tcW w:type="dxa" w:w="7632"/>
            <w:vAlign w:val="center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Novo módulo de governança LGPD, aviso de privacidade, registro de tratamento, solicitações e eventos.</w:t>
            </w:r>
          </w:p>
        </w:tc>
      </w:tr>
      <w:tr>
        <w:tc>
          <w:tcPr>
            <w:tcW w:type="dxa" w:w="3024"/>
            <w:vAlign w:val="center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src/auth.py</w:t>
            </w:r>
          </w:p>
        </w:tc>
        <w:tc>
          <w:tcPr>
            <w:tcW w:type="dxa" w:w="7632"/>
            <w:vAlign w:val="center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Inclui campos e métodos para aceite da política de privacidade, exportação de dados e desativação lógica.</w:t>
            </w:r>
          </w:p>
        </w:tc>
      </w:tr>
      <w:tr>
        <w:tc>
          <w:tcPr>
            <w:tcW w:type="dxa" w:w="3024"/>
            <w:vAlign w:val="center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src/data_security.py</w:t>
            </w:r>
          </w:p>
        </w:tc>
        <w:tc>
          <w:tcPr>
            <w:tcW w:type="dxa" w:w="7632"/>
            <w:vAlign w:val="center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Mantém anonimização, mascaramento, hash de campos sensíveis e restrição de permissões locais.</w:t>
            </w:r>
          </w:p>
        </w:tc>
      </w:tr>
      <w:tr>
        <w:tc>
          <w:tcPr>
            <w:tcW w:type="dxa" w:w="3024"/>
            <w:vAlign w:val="center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src/load.py</w:t>
            </w:r>
          </w:p>
        </w:tc>
        <w:tc>
          <w:tcPr>
            <w:tcW w:type="dxa" w:w="7632"/>
            <w:vAlign w:val="center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Mantém carga no MongoDB com anonimização opcional por padrão.</w:t>
            </w:r>
          </w:p>
        </w:tc>
      </w:tr>
      <w:tr>
        <w:tc>
          <w:tcPr>
            <w:tcW w:type="dxa" w:w="3024"/>
            <w:vAlign w:val="center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src/transform.py</w:t>
            </w:r>
          </w:p>
        </w:tc>
        <w:tc>
          <w:tcPr>
            <w:tcW w:type="dxa" w:w="7632"/>
            <w:vAlign w:val="center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Inclui metadados sobre fonte pública e base legal/justificativa do tratamento.</w:t>
            </w:r>
          </w:p>
        </w:tc>
      </w:tr>
      <w:tr>
        <w:tc>
          <w:tcPr>
            <w:tcW w:type="dxa" w:w="3024"/>
            <w:vAlign w:val="center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pipeline_prefect.py</w:t>
            </w:r>
          </w:p>
        </w:tc>
        <w:tc>
          <w:tcPr>
            <w:tcW w:type="dxa" w:w="7632"/>
            <w:vAlign w:val="center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Mantém carga automatizada com anonimização ativada.</w:t>
            </w:r>
          </w:p>
        </w:tc>
      </w:tr>
      <w:tr>
        <w:tc>
          <w:tcPr>
            <w:tcW w:type="dxa" w:w="3024"/>
            <w:vAlign w:val="center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.env.example</w:t>
            </w:r>
          </w:p>
        </w:tc>
        <w:tc>
          <w:tcPr>
            <w:tcW w:type="dxa" w:w="7632"/>
            <w:vAlign w:val="center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Inclui variáveis de caminho dos bancos locais, salt de anonimização e credenciais administrativas de exemplo.</w:t>
            </w:r>
          </w:p>
        </w:tc>
      </w:tr>
      <w:tr>
        <w:tc>
          <w:tcPr>
            <w:tcW w:type="dxa" w:w="3024"/>
            <w:vAlign w:val="center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.gitignore</w:t>
            </w:r>
          </w:p>
        </w:tc>
        <w:tc>
          <w:tcPr>
            <w:tcW w:type="dxa" w:w="7632"/>
            <w:vAlign w:val="center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Evita versionamento de .env, bancos locais, caches e arquivos sensíveis.</w:t>
            </w:r>
          </w:p>
        </w:tc>
      </w:tr>
    </w:tbl>
    <w:p/>
    <w:p>
      <w:pPr>
        <w:pStyle w:val="Heading1"/>
      </w:pPr>
      <w:r>
        <w:t>13. Limitações e melhorias futuras</w:t>
      </w:r>
    </w:p>
    <w:p>
      <w:r>
        <w:t>A solução implementada atende ao requisito acadêmico de atendimento à LGPD, mas não substitui uma avaliação jurídica formal ou uma política institucional completa de proteção de dados. Em uma versão de produção, seria recomendável definir formalmente controlador, operador e encarregado; criar política pública de privacidade revisada juridicamente; estabelecer prazos formais de retenção e descarte; automatizar a eliminação de dados quando aplicável; registrar logs de auditoria mais completos; e criar fluxo administrativo para resposta às solicitações dentro dos prazos legais.</w:t>
      </w:r>
    </w:p>
    <w:p>
      <w:pPr>
        <w:pStyle w:val="Heading1"/>
      </w:pPr>
      <w:r>
        <w:t>14. Fontes normativas e orientativas</w:t>
      </w:r>
    </w:p>
    <w:p>
      <w:pPr>
        <w:pStyle w:val="ListBullet"/>
      </w:pPr>
      <w:r>
        <w:t>Lei nº 13.709/2018 - Lei Geral de Proteção de Dados Pessoais (LGPD).</w:t>
      </w:r>
    </w:p>
    <w:p>
      <w:pPr>
        <w:pStyle w:val="ListBullet"/>
      </w:pPr>
      <w:r>
        <w:t>Autoridade Nacional de Proteção de Dados (ANPD) - materiais orientativos sobre direitos do titular, legítimo interesse, necessidade, transparência e registro de operações.</w:t>
      </w:r>
    </w:p>
    <w:p>
      <w:pPr>
        <w:pStyle w:val="ListBullet"/>
      </w:pPr>
      <w:r>
        <w:t>Documentos das Entregas 1 e 2 do próprio projeto, usados como base técnica para autenticação, segurança de senhas, dados em repouso e anonimização.</w:t>
      </w:r>
    </w:p>
    <w:p>
      <w:pPr>
        <w:pStyle w:val="Heading1"/>
      </w:pPr>
      <w:r>
        <w:t>15. Conclusão</w:t>
      </w:r>
    </w:p>
    <w:p>
      <w:r>
        <w:t>A terceira entrega adiciona ao PNCP Data Engine uma camada inicial de conformidade com a LGPD. A aplicação passa a informar o usuário sobre o tratamento de dados pessoais, registrar aceite do aviso de privacidade, documentar suas operações de tratamento e oferecer mecanismos básicos para exercício dos direitos do titular. Com isso, o projeto avança da segurança técnica das Entregas 1 e 2 para uma camada de governança, transparência e responsabilização sobre o tratamento de dados pessoais.</w:t>
      </w:r>
    </w:p>
    <w:sectPr w:rsidR="00FC693F" w:rsidRPr="0006063C" w:rsidSect="00034616">
      <w:footerReference w:type="default" r:id="rId9"/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PNCP Data Engine - Documento de Requisito 3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