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5C0E6">
      <w:pPr>
        <w:shd w:val="clear" w:color="auto" w:fill="3EC99E"/>
        <w:spacing w:before="0" w:after="0"/>
      </w:pPr>
      <w:r>
        <w:rPr>
          <w:rFonts w:ascii="Inter" w:hAnsi="Inter" w:eastAsia="Alibaba PuHuiTi 2.0" w:cs="Alibaba PuHuiTi 2.0"/>
          <w:sz w:val="12"/>
        </w:rPr>
        <w:t xml:space="preserve">  </w:t>
      </w:r>
    </w:p>
    <w:p w14:paraId="23D93F0C">
      <w:pPr>
        <w:spacing w:after="0"/>
      </w:pPr>
    </w:p>
    <w:p w14:paraId="35CC8F64">
      <w:pPr>
        <w:spacing w:after="0"/>
      </w:pPr>
    </w:p>
    <w:p w14:paraId="6C620089">
      <w:pPr>
        <w:spacing w:after="0"/>
      </w:pPr>
    </w:p>
    <w:p w14:paraId="604A14F2">
      <w:pPr>
        <w:spacing w:before="0" w:after="80"/>
        <w:jc w:val="center"/>
      </w:pPr>
      <w:r>
        <w:rPr>
          <w:rFonts w:ascii="Inter" w:hAnsi="Inter" w:eastAsia="Alibaba PuHuiTi 2.0" w:cs="Alibaba PuHuiTi 2.0"/>
        </w:rPr>
        <w:drawing>
          <wp:inline distT="0" distB="0" distL="114300" distR="114300">
            <wp:extent cx="1871980" cy="13201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3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5374">
      <w:pPr>
        <w:spacing w:after="0"/>
        <w:jc w:val="center"/>
      </w:pPr>
      <w:r>
        <w:rPr>
          <w:rFonts w:ascii="Inter" w:hAnsi="Inter" w:eastAsia="Alibaba PuHuiTi 2.0" w:cs="Alibaba PuHuiTi 2.0"/>
          <w:color w:val="8A9199"/>
          <w:sz w:val="17"/>
        </w:rPr>
        <w:t>致 Vesuvius 中国区  |  PROPOSAL FOR VESUVIUS CHINA</w:t>
      </w:r>
    </w:p>
    <w:p w14:paraId="48ED17A5">
      <w:pPr>
        <w:pBdr>
          <w:bottom w:val="single" w:color="3EC99E" w:sz="12" w:space="1"/>
        </w:pBdr>
        <w:spacing w:before="280" w:after="280"/>
      </w:pPr>
    </w:p>
    <w:p w14:paraId="68228EB0">
      <w:pPr>
        <w:spacing w:before="80" w:after="120"/>
        <w:jc w:val="center"/>
      </w:pPr>
      <w:r>
        <w:rPr>
          <w:rFonts w:ascii="Inter" w:hAnsi="Inter" w:eastAsia="Alibaba PuHuiTi 2.0" w:cs="Alibaba PuHuiTi 2.0"/>
          <w:b/>
          <w:color w:val="0E1216"/>
          <w:sz w:val="48"/>
        </w:rPr>
        <w:t>企业培训平台功能增强建设建议书</w:t>
      </w:r>
    </w:p>
    <w:p w14:paraId="6B2ED816">
      <w:pPr>
        <w:spacing w:before="0" w:after="320"/>
        <w:jc w:val="center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 w14:paraId="76C03E93">
      <w:pPr>
        <w:spacing w:after="80"/>
        <w:jc w:val="center"/>
      </w:pPr>
      <w:r>
        <w:rPr>
          <w:rFonts w:ascii="Inter" w:hAnsi="Inter" w:eastAsia="Alibaba PuHuiTi 2.0" w:cs="Alibaba PuHuiTi 2.0"/>
          <w:color w:val="3D444A"/>
          <w:sz w:val="20"/>
        </w:rPr>
        <w:t>培训内容管理  ·  课程部署  ·  积分激励  ·  视频培训  ·  培训矩阵  ·  数据台账</w:t>
      </w:r>
    </w:p>
    <w:p w14:paraId="41A821A7"/>
    <w:p w14:paraId="0332593A"/>
    <w:p w14:paraId="392E2ACE"/>
    <w:p w14:paraId="53E49536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5"/>
        <w:gridCol w:w="2997"/>
        <w:gridCol w:w="2456"/>
      </w:tblGrid>
      <w:tr w14:paraId="2FEE80DC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EE65A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</w:rPr>
              <w:drawing>
                <wp:inline distT="0" distB="0" distL="114300" distR="114300">
                  <wp:extent cx="1259840" cy="3194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1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B2C7B">
            <w:pPr>
              <w:spacing w:before="0" w:after="40"/>
              <w:jc w:val="center"/>
            </w:pPr>
            <w:r>
              <w:rPr>
                <w:rFonts w:ascii="Inter" w:hAnsi="Inter" w:eastAsia="Alibaba PuHuiTi 2.0" w:cs="Alibaba PuHuiTi 2.0"/>
                <w:color w:val="3D444A"/>
                <w:sz w:val="16"/>
              </w:rPr>
              <w:t>未来方舟（上海）科技有限公司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17D5B">
            <w:pPr>
              <w:spacing w:before="0" w:after="4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t>2026 年 6 月</w:t>
            </w: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br w:type="textWrapping"/>
            </w: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t>机密文件，仅供内部参阅</w:t>
            </w:r>
          </w:p>
        </w:tc>
      </w:tr>
    </w:tbl>
    <w:p w14:paraId="09359A47">
      <w:pPr>
        <w:spacing w:before="0" w:after="0"/>
        <w:rPr>
          <w:rFonts w:ascii="Inter" w:hAnsi="Inter" w:eastAsia="Alibaba PuHuiTi 2.0" w:cs="Alibaba PuHuiTi 2.0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76CF9478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71FB9AC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客户单位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D5EAA80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Vesuvius 中国区</w:t>
            </w:r>
          </w:p>
        </w:tc>
      </w:tr>
      <w:tr w14:paraId="07665D57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4F5C212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项目名称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D9328F2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企业培训平台功能增强建设项目</w:t>
            </w:r>
          </w:p>
        </w:tc>
      </w:tr>
      <w:tr w14:paraId="71CEA0F6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219EC53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建议版本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75984B8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V2.0</w:t>
            </w:r>
          </w:p>
        </w:tc>
      </w:tr>
      <w:tr w14:paraId="2BE8CA47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5A33C5D5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预计周期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A740895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约 8 周（视最终范围确认）</w:t>
            </w:r>
          </w:p>
        </w:tc>
      </w:tr>
    </w:tbl>
    <w:p w14:paraId="0C6A1B33">
      <w:p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</w:p>
    <w:p w14:paraId="54058B23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 w14:paraId="53F8DD1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 w14:paraId="24F56B29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 w14:paraId="329ECD17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 w14:paraId="55C9CEB5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 w14:paraId="4D3139FE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 w14:paraId="5ECDC249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 w14:paraId="0BFD1F5E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 w14:paraId="06C3D2E5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 w14:paraId="08C5D559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 w14:paraId="52FCB945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 w14:paraId="59E79A6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35"/>
      </w:tblGrid>
      <w:tr w14:paraId="05FA3DAC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B68F3FD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功能版块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CA74E3D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对 Vesuvius 的直接价值</w:t>
            </w:r>
          </w:p>
        </w:tc>
      </w:tr>
      <w:tr w14:paraId="6F050032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A6F2F7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培训内容管理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88FC7E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课程内容有人审核、有版本记录，确保员工看到的是已授权的最新版本</w:t>
            </w:r>
          </w:p>
        </w:tc>
      </w:tr>
      <w:tr w14:paraId="0502BB56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79D3EE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课程部署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D71408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每次培训都有明确责任人、截止时间和完成追踪，彻底告别微信群催促</w:t>
            </w:r>
          </w:p>
        </w:tc>
      </w:tr>
      <w:tr w14:paraId="2541E651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1E8F7B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正负积分体系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F243D0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完成课程有奖励、逾期有约束，积分记录透明，驱动员工主动学习</w:t>
            </w:r>
          </w:p>
        </w:tc>
      </w:tr>
      <w:tr w14:paraId="18243FA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CECC80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1DE9D6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上传操作规程或安全演示视频，员工在线观看，系统自动记录完成状态</w:t>
            </w:r>
          </w:p>
        </w:tc>
      </w:tr>
      <w:tr w14:paraId="26D3E633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F26A9F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培训矩阵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6A9A04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一张实时视图展示所有员工的课程完成率，部门/岗位缺口一眼可见</w:t>
            </w:r>
          </w:p>
        </w:tc>
      </w:tr>
      <w:tr w14:paraId="399CB341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9F21BE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学习过程监督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54CC89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系统记录学习行为真实性，减少挂机和无效观看，保障培训数据可信度</w:t>
            </w:r>
          </w:p>
        </w:tc>
      </w:tr>
      <w:tr w14:paraId="6D7B44B1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3779E2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数据统计与台账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EE0113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完成报表、考试记录、积分明细一键导出，支持内部汇报与合规备查</w:t>
            </w:r>
          </w:p>
        </w:tc>
      </w:tr>
    </w:tbl>
    <w:p w14:paraId="02B99D7E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 w14:paraId="47E436DF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 w14:paraId="43DF52D0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18F634D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441304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864311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2B5AD3A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FD83E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灵活的完成规则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77F505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按课程类型分别配置：阅读确认 / 视频观看比例 / 考试通过，不强迫所有课程走同一套标准</w:t>
            </w:r>
          </w:p>
        </w:tc>
      </w:tr>
      <w:tr w14:paraId="5E6E52B6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B011C3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内容审核流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D8B06E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课程正式发布前须经培训负责人审核，防止未授权内容失误发布到平台内部</w:t>
            </w:r>
          </w:p>
        </w:tc>
      </w:tr>
      <w:tr w14:paraId="7FE44C7B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2F11B2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版本记录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2E1106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每次发布形成版本留痕，历史版本可追溯，迎检时有完整内容变更依据</w:t>
            </w:r>
          </w:p>
        </w:tc>
      </w:tr>
      <w:tr w14:paraId="0A1D23D4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C6DDA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AI 辅助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686A21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 AI 辅助生成知识点新建章节，考试题目支持 AI 辅助生成，大幅降低题库维护工作量</w:t>
            </w:r>
          </w:p>
        </w:tc>
      </w:tr>
    </w:tbl>
    <w:p w14:paraId="4C83AF13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 w14:paraId="2380BAF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7753EDAD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4BE3E7D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63FF18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72AFECA6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D203DD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灵活的分配方式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0E3031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支持按员工、部门、岗位、职能、班组多维度分配，一次操作覆盖目标人群</w:t>
            </w:r>
          </w:p>
        </w:tc>
      </w:tr>
      <w:tr w14:paraId="3703E284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1C1525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截止时间与提醒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45A9CB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系统在临近截止时自动提醒未完成员工，逾期情况同步通知管理者</w:t>
            </w:r>
          </w:p>
        </w:tc>
      </w:tr>
      <w:tr w14:paraId="10115AC1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7A4068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实时完成追踪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0ED53D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管理员随时查看当前部署的完成率、未完成人员清单与考试通过情况</w:t>
            </w:r>
          </w:p>
        </w:tc>
      </w:tr>
      <w:tr w14:paraId="0A1FE1B3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F4FA4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部署历史存档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9A91AF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每次培训的对象、版本、完成情况长期留存，支持年度培训复盘与审查</w:t>
            </w:r>
          </w:p>
        </w:tc>
      </w:tr>
    </w:tbl>
    <w:p w14:paraId="6835C375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3.3  正负积分体系</w:t>
      </w:r>
    </w:p>
    <w:p w14:paraId="6BAEC068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积分体系以数据化方式建立轻量级激励和约束，代替反复的行政催促。完成课程自动加分，逾期自动扣分，每一笔积分流水都有明细可查——员工看得到自己的表现，管理者看得到团队的整体参与度。后续如有需要，积分数据可直接扩展为学习排行榜或年度激励评选的依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3301"/>
        <w:gridCol w:w="2754"/>
      </w:tblGrid>
      <w:tr w14:paraId="012EB968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590BAC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积分规则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F510B7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员工视角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1879AC2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管理者视角</w:t>
            </w:r>
          </w:p>
        </w:tc>
      </w:tr>
      <w:tr w14:paraId="764DEB2D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B61F4D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 / 考试通过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4BE62C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个人积分实时增加，可查看积分明细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BE9C0E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整体参与度提升，无需反复催促</w:t>
            </w:r>
          </w:p>
        </w:tc>
      </w:tr>
      <w:tr w14:paraId="3932B338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2919D2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课程逾期 / 考试未过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77310C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收到系统提示，清楚了解扣分原因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2DC799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逾期记录可导出，支持部门绩效参考</w:t>
            </w:r>
          </w:p>
        </w:tc>
      </w:tr>
      <w:tr w14:paraId="12FB3A47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E0BC3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活动奖励 / 人工调整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9B8F48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积分变动有通知，透明公正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8E08FF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管理端可补发或纠错，全程留审计日志</w:t>
            </w:r>
          </w:p>
        </w:tc>
      </w:tr>
    </w:tbl>
    <w:p w14:paraId="5AFEE24D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3.4  视频培训</w:t>
      </w:r>
    </w:p>
    <w:p w14:paraId="356FBC2A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09AFE16D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9DA886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F1832E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34EB659E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1D2291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在线上传与播放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C1C00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视频直接上传至课程，员工无需下载，PC/手机浏览器均可播放</w:t>
            </w:r>
          </w:p>
        </w:tc>
      </w:tr>
      <w:tr w14:paraId="7C4AFC15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A8B64B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断点续播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38A5B2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员工上次观看到哪里，下次自动从断点继续，不影响碎片化学习</w:t>
            </w:r>
          </w:p>
        </w:tc>
      </w:tr>
      <w:tr w14:paraId="2505DF30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3BEB53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观看进度记录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6ED527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系统记录实际观看比例，课程完成判断基于真实数据而非点击记录</w:t>
            </w:r>
          </w:p>
        </w:tc>
      </w:tr>
      <w:tr w14:paraId="6709E316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CCA34B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播放控制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85BE96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可配置是否允许拖拽进度条，防止员工跳过关键内容直接标记完成</w:t>
            </w:r>
          </w:p>
        </w:tc>
      </w:tr>
    </w:tbl>
    <w:p w14:paraId="4A6EC8C8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3.5  培训矩阵</w:t>
      </w:r>
    </w:p>
    <w:p w14:paraId="77C442E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4502"/>
        <w:gridCol w:w="2481"/>
      </w:tblGrid>
      <w:tr w14:paraId="57E33240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60B644A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视角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A03289A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可以看到什么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1704C91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典型场景</w:t>
            </w:r>
          </w:p>
        </w:tc>
      </w:tr>
      <w:tr w14:paraId="31CD05D4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B1CDF4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员工个人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DF4B46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已完成哪些课程、还有哪些未完成、当前积分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CE2A85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员工自主了解学习任务进度</w:t>
            </w:r>
          </w:p>
        </w:tc>
      </w:tr>
      <w:tr w14:paraId="6CAFFA8D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E2F8F4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部门负责人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2477CF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本部门完成率、逾期人数、课程通过率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293016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月度培训汇报，无需手工统计</w:t>
            </w:r>
          </w:p>
        </w:tc>
      </w:tr>
      <w:tr w14:paraId="26B7A3B9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F1DD60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培训管理者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2F99DB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跨部门/岗位的完成缺口、课程执行效果对比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7A546C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安全检查前快速准备培训台账</w:t>
            </w:r>
          </w:p>
        </w:tc>
      </w:tr>
    </w:tbl>
    <w:p w14:paraId="4C2F4D8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6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数据统计与台账</w:t>
      </w:r>
    </w:p>
    <w:p w14:paraId="425EFDFD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6213"/>
      </w:tblGrid>
      <w:tr w14:paraId="2B9D2FB9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E61044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报表类型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E6503E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典型用途</w:t>
            </w:r>
          </w:p>
        </w:tc>
      </w:tr>
      <w:tr w14:paraId="65C413D5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6579EA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培训完成报表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8BC17F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日常执行管理；按部门/岗位汇总完成率，快速定位缺口</w:t>
            </w:r>
          </w:p>
        </w:tc>
      </w:tr>
      <w:tr w14:paraId="6475286F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223E34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考试结果报表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81BE8B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评估学习效果；识别需要补训的员工</w:t>
            </w:r>
          </w:p>
        </w:tc>
      </w:tr>
      <w:tr w14:paraId="2910B016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03A2F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积分明细报表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237C7B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积分核查与管理复核；支持绩效参考数据导出</w:t>
            </w:r>
          </w:p>
        </w:tc>
      </w:tr>
      <w:tr w14:paraId="4772E4FB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09FE45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视频学习记录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8ECD34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视频课程完成判断依据；满足合规留痕要求</w:t>
            </w:r>
          </w:p>
        </w:tc>
      </w:tr>
      <w:tr w14:paraId="05164745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F93D2D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培训台账导出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89BF4E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迎检备查；ESG 培训覆盖数据出口；年度培训统计</w:t>
            </w:r>
          </w:p>
        </w:tc>
      </w:tr>
    </w:tbl>
    <w:p w14:paraId="2145B0D8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 w14:paraId="2F66ADF3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 w14:paraId="14D6C13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379"/>
        <w:gridCol w:w="3584"/>
        <w:gridCol w:w="2793"/>
      </w:tblGrid>
      <w:tr w14:paraId="43915D9F">
        <w:trPr>
          <w:trHeight w:val="625" w:hRule="atLeast"/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E6E31A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编号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65A45F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任务描述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9B5D769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甲方（Vesuvius）职责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0A5EDB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我方职责</w:t>
            </w:r>
          </w:p>
        </w:tc>
      </w:tr>
      <w:tr w14:paraId="6440AC6A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2D35BD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1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313C38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D089AC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DDE256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输出需求清单、主要页面原型及双方认可的验收标准</w:t>
            </w:r>
          </w:p>
        </w:tc>
      </w:tr>
      <w:tr w14:paraId="26835960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AF274D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F66AE5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数据与组织准备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7E0E6F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提供员工花名册及部门/岗位层级数据；确认课程分类体系与初始管理权限分配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9A614F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完成组织架构导入、账号初始化及角色权限体系配置</w:t>
            </w:r>
          </w:p>
        </w:tc>
      </w:tr>
      <w:tr w14:paraId="3359FEE9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E9743D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3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BD5587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75F876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提供部分课程内容（文档/视频/其他格式）；对原型方案进行业务评审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9BA612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开发七大功能模块，每周固定进度同步，问题当周响应</w:t>
            </w:r>
          </w:p>
        </w:tc>
      </w:tr>
      <w:tr w14:paraId="51982685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6371C5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4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00D394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系统内测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05A52B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 HR 及培训管理员参与内测，提供真实场景操作反馈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32FEC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根据反馈修复问题并完成回归测试，确保功能符合验收标准</w:t>
            </w:r>
          </w:p>
        </w:tc>
      </w:tr>
      <w:tr w14:paraId="6755799C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3838AD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C33169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82BFB7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组织管理员正式验收，确认系统满足建设目标后签署验收确认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8D9D45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提供管理员培训、学员端操作手册及完整交付文件</w:t>
            </w:r>
          </w:p>
        </w:tc>
      </w:tr>
      <w:tr w14:paraId="203ED23E">
        <w:trPr>
          <w:jc w:val="center"/>
        </w:trPr>
        <w:tc>
          <w:tcPr>
            <w:tcW w:w="77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58F5C9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6</w:t>
            </w:r>
          </w:p>
        </w:tc>
        <w:tc>
          <w:tcPr>
            <w:tcW w:w="13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163735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上线后运维</w:t>
            </w:r>
          </w:p>
        </w:tc>
        <w:tc>
          <w:tcPr>
            <w:tcW w:w="35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7E77F9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指定系统管理员负责日常运营；统一收集并反馈优化需求</w:t>
            </w:r>
          </w:p>
        </w:tc>
        <w:tc>
          <w:tcPr>
            <w:tcW w:w="279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ED1559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提供上线后</w:t>
            </w:r>
            <w:r>
              <w:rPr>
                <w:rFonts w:hint="eastAsia" w:eastAsia="Alibaba PuHuiTi 2.0" w:cs="Alibaba PuHuiTi 2.0"/>
                <w:color w:val="3D444A"/>
                <w:sz w:val="21"/>
                <w:lang w:eastAsia="zh-CN"/>
              </w:rPr>
              <w:t>「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1年」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免费维护，功能问题响应时间不超过 1 个工作日</w:t>
            </w:r>
          </w:p>
        </w:tc>
      </w:tr>
    </w:tbl>
    <w:p w14:paraId="6443BB7B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3C41A995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2168F80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 w14:paraId="32C219C1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891"/>
        <w:gridCol w:w="3077"/>
        <w:gridCol w:w="3347"/>
      </w:tblGrid>
      <w:tr w14:paraId="34F8FEBC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CF8C8E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阶段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3B04FA9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周次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7A6657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涉及职能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9FB172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里程碑 / 交付物</w:t>
            </w:r>
          </w:p>
        </w:tc>
      </w:tr>
      <w:tr w14:paraId="0BB14F42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2B7723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E5B8D3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1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B98A57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甲方培训负责人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94F42B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需求清单、权限矩阵、验收口径</w:t>
            </w:r>
          </w:p>
        </w:tc>
      </w:tr>
      <w:tr w14:paraId="5B5853F8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0FFE9E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原型设计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071BE0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2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EB03E9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UI 设计师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FFAF3A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主要页面原型，双方评审确认</w:t>
            </w:r>
          </w:p>
        </w:tc>
      </w:tr>
      <w:tr w14:paraId="44D083BE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438E12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D3A380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3–6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4160F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前端 · 后端 · 数据工程师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20EE3B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七大功能模块可联调版本</w:t>
            </w:r>
          </w:p>
        </w:tc>
      </w:tr>
      <w:tr w14:paraId="5276CF28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B7772B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测试与修复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C0519A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7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15B013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测试工程师 · 甲方内测团队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CD1E37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测试记录、修复清单、权限与报表验证</w:t>
            </w:r>
          </w:p>
        </w:tc>
      </w:tr>
      <w:tr w14:paraId="0F04918F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B913D6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305E1B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8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C22211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实施顾问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996830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验收版本 · 管理员培训 · 操作手册</w:t>
            </w:r>
          </w:p>
        </w:tc>
      </w:tr>
    </w:tbl>
    <w:p w14:paraId="31A968B7"/>
    <w:p w14:paraId="0B4793AF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  <w:rPr>
          <w:rFonts w:ascii="Inter" w:hAnsi="Inter" w:eastAsia="Alibaba PuHuiTi 2.0" w:cs="Alibaba PuHuiTi 2.0"/>
          <w:color w:val="8A9199"/>
          <w:sz w:val="19"/>
        </w:rPr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 w14:paraId="38B8C513"/>
    <w:p w14:paraId="1AC21DA5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5F63074B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71A54F3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公司名称：未来方舟（上海）科技有限公司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6BCA8A5">
            <w:pPr>
              <w:spacing w:before="100" w:after="100"/>
            </w:pPr>
          </w:p>
        </w:tc>
      </w:tr>
      <w:tr w14:paraId="3B2EB9C3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64545F2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A6FCB79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公司盖章：（公章）</w:t>
            </w:r>
          </w:p>
        </w:tc>
      </w:tr>
      <w:tr w14:paraId="20AA72D1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35B07C7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3C11A95">
            <w:pPr>
              <w:spacing w:before="100" w:after="100"/>
            </w:pPr>
          </w:p>
        </w:tc>
      </w:tr>
    </w:tbl>
    <w:p w14:paraId="405D3669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8"/>
    </w:tblGrid>
    <w:tr w14:paraId="36A5F6FA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4BB04296"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73CC613D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7829B87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FA665"/>
    <w:rsid w:val="673EFA1C"/>
    <w:rsid w:val="77BA6026"/>
    <w:rsid w:val="7E9FA32D"/>
    <w:rsid w:val="BDFA014A"/>
    <w:rsid w:val="E3FC0806"/>
    <w:rsid w:val="ED5BB59E"/>
    <w:rsid w:val="F77FE9AE"/>
    <w:rsid w:val="FFBE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hid32130272</cp:lastModifiedBy>
  <dcterms:modified xsi:type="dcterms:W3CDTF">2026-06-10T14:33:35Z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486CB7D57E49E859AEFE286AE90B03A7_42</vt:lpwstr>
  </property>
</Properties>
</file>